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ind w:firstLine="567"/>
        <w:jc w:val="center"/>
        <w:rPr>
          <w:b/>
          <w:bCs/>
          <w:sz w:val="24"/>
          <w:szCs w:val="24"/>
        </w:rPr>
      </w:pPr>
      <w:r>
        <w:rPr>
          <w:b/>
          <w:bCs/>
          <w:sz w:val="24"/>
          <w:szCs w:val="24"/>
        </w:rPr>
        <w:t xml:space="preserve">Договор поставки № </w:t>
      </w:r>
    </w:p>
    <w:p>
      <w:pPr>
        <w:pStyle w:val="Normal"/>
        <w:shd w:val="clear" w:color="auto" w:fill="FFFFFF"/>
        <w:ind w:firstLine="567"/>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Саяногорск, рп. Черемушки</w:t>
        <w:tab/>
        <w:t xml:space="preserve">   «___» _________ 2026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 действующего на основании ______</w:t>
      </w:r>
      <w:r>
        <w:rPr>
          <w:color w:val="212121"/>
          <w:sz w:val="24"/>
          <w:szCs w:val="24"/>
          <w:shd w:fill="FFFFFF" w:val="clear"/>
        </w:rPr>
        <w:t>aacc</w:t>
      </w:r>
      <w:r>
        <w:rPr>
          <w:spacing w:val="4"/>
          <w:sz w:val="24"/>
          <w:szCs w:val="24"/>
        </w:rPr>
        <w:t>, с одной стороны, и</w:t>
      </w:r>
      <w:r>
        <w:rPr>
          <w:spacing w:val="10"/>
          <w:sz w:val="24"/>
          <w:szCs w:val="24"/>
        </w:rPr>
        <w:t xml:space="preserve"> </w:t>
      </w:r>
    </w:p>
    <w:p>
      <w:pPr>
        <w:pStyle w:val="Normal"/>
        <w:ind w:firstLine="709"/>
        <w:jc w:val="both"/>
        <w:rPr>
          <w:sz w:val="24"/>
          <w:szCs w:val="24"/>
        </w:rPr>
      </w:pPr>
      <w:r>
        <w:rPr>
          <w:b/>
          <w:spacing w:val="10"/>
          <w:sz w:val="24"/>
          <w:szCs w:val="24"/>
          <w:lang w:eastAsia="zh-CN"/>
        </w:rPr>
        <w:t>____ (</w:t>
      </w:r>
      <w:r>
        <w:rPr>
          <w:spacing w:val="10"/>
          <w:sz w:val="24"/>
          <w:szCs w:val="24"/>
          <w:lang w:eastAsia="zh-CN"/>
        </w:rPr>
        <w:t>____</w:t>
      </w:r>
      <w:r>
        <w:rPr>
          <w:bCs/>
          <w:sz w:val="24"/>
          <w:szCs w:val="24"/>
        </w:rPr>
        <w:t xml:space="preserve"> </w:t>
      </w:r>
      <w:r>
        <w:rPr>
          <w:sz w:val="24"/>
          <w:szCs w:val="24"/>
        </w:rPr>
        <w:t xml:space="preserve">(далее – «Поставщик»), в лице ____-, действующего на основании 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t>заключили настоящий договор поставки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8"/>
          <w:tab w:val="left" w:pos="0" w:leader="none"/>
        </w:tabs>
        <w:ind w:left="0" w:firstLine="720"/>
        <w:jc w:val="both"/>
        <w:textAlignment w:val="baseline"/>
        <w:rPr>
          <w:sz w:val="24"/>
          <w:szCs w:val="24"/>
          <w:lang w:eastAsia="en-US"/>
        </w:rPr>
      </w:pPr>
      <w:r>
        <w:rPr>
          <w:b/>
          <w:sz w:val="24"/>
          <w:szCs w:val="24"/>
          <w:lang w:eastAsia="en-US"/>
        </w:rPr>
        <w:t xml:space="preserve">«Национальный режим» - </w:t>
      </w:r>
      <w:r>
        <w:rPr>
          <w:sz w:val="24"/>
          <w:szCs w:val="24"/>
          <w:lang w:eastAsia="en-US"/>
        </w:rPr>
        <w:t xml:space="preserve">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 </w:t>
      </w:r>
    </w:p>
    <w:p>
      <w:pPr>
        <w:pStyle w:val="Normal"/>
        <w:shd w:val="clear" w:color="auto" w:fill="FFFFFF"/>
        <w:tabs>
          <w:tab w:val="clear" w:pos="708"/>
          <w:tab w:val="left" w:pos="0" w:leader="none"/>
        </w:tabs>
        <w:jc w:val="both"/>
        <w:textAlignment w:val="baseline"/>
        <w:rPr>
          <w:sz w:val="24"/>
          <w:szCs w:val="24"/>
          <w:lang w:eastAsia="en-US"/>
        </w:rPr>
      </w:pPr>
      <w:r>
        <w:rPr>
          <w:b/>
          <w:sz w:val="24"/>
          <w:szCs w:val="24"/>
          <w:lang w:eastAsia="en-US"/>
        </w:rPr>
        <w:tab/>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 xml:space="preserve"> </w:t>
      </w: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 xml:space="preserve"> </w:t>
      </w: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shd w:val="clear" w:color="auto" w:fill="FFFFFF"/>
        <w:tabs>
          <w:tab w:val="clear" w:pos="708"/>
          <w:tab w:val="left" w:pos="0" w:leader="none"/>
        </w:tabs>
        <w:ind w:left="0" w:firstLine="709"/>
        <w:jc w:val="both"/>
        <w:textAlignment w:val="baseline"/>
        <w:rPr>
          <w:lang w:eastAsia="en-US"/>
        </w:rPr>
      </w:pPr>
      <w:r>
        <w:rPr>
          <w:b/>
          <w:sz w:val="24"/>
          <w:szCs w:val="24"/>
          <w:lang w:eastAsia="en-US"/>
        </w:rPr>
        <w:t xml:space="preserve">«Универсальный передаточный документ», «(УПД») </w:t>
      </w:r>
      <w:r>
        <w:rPr>
          <w:sz w:val="24"/>
          <w:szCs w:val="24"/>
          <w:lang w:eastAsia="en-US"/>
        </w:rPr>
        <w:t xml:space="preserve">– форма документа, рекомендованная для применения письмом ФНС России от 21.10.2013 </w:t>
        <w:br/>
        <w:t>№ ММВ-20-3/96@ и приказом ФНС России от 19 декабря 2023 года № ЕД-7-26/970@</w:t>
      </w:r>
      <w:r>
        <w:rPr>
          <w:rStyle w:val="FootnoteReference"/>
          <w:sz w:val="24"/>
          <w:szCs w:val="24"/>
          <w:lang w:eastAsia="en-US"/>
        </w:rPr>
        <w:footnoteReference w:id="2"/>
      </w:r>
      <w:r>
        <w:rPr>
          <w:sz w:val="24"/>
          <w:szCs w:val="24"/>
          <w:lang w:eastAsia="en-US"/>
        </w:rPr>
        <w:t xml:space="preserve"> (объединяет реквизиты </w:t>
      </w:r>
      <w:hyperlink r:id="rId2">
        <w:r>
          <w:rPr>
            <w:sz w:val="24"/>
            <w:szCs w:val="24"/>
            <w:lang w:eastAsia="en-US"/>
          </w:rPr>
          <w:t>счета-фактуры</w:t>
        </w:r>
      </w:hyperlink>
      <w:r>
        <w:rPr>
          <w:sz w:val="24"/>
          <w:szCs w:val="24"/>
          <w:lang w:eastAsia="en-US"/>
        </w:rPr>
        <w:t xml:space="preserve"> и </w:t>
      </w:r>
      <w:hyperlink r:id="rId3">
        <w:r>
          <w:rPr>
            <w:sz w:val="24"/>
            <w:szCs w:val="24"/>
            <w:lang w:eastAsia="en-US"/>
          </w:rPr>
          <w:t>первичного документа</w:t>
        </w:r>
      </w:hyperlink>
      <w:r>
        <w:rPr>
          <w:sz w:val="24"/>
          <w:szCs w:val="24"/>
          <w:lang w:eastAsia="en-US"/>
        </w:rPr>
        <w:t xml:space="preserve"> о передаче товаров, работ, услуг)».</w:t>
      </w:r>
    </w:p>
    <w:p>
      <w:pPr>
        <w:pStyle w:val="Heading3"/>
        <w:keepNext w:val="false"/>
        <w:tabs>
          <w:tab w:val="clear" w:pos="708"/>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0" w:leader="none"/>
          <w:tab w:val="left" w:pos="851" w:leader="none"/>
          <w:tab w:val="left" w:pos="1134" w:leader="none"/>
        </w:tabs>
        <w:ind w:left="142" w:firstLine="567"/>
        <w:jc w:val="both"/>
        <w:rPr>
          <w:bCs/>
          <w:sz w:val="24"/>
          <w:szCs w:val="24"/>
        </w:rPr>
      </w:pPr>
      <w:r>
        <w:rPr>
          <w:bCs/>
          <w:sz w:val="24"/>
          <w:szCs w:val="24"/>
        </w:rPr>
        <w:t xml:space="preserve">Поставщик обязуется в порядке и сроки, установленные Договором, передать в собственность Покупателю </w:t>
      </w:r>
      <w:r>
        <w:rPr>
          <w:b/>
          <w:sz w:val="24"/>
          <w:szCs w:val="24"/>
        </w:rPr>
        <w:t xml:space="preserve">муфты для кабелей 6кВ </w:t>
      </w:r>
      <w:r>
        <w:rPr>
          <w:b/>
          <w:bCs/>
          <w:sz w:val="24"/>
          <w:szCs w:val="24"/>
        </w:rPr>
        <w:t>(аварийный запас)</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 </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Филиала ПАО «РусГидро»-«Саяно-Шушенская ГЭС имени П.С. Непорожнего».</w:t>
      </w:r>
    </w:p>
    <w:p>
      <w:pPr>
        <w:pStyle w:val="Normal"/>
        <w:numPr>
          <w:ilvl w:val="1"/>
          <w:numId w:val="2"/>
        </w:numPr>
        <w:shd w:val="clear" w:color="auto" w:fill="FFFFFF"/>
        <w:tabs>
          <w:tab w:val="clear" w:pos="708"/>
          <w:tab w:val="left" w:pos="0" w:leader="none"/>
          <w:tab w:val="left" w:pos="1134" w:leader="none"/>
          <w:tab w:val="left" w:pos="1855" w:leader="none"/>
        </w:tabs>
        <w:ind w:left="0" w:firstLine="709"/>
        <w:jc w:val="both"/>
        <w:rPr>
          <w:bCs/>
          <w:sz w:val="24"/>
          <w:szCs w:val="24"/>
        </w:rPr>
      </w:pPr>
      <w:r>
        <w:rPr>
          <w:bCs/>
          <w:sz w:val="24"/>
          <w:szCs w:val="24"/>
        </w:rPr>
        <w:t>Место поставки Товара: Республика Хакасия, г. Саяногорск, рп. Черемушки, 106, БГСО (далее – «Место поставки»).</w:t>
      </w:r>
    </w:p>
    <w:p>
      <w:pPr>
        <w:pStyle w:val="Normal"/>
        <w:numPr>
          <w:ilvl w:val="1"/>
          <w:numId w:val="2"/>
        </w:numPr>
        <w:shd w:val="clear" w:color="auto" w:fill="FFFFFF"/>
        <w:tabs>
          <w:tab w:val="clear" w:pos="708"/>
          <w:tab w:val="left" w:pos="0" w:leader="none"/>
          <w:tab w:val="left" w:pos="1134" w:leader="none"/>
          <w:tab w:val="left" w:pos="1855" w:leader="none"/>
        </w:tabs>
        <w:ind w:left="0" w:firstLine="709"/>
        <w:jc w:val="both"/>
        <w:rPr>
          <w:bCs/>
          <w:sz w:val="24"/>
          <w:szCs w:val="24"/>
        </w:rPr>
      </w:pPr>
      <w:r>
        <w:rPr>
          <w:bCs/>
          <w:sz w:val="24"/>
          <w:szCs w:val="24"/>
        </w:rPr>
        <w:t xml:space="preserve">Срок поставки Товара: </w:t>
      </w:r>
      <w:r>
        <w:rPr>
          <w:sz w:val="24"/>
          <w:szCs w:val="24"/>
        </w:rPr>
        <w:t xml:space="preserve">позднее </w:t>
      </w:r>
      <w:r>
        <w:rPr>
          <w:sz w:val="24"/>
          <w:szCs w:val="24"/>
        </w:rPr>
        <w:t>18</w:t>
      </w:r>
      <w:r>
        <w:rPr>
          <w:bCs/>
          <w:sz w:val="24"/>
          <w:szCs w:val="24"/>
        </w:rPr>
        <w:t>.1</w:t>
      </w:r>
      <w:r>
        <w:rPr>
          <w:bCs/>
          <w:sz w:val="24"/>
          <w:szCs w:val="24"/>
          <w:lang w:val="en-US"/>
        </w:rPr>
        <w:t>2</w:t>
      </w:r>
      <w:r>
        <w:rPr>
          <w:bCs/>
          <w:sz w:val="24"/>
          <w:szCs w:val="24"/>
        </w:rPr>
        <w:t>.2026.</w:t>
      </w:r>
    </w:p>
    <w:p>
      <w:pPr>
        <w:pStyle w:val="Normal"/>
        <w:shd w:val="clear" w:color="auto" w:fill="FFFFFF"/>
        <w:tabs>
          <w:tab w:val="clear" w:pos="708"/>
          <w:tab w:val="left" w:pos="1134" w:leader="none"/>
          <w:tab w:val="left" w:pos="1851" w:leader="none"/>
        </w:tabs>
        <w:ind w:left="709" w:hanging="0"/>
        <w:jc w:val="both"/>
        <w:rPr>
          <w:bCs/>
          <w:sz w:val="24"/>
          <w:szCs w:val="24"/>
        </w:rPr>
      </w:pPr>
      <w:r>
        <w:rPr>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Цена Договора в соответствии со Спецификацией (Приложение № 1 к Договору) является твердой и составляет __ (________) рублей _____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производство и / или приобретение Товара;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8"/>
          <w:tab w:val="left" w:pos="1418" w:leader="none"/>
        </w:tabs>
        <w:ind w:left="0" w:firstLine="709"/>
        <w:jc w:val="both"/>
        <w:rPr>
          <w:sz w:val="24"/>
          <w:szCs w:val="24"/>
        </w:rPr>
      </w:pPr>
      <w:r>
        <w:rPr>
          <w:sz w:val="24"/>
          <w:szCs w:val="24"/>
        </w:rPr>
        <w:t>Авансовый платеж в размере 100 (сто) процентов от стоимости Товара, без учета НДС, кроме того НДС по ставке, установленной статьей 164 НК РФ на дату выплаты авансового платежа выплачивается Поставщику в течение 7 (семи) рабочих дней/20 (двадцати) календарных дней с даты получения Покупателем счета, выставленного Поставщиком, с учетом пункта 2.4.2 Договора.</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текущего/дополнительного счета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 w:val="left" w:pos="1851"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 w:val="left" w:pos="1851" w:leader="none"/>
        </w:tabs>
        <w:ind w:left="0" w:firstLine="709"/>
        <w:jc w:val="both"/>
        <w:rPr>
          <w:sz w:val="24"/>
          <w:szCs w:val="24"/>
        </w:rPr>
      </w:pPr>
      <w:r>
        <w:rPr>
          <w:sz w:val="24"/>
          <w:szCs w:val="24"/>
        </w:rPr>
        <w:t>Индексация Цены Договора не допускается.</w:t>
      </w:r>
    </w:p>
    <w:p>
      <w:pPr>
        <w:pStyle w:val="ListParagraph"/>
        <w:numPr>
          <w:ilvl w:val="1"/>
          <w:numId w:val="2"/>
        </w:numPr>
        <w:tabs>
          <w:tab w:val="clear" w:pos="708"/>
          <w:tab w:val="left" w:pos="1134" w:leader="none"/>
        </w:tabs>
        <w:ind w:left="0" w:firstLine="709"/>
        <w:jc w:val="both"/>
        <w:rPr>
          <w:sz w:val="24"/>
          <w:szCs w:val="24"/>
        </w:rPr>
      </w:pPr>
      <w:r>
        <w:rPr>
          <w:sz w:val="24"/>
          <w:szCs w:val="24"/>
        </w:rPr>
        <w:t>Поставщик обязан представить Покупателю счета-фактуры /</w:t>
      </w:r>
      <w:r>
        <w:rPr>
          <w:bCs/>
          <w:sz w:val="24"/>
          <w:szCs w:val="24"/>
        </w:rPr>
        <w:t>УПД</w:t>
      </w:r>
      <w:r>
        <w:rPr>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w:t>
      </w:r>
      <w:r>
        <w:rPr>
          <w:bCs/>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w:t>
      </w:r>
      <w:r>
        <w:rPr>
          <w:bCs/>
          <w:sz w:val="24"/>
          <w:szCs w:val="24"/>
        </w:rPr>
        <w:t>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8"/>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8"/>
          <w:tab w:val="left" w:pos="1134" w:leader="none"/>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8"/>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Normal"/>
        <w:widowControl/>
        <w:shd w:val="clear" w:color="auto" w:fill="FFFFFF"/>
        <w:tabs>
          <w:tab w:val="clear" w:pos="708"/>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tabs>
          <w:tab w:val="clear" w:pos="708"/>
          <w:tab w:val="left" w:pos="1134" w:leader="none"/>
        </w:tabs>
        <w:ind w:left="0" w:firstLine="709"/>
        <w:jc w:val="both"/>
        <w:rPr>
          <w:bCs/>
          <w:color w:val="000000" w:themeColor="text1"/>
          <w:sz w:val="24"/>
          <w:szCs w:val="24"/>
        </w:rPr>
      </w:pPr>
      <w:r>
        <w:rPr>
          <w:bCs/>
          <w:sz w:val="24"/>
          <w:szCs w:val="24"/>
        </w:rPr>
        <w:t xml:space="preserve">Одновременно с передачей Товара Поставщик обязан передать Покупателю </w:t>
      </w:r>
      <w:r>
        <w:rPr>
          <w:bCs/>
          <w:color w:val="000000" w:themeColor="text1"/>
          <w:sz w:val="24"/>
          <w:szCs w:val="24"/>
        </w:rPr>
        <w:t xml:space="preserve">оригиналы следующих относящихся к Товару документов: </w:t>
      </w:r>
    </w:p>
    <w:p>
      <w:pPr>
        <w:pStyle w:val="Normal"/>
        <w:numPr>
          <w:ilvl w:val="0"/>
          <w:numId w:val="4"/>
        </w:numPr>
        <w:tabs>
          <w:tab w:val="clear" w:pos="708"/>
          <w:tab w:val="left" w:pos="1418" w:leader="none"/>
        </w:tabs>
        <w:ind w:left="0" w:firstLine="709"/>
        <w:jc w:val="both"/>
        <w:rPr>
          <w:iCs/>
          <w:color w:val="000000" w:themeColor="text1"/>
          <w:sz w:val="24"/>
          <w:szCs w:val="24"/>
        </w:rPr>
      </w:pPr>
      <w:r>
        <w:rPr>
          <w:iCs/>
          <w:color w:val="000000" w:themeColor="text1"/>
          <w:sz w:val="24"/>
          <w:szCs w:val="24"/>
        </w:rPr>
        <w:t>инструкция по монтажу;</w:t>
      </w:r>
    </w:p>
    <w:p>
      <w:pPr>
        <w:pStyle w:val="Normal"/>
        <w:numPr>
          <w:ilvl w:val="0"/>
          <w:numId w:val="4"/>
        </w:numPr>
        <w:tabs>
          <w:tab w:val="clear" w:pos="708"/>
          <w:tab w:val="left" w:pos="1418" w:leader="none"/>
        </w:tabs>
        <w:ind w:left="0" w:firstLine="709"/>
        <w:jc w:val="both"/>
        <w:rPr>
          <w:iCs/>
          <w:sz w:val="24"/>
          <w:szCs w:val="24"/>
        </w:rPr>
      </w:pPr>
      <w:r>
        <w:rPr>
          <w:iCs/>
          <w:color w:val="000000" w:themeColor="text1"/>
          <w:sz w:val="24"/>
          <w:szCs w:val="24"/>
        </w:rPr>
        <w:t xml:space="preserve">упаковочный </w:t>
      </w:r>
      <w:r>
        <w:rPr>
          <w:iCs/>
          <w:sz w:val="24"/>
          <w:szCs w:val="24"/>
        </w:rPr>
        <w:t>лист, упаковочные ярлыки в 1 (одном) экз.;</w:t>
      </w:r>
    </w:p>
    <w:p>
      <w:pPr>
        <w:pStyle w:val="Normal"/>
        <w:numPr>
          <w:ilvl w:val="0"/>
          <w:numId w:val="3"/>
        </w:numPr>
        <w:tabs>
          <w:tab w:val="clear" w:pos="708"/>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left="0" w:firstLine="709"/>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pPr>
        <w:pStyle w:val="Normal"/>
        <w:numPr>
          <w:ilvl w:val="0"/>
          <w:numId w:val="3"/>
        </w:numPr>
        <w:shd w:val="clear" w:color="auto" w:fill="FFFFFF"/>
        <w:tabs>
          <w:tab w:val="clear" w:pos="708"/>
          <w:tab w:val="left" w:pos="1418" w:leader="none"/>
        </w:tabs>
        <w:ind w:left="0" w:firstLine="709"/>
        <w:jc w:val="both"/>
        <w:rPr>
          <w:sz w:val="24"/>
          <w:szCs w:val="24"/>
        </w:rPr>
      </w:pPr>
      <w:r>
        <w:rPr>
          <w:bCs/>
          <w:sz w:val="24"/>
          <w:szCs w:val="24"/>
        </w:rPr>
        <w:t>Накладная ТОРГ-12/УПД</w:t>
      </w:r>
      <w:r>
        <w:rPr>
          <w:sz w:val="24"/>
          <w:szCs w:val="24"/>
        </w:rPr>
        <w:t xml:space="preserve"> в 2 (двух) экз.;</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Погрузка, доставка, разгрузка Товара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141" w:leader="none"/>
          <w:tab w:val="left" w:pos="1418" w:leader="none"/>
        </w:tabs>
        <w:ind w:left="0" w:firstLine="709"/>
        <w:jc w:val="both"/>
        <w:rPr>
          <w:sz w:val="24"/>
          <w:szCs w:val="24"/>
        </w:rPr>
      </w:pPr>
      <w:bookmarkStart w:id="1" w:name="_Ref361396594"/>
      <w:r>
        <w:rPr>
          <w:sz w:val="24"/>
          <w:szCs w:val="24"/>
        </w:rPr>
        <w:t xml:space="preserve">Датой поставки Товара является дата подписания Сторонами </w:t>
      </w:r>
      <w:r>
        <w:rPr>
          <w:bCs/>
          <w:sz w:val="24"/>
          <w:szCs w:val="24"/>
        </w:rPr>
        <w:t>Накладной ТОРГ-12/</w:t>
      </w:r>
      <w:r>
        <w:rPr>
          <w:sz w:val="24"/>
          <w:szCs w:val="24"/>
        </w:rPr>
        <w:t xml:space="preserve"> </w:t>
      </w:r>
      <w:r>
        <w:rPr>
          <w:bCs/>
          <w:sz w:val="24"/>
          <w:szCs w:val="24"/>
        </w:rPr>
        <w:t>УПД</w:t>
      </w:r>
      <w:r>
        <w:rPr>
          <w:sz w:val="24"/>
          <w:szCs w:val="24"/>
        </w:rPr>
        <w:t>.</w:t>
      </w:r>
      <w:bookmarkEnd w:id="1"/>
      <w:r>
        <w:rPr>
          <w:sz w:val="24"/>
          <w:szCs w:val="24"/>
        </w:rPr>
        <w:t xml:space="preserve"> </w:t>
      </w:r>
    </w:p>
    <w:p>
      <w:pPr>
        <w:pStyle w:val="ListParagraph"/>
        <w:widowControl/>
        <w:numPr>
          <w:ilvl w:val="1"/>
          <w:numId w:val="2"/>
        </w:numPr>
        <w:shd w:val="clear" w:color="auto" w:fill="FFFFFF"/>
        <w:tabs>
          <w:tab w:val="clear" w:pos="708"/>
          <w:tab w:val="left" w:pos="1141" w:leader="none"/>
          <w:tab w:val="left" w:pos="1418" w:leader="none"/>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141" w:leader="none"/>
          <w:tab w:val="left" w:pos="1418" w:leader="none"/>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8"/>
          <w:tab w:val="left" w:pos="1418" w:leader="none"/>
        </w:tabs>
        <w:ind w:left="0" w:firstLine="709"/>
        <w:jc w:val="both"/>
        <w:rPr>
          <w:sz w:val="24"/>
          <w:szCs w:val="24"/>
        </w:rPr>
      </w:pPr>
      <w:bookmarkStart w:id="2"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sz w:val="24"/>
          <w:szCs w:val="24"/>
        </w:rPr>
        <w:t xml:space="preserve"> </w:t>
      </w:r>
    </w:p>
    <w:p>
      <w:pPr>
        <w:pStyle w:val="ListParagraph"/>
        <w:widowControl/>
        <w:numPr>
          <w:ilvl w:val="1"/>
          <w:numId w:val="2"/>
        </w:numPr>
        <w:shd w:val="clear" w:color="auto" w:fill="FFFFFF"/>
        <w:tabs>
          <w:tab w:val="clear" w:pos="708"/>
          <w:tab w:val="left" w:pos="1141" w:leader="none"/>
          <w:tab w:val="left" w:pos="1418" w:leader="none"/>
        </w:tabs>
        <w:ind w:left="0" w:firstLine="709"/>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течение 10 (десяти) рабочих дней </w:t>
        <w:br/>
        <w:t xml:space="preserve">с даты подписания Покупателем транспортных документов. В случае отсутствия замечаний Покупатель подписывает </w:t>
      </w:r>
      <w:r>
        <w:rPr>
          <w:bCs/>
          <w:sz w:val="24"/>
          <w:szCs w:val="24"/>
        </w:rPr>
        <w:t>Накладную ТОРГ-12/УПД</w:t>
      </w:r>
      <w:r>
        <w:rPr>
          <w:sz w:val="24"/>
          <w:szCs w:val="24"/>
        </w:rPr>
        <w:t>.</w:t>
      </w:r>
    </w:p>
    <w:p>
      <w:pPr>
        <w:pStyle w:val="Normal"/>
        <w:numPr>
          <w:ilvl w:val="1"/>
          <w:numId w:val="2"/>
        </w:numPr>
        <w:shd w:val="clear" w:color="auto" w:fill="FFFFFF"/>
        <w:tabs>
          <w:tab w:val="clear" w:pos="708"/>
          <w:tab w:val="left" w:pos="568" w:leader="none"/>
          <w:tab w:val="left" w:pos="1134" w:leader="none"/>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numPr>
          <w:ilvl w:val="1"/>
          <w:numId w:val="2"/>
        </w:numPr>
        <w:shd w:val="clear" w:color="auto" w:fill="FFFFFF"/>
        <w:tabs>
          <w:tab w:val="clear" w:pos="708"/>
          <w:tab w:val="left" w:pos="1141" w:leader="none"/>
          <w:tab w:val="left" w:pos="1418"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w:t>
      </w:r>
      <w:r>
        <w:rPr>
          <w:color w:val="FF0000"/>
          <w:sz w:val="24"/>
          <w:szCs w:val="24"/>
        </w:rPr>
        <w:t xml:space="preserve"> </w:t>
      </w:r>
      <w:r>
        <w:rPr>
          <w:sz w:val="24"/>
          <w:szCs w:val="24"/>
        </w:rPr>
        <w:t>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Pr>
          <w:bCs/>
          <w:sz w:val="24"/>
          <w:szCs w:val="24"/>
        </w:rPr>
        <w:t>Накладной ТОРГ-12/УПД</w:t>
      </w:r>
      <w:r>
        <w:rPr>
          <w:sz w:val="24"/>
          <w:szCs w:val="24"/>
        </w:rPr>
        <w:t>.</w:t>
      </w:r>
    </w:p>
    <w:p>
      <w:pPr>
        <w:pStyle w:val="Normal"/>
        <w:shd w:val="clear" w:color="auto" w:fill="FFFFFF"/>
        <w:ind w:firstLine="709"/>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left="0" w:firstLine="709"/>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left="0" w:firstLine="709"/>
        <w:jc w:val="both"/>
        <w:rPr>
          <w:sz w:val="24"/>
          <w:szCs w:val="24"/>
        </w:rPr>
      </w:pPr>
      <w:r>
        <w:rPr>
          <w:sz w:val="24"/>
          <w:szCs w:val="24"/>
        </w:rPr>
        <w:t xml:space="preserve">Гарантийный срок на Товар, поставленный по Договору, составляет 60 (шестьдесят) месяцев и начинает течь с даты подписания Сторонами </w:t>
      </w:r>
      <w:r>
        <w:rPr>
          <w:bCs/>
          <w:sz w:val="24"/>
          <w:szCs w:val="24"/>
        </w:rPr>
        <w:t>Накладной ТОРГ-12/УПД</w:t>
      </w:r>
      <w:r>
        <w:rPr>
          <w:sz w:val="24"/>
          <w:szCs w:val="24"/>
        </w:rPr>
        <w:t xml:space="preserve">.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ListParagraph"/>
        <w:shd w:val="clear" w:color="auto" w:fill="FFFFFF"/>
        <w:tabs>
          <w:tab w:val="clear" w:pos="708"/>
          <w:tab w:val="left" w:pos="284" w:leader="none"/>
        </w:tabs>
        <w:ind w:left="0" w:hanging="0"/>
        <w:rPr>
          <w:b/>
          <w:sz w:val="24"/>
          <w:szCs w:val="24"/>
        </w:rPr>
      </w:pPr>
      <w:r>
        <w:rPr>
          <w:b/>
          <w:sz w:val="24"/>
          <w:szCs w:val="24"/>
        </w:rPr>
      </w:r>
    </w:p>
    <w:p>
      <w:pPr>
        <w:pStyle w:val="Normal"/>
        <w:shd w:val="clear" w:color="auto" w:fill="FFFFFF"/>
        <w:rPr>
          <w:b/>
          <w:sz w:val="24"/>
          <w:szCs w:val="24"/>
        </w:rPr>
      </w:pPr>
      <w:r>
        <w:rPr>
          <w:b/>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134"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Покупатель не несет ответственности за ненадлежащее исполнение обязательств </w:t>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8"/>
          <w:tab w:val="left" w:pos="1134" w:leader="none"/>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widowControl/>
        <w:numPr>
          <w:ilvl w:val="1"/>
          <w:numId w:val="2"/>
        </w:numPr>
        <w:tabs>
          <w:tab w:val="clear" w:pos="708"/>
          <w:tab w:val="left" w:pos="1134" w:leader="none"/>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2"/>
        </w:numPr>
        <w:tabs>
          <w:tab w:val="clear" w:pos="708"/>
          <w:tab w:val="left" w:pos="1134" w:leader="none"/>
        </w:tabs>
        <w:ind w:left="0" w:firstLine="709"/>
        <w:jc w:val="both"/>
        <w:rPr>
          <w:bCs/>
          <w:sz w:val="24"/>
          <w:szCs w:val="24"/>
        </w:rPr>
      </w:pPr>
      <w:r>
        <w:rPr>
          <w:bCs/>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ListParagraph"/>
        <w:widowControl/>
        <w:numPr>
          <w:ilvl w:val="2"/>
          <w:numId w:val="2"/>
        </w:numPr>
        <w:tabs>
          <w:tab w:val="clear" w:pos="708"/>
          <w:tab w:val="left" w:pos="1135" w:leader="none"/>
          <w:tab w:val="left" w:pos="1418" w:leader="none"/>
        </w:tabs>
        <w:ind w:left="0" w:firstLine="709"/>
        <w:jc w:val="both"/>
        <w:rPr>
          <w:sz w:val="24"/>
          <w:szCs w:val="24"/>
          <w:lang w:eastAsia="en-US"/>
        </w:rPr>
      </w:pPr>
      <w:r>
        <w:rPr>
          <w:sz w:val="24"/>
          <w:szCs w:val="24"/>
          <w:lang w:eastAsia="en-US"/>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влияющих на возможность эксплуатации (использования) Товара в целом;</w:t>
      </w:r>
    </w:p>
    <w:p>
      <w:pPr>
        <w:pStyle w:val="ListParagraph"/>
        <w:widowControl/>
        <w:numPr>
          <w:ilvl w:val="2"/>
          <w:numId w:val="2"/>
        </w:numPr>
        <w:tabs>
          <w:tab w:val="clear" w:pos="708"/>
          <w:tab w:val="left" w:pos="1135" w:leader="none"/>
          <w:tab w:val="left" w:pos="1418" w:leader="none"/>
        </w:tabs>
        <w:ind w:left="0" w:firstLine="709"/>
        <w:jc w:val="both"/>
        <w:rPr>
          <w:sz w:val="24"/>
          <w:szCs w:val="24"/>
          <w:lang w:eastAsia="en-US"/>
        </w:rPr>
      </w:pPr>
      <w:r>
        <w:rPr>
          <w:sz w:val="24"/>
          <w:szCs w:val="24"/>
          <w:lang w:eastAsia="en-US"/>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2"/>
        </w:numPr>
        <w:tabs>
          <w:tab w:val="clear" w:pos="708"/>
          <w:tab w:val="left" w:pos="1134" w:leader="none"/>
        </w:tabs>
        <w:ind w:left="0" w:firstLine="709"/>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Если в результате составления и выставления Поставщиком счетов-фактур/ 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134" w:leader="none"/>
        </w:tabs>
        <w:ind w:left="0" w:firstLine="709"/>
        <w:jc w:val="both"/>
        <w:rPr>
          <w:bCs/>
          <w:sz w:val="24"/>
          <w:szCs w:val="24"/>
        </w:rPr>
      </w:pPr>
      <w:r>
        <w:rPr>
          <w:bCs/>
          <w:sz w:val="24"/>
          <w:szCs w:val="24"/>
        </w:rPr>
        <w:t>В случае нарушения Поставщиком сроков предоставления счетов-фактур/ УПД,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три сотых) процента от Цены Договора за каждый день просрочки.</w:t>
      </w:r>
    </w:p>
    <w:p>
      <w:pPr>
        <w:pStyle w:val="ListParagraph"/>
        <w:widowControl/>
        <w:numPr>
          <w:ilvl w:val="1"/>
          <w:numId w:val="2"/>
        </w:numPr>
        <w:shd w:val="clear" w:color="auto" w:fill="FFFFFF"/>
        <w:tabs>
          <w:tab w:val="clear" w:pos="708"/>
          <w:tab w:val="left" w:pos="1141" w:leader="none"/>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141" w:leader="none"/>
          <w:tab w:val="left" w:pos="1276" w:leader="none"/>
          <w:tab w:val="left" w:pos="1418"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141" w:leader="none"/>
          <w:tab w:val="left" w:pos="1276" w:leader="none"/>
          <w:tab w:val="left" w:pos="1418"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141" w:leader="none"/>
          <w:tab w:val="left" w:pos="1276" w:leader="none"/>
          <w:tab w:val="left" w:pos="1418"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141" w:leader="none"/>
          <w:tab w:val="left" w:pos="1276" w:leader="none"/>
          <w:tab w:val="left" w:pos="1418"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pPr>
        <w:pStyle w:val="Normal"/>
        <w:shd w:val="clear" w:color="auto" w:fill="FFFFFF"/>
        <w:tabs>
          <w:tab w:val="clear" w:pos="708"/>
          <w:tab w:val="left" w:pos="1134" w:leader="none"/>
          <w:tab w:val="left" w:pos="1283" w:leader="none"/>
        </w:tabs>
        <w:ind w:left="709" w:hanging="0"/>
        <w:jc w:val="both"/>
        <w:rPr>
          <w:bCs/>
          <w:sz w:val="24"/>
          <w:szCs w:val="24"/>
        </w:rPr>
      </w:pPr>
      <w:r>
        <w:rPr>
          <w:bCs/>
          <w:sz w:val="24"/>
          <w:szCs w:val="24"/>
        </w:rPr>
        <w:t xml:space="preserve"> </w:t>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 за исключением споров из Банковской гарантии, подсудность которых предусмотрена пунктом 5.1.8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5 (пяти)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9.7.2.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141"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tabs>
          <w:tab w:val="clear" w:pos="708"/>
          <w:tab w:val="left" w:pos="1134" w:leader="none"/>
        </w:tabs>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 w:val="left" w:pos="567"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141" w:leader="none"/>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lef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8"/>
          <w:tab w:val="left" w:pos="0" w:leader="none"/>
          <w:tab w:val="left" w:pos="1418" w:leader="none"/>
        </w:tabs>
        <w:ind w:left="0" w:firstLine="709"/>
        <w:jc w:val="both"/>
        <w:rPr>
          <w:sz w:val="24"/>
          <w:szCs w:val="24"/>
        </w:rPr>
      </w:pPr>
      <w:r>
        <w:rPr>
          <w:sz w:val="24"/>
          <w:szCs w:val="24"/>
        </w:rPr>
        <w:t>нарушение Поставщиком общего срока поставки Товара по Договору более чем на 60 (шестьдесят) календарных дней по причинам, не зависящим от Покупателя;</w:t>
      </w:r>
    </w:p>
    <w:p>
      <w:pPr>
        <w:pStyle w:val="ListParagraph"/>
        <w:widowControl/>
        <w:numPr>
          <w:ilvl w:val="0"/>
          <w:numId w:val="6"/>
        </w:numPr>
        <w:tabs>
          <w:tab w:val="clear" w:pos="708"/>
          <w:tab w:val="left" w:pos="0" w:leader="none"/>
          <w:tab w:val="left" w:pos="1418" w:leader="none"/>
        </w:tabs>
        <w:ind w:left="0"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8"/>
          <w:tab w:val="left" w:pos="0" w:leader="none"/>
          <w:tab w:val="left" w:pos="1418" w:leader="none"/>
        </w:tabs>
        <w:ind w:left="0"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8"/>
          <w:tab w:val="left" w:pos="0" w:leader="none"/>
          <w:tab w:val="left" w:pos="1418" w:leader="none"/>
        </w:tabs>
        <w:ind w:left="0"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8"/>
          <w:tab w:val="left" w:pos="0" w:leader="none"/>
          <w:tab w:val="left" w:pos="1418" w:leader="none"/>
        </w:tabs>
        <w:ind w:left="0" w:firstLine="709"/>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1134" w:leader="none"/>
        </w:tabs>
        <w:ind w:left="0"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8"/>
          <w:tab w:val="left" w:pos="0" w:leader="none"/>
        </w:tabs>
        <w:ind w:firstLine="709"/>
        <w:jc w:val="both"/>
        <w:rPr>
          <w:sz w:val="24"/>
          <w:szCs w:val="24"/>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 </w:t>
      </w: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14.8 Договора. </w:t>
      </w:r>
    </w:p>
    <w:p>
      <w:pPr>
        <w:pStyle w:val="ListParagraph"/>
        <w:widowControl/>
        <w:numPr>
          <w:ilvl w:val="1"/>
          <w:numId w:val="2"/>
        </w:numPr>
        <w:shd w:val="clear" w:color="auto" w:fill="FFFFFF"/>
        <w:tabs>
          <w:tab w:val="clear" w:pos="708"/>
          <w:tab w:val="left" w:pos="0" w:leader="none"/>
          <w:tab w:val="left" w:pos="1141" w:leader="none"/>
          <w:tab w:val="left" w:pos="1418" w:leader="none"/>
        </w:tabs>
        <w:ind w:left="0" w:firstLine="709"/>
        <w:jc w:val="both"/>
        <w:rPr>
          <w:sz w:val="24"/>
          <w:szCs w:val="24"/>
        </w:rPr>
      </w:pPr>
      <w:bookmarkStart w:id="8" w:name="_Ref361338004"/>
      <w:r>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w:t>
      </w:r>
      <w:bookmarkEnd w:id="8"/>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pPr>
        <w:pStyle w:val="Normal"/>
        <w:widowControl/>
        <w:numPr>
          <w:ilvl w:val="1"/>
          <w:numId w:val="2"/>
        </w:numPr>
        <w:tabs>
          <w:tab w:val="clear" w:pos="708"/>
          <w:tab w:val="left" w:pos="0" w:leader="none"/>
          <w:tab w:val="left" w:pos="1141"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numPr>
          <w:ilvl w:val="1"/>
          <w:numId w:val="2"/>
        </w:numPr>
        <w:tabs>
          <w:tab w:val="clear" w:pos="708"/>
          <w:tab w:val="left" w:pos="0" w:leader="none"/>
          <w:tab w:val="left" w:pos="1141" w:leader="none"/>
          <w:tab w:val="left" w:pos="1418" w:leader="none"/>
        </w:tabs>
        <w:ind w:left="0" w:firstLine="709"/>
        <w:jc w:val="both"/>
        <w:rPr>
          <w:bCs/>
          <w:sz w:val="24"/>
          <w:szCs w:val="24"/>
        </w:rPr>
      </w:pPr>
      <w:r>
        <w:rPr>
          <w:bCs/>
          <w:sz w:val="24"/>
          <w:szCs w:val="24"/>
        </w:rPr>
        <w:t>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трёхсторонним договором.</w:t>
      </w:r>
    </w:p>
    <w:p>
      <w:pPr>
        <w:pStyle w:val="Normal"/>
        <w:widowControl/>
        <w:tabs>
          <w:tab w:val="clear" w:pos="708"/>
          <w:tab w:val="left" w:pos="0" w:leader="none"/>
          <w:tab w:val="left" w:pos="1418" w:leader="none"/>
        </w:tabs>
        <w:ind w:firstLine="709"/>
        <w:jc w:val="both"/>
        <w:rPr>
          <w:bCs/>
          <w:sz w:val="24"/>
          <w:szCs w:val="24"/>
        </w:rPr>
      </w:pPr>
      <w:r>
        <w:rPr>
          <w:bCs/>
          <w:sz w:val="24"/>
          <w:szCs w:val="24"/>
        </w:rPr>
        <w:t>Уступка (передача) Поставщиком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p>
      <w:pPr>
        <w:pStyle w:val="ListParagraph"/>
        <w:numPr>
          <w:ilvl w:val="1"/>
          <w:numId w:val="2"/>
        </w:numPr>
        <w:tabs>
          <w:tab w:val="clear" w:pos="708"/>
          <w:tab w:val="left" w:pos="1141"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0"/>
          <w:numId w:val="2"/>
        </w:numPr>
        <w:shd w:val="clear" w:color="auto" w:fill="FFFFFF"/>
        <w:tabs>
          <w:tab w:val="clear" w:pos="708"/>
          <w:tab w:val="left" w:pos="284" w:leader="none"/>
        </w:tabs>
        <w:ind w:left="0" w:hanging="360"/>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Адреса и платежные реквизиты Сторон</w:t>
      </w:r>
    </w:p>
    <w:tbl>
      <w:tblPr>
        <w:tblW w:w="9639" w:type="dxa"/>
        <w:jc w:val="left"/>
        <w:tblInd w:w="-5" w:type="dxa"/>
        <w:tblLayout w:type="fixed"/>
        <w:tblCellMar>
          <w:top w:w="0" w:type="dxa"/>
          <w:left w:w="108" w:type="dxa"/>
          <w:bottom w:w="0" w:type="dxa"/>
          <w:right w:w="108" w:type="dxa"/>
        </w:tblCellMar>
        <w:tblLook w:noVBand="0" w:val="01e0" w:noHBand="0" w:lastColumn="1" w:firstColumn="1" w:lastRow="1" w:firstRow="1"/>
      </w:tblPr>
      <w:tblGrid>
        <w:gridCol w:w="2964"/>
        <w:gridCol w:w="1735"/>
        <w:gridCol w:w="1680"/>
        <w:gridCol w:w="3019"/>
        <w:gridCol w:w="241"/>
      </w:tblGrid>
      <w:tr>
        <w:trPr>
          <w:tblHeader w:val="true"/>
          <w:trHeight w:val="387"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ind w:left="360" w:hanging="0"/>
              <w:jc w:val="center"/>
              <w:rPr>
                <w:b/>
                <w:color w:val="000000"/>
                <w:sz w:val="24"/>
                <w:szCs w:val="24"/>
                <w:lang w:eastAsia="en-US"/>
              </w:rPr>
            </w:pPr>
            <w:r>
              <w:rPr>
                <w:b/>
                <w:color w:val="000000"/>
                <w:sz w:val="24"/>
                <w:szCs w:val="24"/>
                <w:lang w:eastAsia="en-US"/>
              </w:rPr>
              <w:t>Наименование реквизита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jc w:val="center"/>
              <w:rPr>
                <w:b/>
                <w:color w:val="000000"/>
                <w:sz w:val="24"/>
                <w:szCs w:val="24"/>
                <w:lang w:eastAsia="en-US"/>
              </w:rPr>
            </w:pPr>
            <w:r>
              <w:rPr>
                <w:b/>
                <w:color w:val="000000"/>
                <w:sz w:val="24"/>
                <w:szCs w:val="24"/>
                <w:lang w:eastAsia="en-US"/>
              </w:rPr>
              <w:t>Покупатель</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jc w:val="center"/>
              <w:rPr>
                <w:b/>
                <w:sz w:val="24"/>
                <w:szCs w:val="24"/>
                <w:lang w:eastAsia="en-US"/>
              </w:rPr>
            </w:pPr>
            <w:r>
              <w:rPr>
                <w:b/>
                <w:sz w:val="24"/>
                <w:szCs w:val="24"/>
                <w:lang w:eastAsia="en-US"/>
              </w:rPr>
              <w:t>Поставщик</w:t>
            </w:r>
          </w:p>
        </w:tc>
      </w:tr>
      <w:tr>
        <w:trPr>
          <w:trHeight w:val="558"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Полное наименование</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Публичное акционерное общество «Федеральная гидрогенерирующая компания-РусГидро»</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60"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Сокращенное наименование</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ПАО «РусГидро»</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771"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Место нахождения Общества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6</w:t>
            </w:r>
            <w:bookmarkStart w:id="9" w:name="_GoBack_Копия_1_Копия_1"/>
            <w:r>
              <w:rPr>
                <w:sz w:val="24"/>
                <w:szCs w:val="24"/>
                <w:lang w:eastAsia="en-US"/>
              </w:rPr>
              <w:t xml:space="preserve">60049, Российская Федерация, Красноярский край, </w:t>
            </w:r>
          </w:p>
          <w:p>
            <w:pPr>
              <w:pStyle w:val="Normal"/>
              <w:widowControl w:val="false"/>
              <w:snapToGrid w:val="false"/>
              <w:spacing w:lineRule="auto" w:line="216"/>
              <w:rPr>
                <w:sz w:val="24"/>
                <w:szCs w:val="24"/>
                <w:lang w:eastAsia="en-US"/>
              </w:rPr>
            </w:pPr>
            <w:r>
              <w:rPr>
                <w:sz w:val="24"/>
                <w:szCs w:val="24"/>
                <w:lang w:eastAsia="en-US"/>
              </w:rPr>
              <w:t xml:space="preserve">г.о. город Красноярск, </w:t>
            </w:r>
          </w:p>
          <w:p>
            <w:pPr>
              <w:pStyle w:val="Normal"/>
              <w:widowControl w:val="false"/>
              <w:snapToGrid w:val="false"/>
              <w:spacing w:lineRule="auto" w:line="216"/>
              <w:rPr>
                <w:sz w:val="24"/>
                <w:szCs w:val="24"/>
                <w:lang w:eastAsia="en-US"/>
              </w:rPr>
            </w:pPr>
            <w:r>
              <w:rPr>
                <w:sz w:val="24"/>
                <w:szCs w:val="24"/>
                <w:lang w:eastAsia="en-US"/>
              </w:rPr>
              <w:t>г. Красноярск, ул. Перенсона, зд. 2а, помещ. 1</w:t>
            </w:r>
            <w:bookmarkEnd w:id="9"/>
          </w:p>
        </w:tc>
        <w:tc>
          <w:tcPr>
            <w:tcW w:w="326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16"/>
              <w:rPr>
                <w:sz w:val="24"/>
                <w:szCs w:val="24"/>
                <w:lang w:eastAsia="en-US"/>
              </w:rPr>
            </w:pPr>
            <w:r>
              <w:rPr>
                <w:sz w:val="24"/>
                <w:szCs w:val="24"/>
                <w:lang w:eastAsia="en-US"/>
              </w:rPr>
            </w:r>
          </w:p>
        </w:tc>
      </w:tr>
      <w:tr>
        <w:trPr>
          <w:trHeight w:val="447"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Почтовый адрес для отправки корреспонденции</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 xml:space="preserve">655619, Российская Федерация, </w:t>
            </w:r>
          </w:p>
          <w:p>
            <w:pPr>
              <w:pStyle w:val="Normal"/>
              <w:widowControl w:val="false"/>
              <w:snapToGrid w:val="false"/>
              <w:spacing w:lineRule="auto" w:line="216"/>
              <w:rPr>
                <w:sz w:val="24"/>
                <w:szCs w:val="24"/>
                <w:lang w:eastAsia="en-US"/>
              </w:rPr>
            </w:pPr>
            <w:r>
              <w:rPr>
                <w:sz w:val="24"/>
                <w:szCs w:val="24"/>
                <w:lang w:eastAsia="en-US"/>
              </w:rPr>
              <w:t xml:space="preserve">Республика Хакасия, г. Саяногорск, </w:t>
            </w:r>
          </w:p>
          <w:p>
            <w:pPr>
              <w:pStyle w:val="Normal"/>
              <w:widowControl w:val="false"/>
              <w:snapToGrid w:val="false"/>
              <w:spacing w:lineRule="auto" w:line="216"/>
              <w:rPr>
                <w:sz w:val="24"/>
                <w:szCs w:val="24"/>
                <w:lang w:eastAsia="en-US"/>
              </w:rPr>
            </w:pPr>
            <w:r>
              <w:rPr>
                <w:sz w:val="24"/>
                <w:szCs w:val="24"/>
                <w:lang w:eastAsia="en-US"/>
              </w:rPr>
              <w:t>рп. Черемушки, а/я 39</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921"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Полное наименование филиала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Филиал Публичного акционерного общества «Федеральная гидрогенерирующая компания - РусГидро» - «Саяно-Шушенская ГЭС имени П.С. Непорожнего»</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napToGrid w:val="false"/>
              <w:spacing w:lineRule="auto" w:line="216"/>
              <w:rPr>
                <w:sz w:val="24"/>
                <w:szCs w:val="24"/>
                <w:lang w:eastAsia="en-US"/>
              </w:rPr>
            </w:pPr>
            <w:r>
              <w:rPr>
                <w:sz w:val="24"/>
                <w:szCs w:val="24"/>
                <w:lang w:eastAsia="en-US"/>
              </w:rPr>
            </w:r>
          </w:p>
        </w:tc>
      </w:tr>
      <w:tr>
        <w:trPr>
          <w:trHeight w:val="725"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Сокращенное наименование филиала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Филиал ПАО «РусГидро» – «Саяно-Шушенская ГЭС имени П.С. Непорожнего»</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napToGrid w:val="false"/>
              <w:spacing w:lineRule="auto" w:line="216"/>
              <w:rPr>
                <w:sz w:val="24"/>
                <w:szCs w:val="24"/>
                <w:lang w:eastAsia="en-US"/>
              </w:rPr>
            </w:pPr>
            <w:r>
              <w:rPr>
                <w:sz w:val="24"/>
                <w:szCs w:val="24"/>
                <w:lang w:eastAsia="en-US"/>
              </w:rPr>
            </w:r>
          </w:p>
        </w:tc>
      </w:tr>
      <w:tr>
        <w:trPr>
          <w:trHeight w:val="884"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Место нахождения филиала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 xml:space="preserve">655619, Российская Федерация, </w:t>
            </w:r>
          </w:p>
          <w:p>
            <w:pPr>
              <w:pStyle w:val="Normal"/>
              <w:widowControl w:val="false"/>
              <w:snapToGrid w:val="false"/>
              <w:spacing w:lineRule="auto" w:line="216"/>
              <w:rPr>
                <w:sz w:val="24"/>
                <w:szCs w:val="24"/>
                <w:lang w:eastAsia="en-US"/>
              </w:rPr>
            </w:pPr>
            <w:r>
              <w:rPr>
                <w:sz w:val="24"/>
                <w:szCs w:val="24"/>
                <w:lang w:eastAsia="en-US"/>
              </w:rPr>
              <w:t xml:space="preserve">Республика Хакасия, </w:t>
            </w:r>
          </w:p>
          <w:p>
            <w:pPr>
              <w:pStyle w:val="Normal"/>
              <w:widowControl w:val="false"/>
              <w:snapToGrid w:val="false"/>
              <w:spacing w:lineRule="auto" w:line="216"/>
              <w:rPr>
                <w:sz w:val="24"/>
                <w:szCs w:val="24"/>
                <w:lang w:eastAsia="en-US"/>
              </w:rPr>
            </w:pPr>
            <w:r>
              <w:rPr>
                <w:sz w:val="24"/>
                <w:szCs w:val="24"/>
                <w:lang w:eastAsia="en-US"/>
              </w:rPr>
              <w:t>г. Саяногорск, рп. Черемушки</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napToGrid w:val="false"/>
              <w:spacing w:lineRule="auto" w:line="216"/>
              <w:rPr>
                <w:sz w:val="24"/>
                <w:szCs w:val="24"/>
                <w:lang w:eastAsia="en-US"/>
              </w:rPr>
            </w:pPr>
            <w:r>
              <w:rPr>
                <w:sz w:val="24"/>
                <w:szCs w:val="24"/>
                <w:lang w:eastAsia="en-US"/>
              </w:rPr>
            </w:r>
          </w:p>
        </w:tc>
      </w:tr>
      <w:tr>
        <w:trPr>
          <w:trHeight w:val="527"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Получатель</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t>Филиал ПАО «РусГидро» – «Саяно-Шушенская ГЭС имени П.С. Непорожнего»</w:t>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591"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Банк получателя</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413"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Расчетный счет</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spacing w:lineRule="exact" w:line="230"/>
              <w:ind w:left="-40" w:hanging="0"/>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231"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Корреспондентский счет</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175"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БИК</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157"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ИНН/КПП</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157"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ОГРН</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225"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Тел./ факс</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150"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Руководитель стороны Договора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lang w:eastAsia="en-US"/>
              </w:rPr>
            </w:pPr>
            <w:r>
              <w:rPr>
                <w:sz w:val="24"/>
                <w:szCs w:val="24"/>
                <w:lang w:eastAsia="en-US"/>
              </w:rPr>
            </w:r>
          </w:p>
        </w:tc>
      </w:tr>
      <w:tr>
        <w:trPr>
          <w:trHeight w:val="150"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color w:val="000000"/>
                <w:sz w:val="24"/>
                <w:szCs w:val="24"/>
                <w:lang w:eastAsia="en-US"/>
              </w:rPr>
            </w:pPr>
            <w:r>
              <w:rPr>
                <w:color w:val="000000"/>
                <w:sz w:val="24"/>
                <w:szCs w:val="24"/>
                <w:lang w:eastAsia="en-US"/>
              </w:rPr>
              <w:t>Руководитель Филиала</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highlight w:val="lightGray"/>
                <w:lang w:eastAsia="en-US"/>
              </w:rPr>
            </w:pPr>
            <w:r>
              <w:rPr>
                <w:sz w:val="24"/>
                <w:szCs w:val="24"/>
                <w:highlight w:val="lightGray"/>
                <w:lang w:eastAsia="en-US"/>
              </w:rPr>
            </w: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napToGrid w:val="false"/>
              <w:spacing w:lineRule="auto" w:line="216"/>
              <w:rPr>
                <w:sz w:val="24"/>
                <w:szCs w:val="24"/>
                <w:lang w:eastAsia="en-US"/>
              </w:rPr>
            </w:pPr>
            <w:r>
              <w:rPr>
                <w:sz w:val="24"/>
                <w:szCs w:val="24"/>
                <w:lang w:eastAsia="en-US"/>
              </w:rPr>
            </w:r>
          </w:p>
        </w:tc>
      </w:tr>
      <w:tr>
        <w:trPr>
          <w:trHeight w:val="266" w:hRule="atLeast"/>
        </w:trPr>
        <w:tc>
          <w:tcPr>
            <w:tcW w:w="2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52"/>
              <w:rPr>
                <w:sz w:val="24"/>
                <w:szCs w:val="24"/>
                <w:lang w:eastAsia="en-US"/>
              </w:rPr>
            </w:pPr>
            <w:r>
              <w:rPr>
                <w:color w:val="000000"/>
                <w:sz w:val="24"/>
                <w:szCs w:val="24"/>
                <w:lang w:eastAsia="en-US"/>
              </w:rPr>
              <w:t>Контактное лицо</w:t>
            </w:r>
          </w:p>
        </w:tc>
        <w:tc>
          <w:tcPr>
            <w:tcW w:w="341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highlight w:val="lightGray"/>
                <w:lang w:val="en-US" w:eastAsia="en-US"/>
              </w:rPr>
            </w:pPr>
            <w:r>
              <w:rPr>
                <w:sz w:val="24"/>
                <w:szCs w:val="24"/>
                <w:highlight w:val="lightGray"/>
                <w:lang w:val="en-US" w:eastAsia="en-US"/>
              </w:rPr>
            </w:r>
          </w:p>
        </w:tc>
        <w:tc>
          <w:tcPr>
            <w:tcW w:w="326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16"/>
              <w:rPr>
                <w:sz w:val="24"/>
                <w:szCs w:val="24"/>
                <w:lang w:eastAsia="en-US"/>
              </w:rPr>
            </w:pPr>
            <w:r>
              <w:rPr>
                <w:sz w:val="24"/>
                <w:szCs w:val="24"/>
                <w:lang w:eastAsia="en-US"/>
              </w:rPr>
            </w:r>
          </w:p>
        </w:tc>
      </w:tr>
      <w:tr>
        <w:trPr/>
        <w:tc>
          <w:tcPr>
            <w:tcW w:w="4699" w:type="dxa"/>
            <w:gridSpan w:val="2"/>
            <w:tcBorders/>
          </w:tcPr>
          <w:p>
            <w:pPr>
              <w:pStyle w:val="Normal"/>
              <w:widowControl w:val="false"/>
              <w:rPr>
                <w:sz w:val="24"/>
                <w:szCs w:val="24"/>
              </w:rPr>
            </w:pPr>
            <w:r>
              <w:rPr>
                <w:sz w:val="24"/>
                <w:szCs w:val="24"/>
              </w:rPr>
            </w:r>
          </w:p>
        </w:tc>
        <w:tc>
          <w:tcPr>
            <w:tcW w:w="4699" w:type="dxa"/>
            <w:gridSpan w:val="2"/>
            <w:tcBorders/>
          </w:tcPr>
          <w:p>
            <w:pPr>
              <w:pStyle w:val="Normal"/>
              <w:widowControl w:val="false"/>
              <w:rPr>
                <w:sz w:val="24"/>
                <w:szCs w:val="24"/>
              </w:rPr>
            </w:pPr>
            <w:r>
              <w:rPr>
                <w:sz w:val="24"/>
                <w:szCs w:val="24"/>
              </w:rPr>
            </w:r>
          </w:p>
        </w:tc>
        <w:tc>
          <w:tcPr>
            <w:tcW w:w="241" w:type="dxa"/>
            <w:tcBorders/>
          </w:tcPr>
          <w:p>
            <w:pPr>
              <w:pStyle w:val="Normal"/>
              <w:widowControl w:val="false"/>
              <w:rPr/>
            </w:pPr>
            <w:r>
              <w:rPr/>
            </w:r>
          </w:p>
        </w:tc>
      </w:tr>
    </w:tbl>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jc w:val="center"/>
        <w:outlineLvl w:val="0"/>
        <w:rPr>
          <w:b/>
          <w:bCs/>
          <w:sz w:val="24"/>
          <w:szCs w:val="24"/>
        </w:rPr>
      </w:pPr>
      <w:r>
        <w:rPr>
          <w:b/>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jc w:val="both"/>
              <w:rPr>
                <w:b/>
                <w:sz w:val="24"/>
                <w:szCs w:val="24"/>
              </w:rPr>
            </w:pPr>
            <w:r>
              <w:rPr>
                <w:b/>
                <w:sz w:val="24"/>
                <w:szCs w:val="24"/>
              </w:rPr>
              <w:t>Покупатель:</w:t>
            </w:r>
          </w:p>
          <w:p>
            <w:pPr>
              <w:pStyle w:val="Normal"/>
              <w:widowControl w:val="false"/>
              <w:rPr>
                <w:sz w:val="24"/>
                <w:szCs w:val="24"/>
                <w:lang w:eastAsia="ar-SA"/>
              </w:rPr>
            </w:pPr>
            <w:r>
              <w:rPr>
                <w:sz w:val="24"/>
                <w:szCs w:val="24"/>
                <w:lang w:eastAsia="ar-SA"/>
              </w:rPr>
            </w:r>
          </w:p>
          <w:p>
            <w:pPr>
              <w:pStyle w:val="Normal"/>
              <w:widowControl w:val="false"/>
              <w:rPr>
                <w:sz w:val="24"/>
                <w:szCs w:val="24"/>
                <w:lang w:eastAsia="ar-SA"/>
              </w:rPr>
            </w:pPr>
            <w:r>
              <w:rPr>
                <w:sz w:val="24"/>
                <w:szCs w:val="24"/>
                <w:lang w:eastAsia="ar-SA"/>
              </w:rPr>
            </w:r>
          </w:p>
          <w:p>
            <w:pPr>
              <w:pStyle w:val="Normal"/>
              <w:widowControl w:val="false"/>
              <w:jc w:val="both"/>
              <w:rPr>
                <w:sz w:val="24"/>
                <w:szCs w:val="24"/>
              </w:rPr>
            </w:pPr>
            <w:r>
              <w:rPr>
                <w:sz w:val="24"/>
                <w:szCs w:val="24"/>
                <w:lang w:eastAsia="ar-SA"/>
              </w:rPr>
              <w:t>______________</w:t>
            </w:r>
            <w:r>
              <w:rPr>
                <w:sz w:val="24"/>
                <w:szCs w:val="24"/>
              </w:rPr>
              <w:t xml:space="preserve"> </w:t>
            </w:r>
          </w:p>
        </w:tc>
        <w:tc>
          <w:tcPr>
            <w:tcW w:w="4819" w:type="dxa"/>
            <w:tcBorders/>
            <w:shd w:color="auto" w:fill="auto" w:val="clear"/>
          </w:tcPr>
          <w:p>
            <w:pPr>
              <w:pStyle w:val="Normal"/>
              <w:widowControl w:val="false"/>
              <w:jc w:val="both"/>
              <w:rPr>
                <w:b/>
                <w:sz w:val="24"/>
                <w:szCs w:val="24"/>
              </w:rPr>
            </w:pPr>
            <w:r>
              <w:rPr>
                <w:b/>
                <w:sz w:val="24"/>
                <w:szCs w:val="24"/>
              </w:rPr>
              <w:t>Поставщик:</w:t>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t xml:space="preserve">__________________  </w:t>
            </w:r>
          </w:p>
        </w:tc>
      </w:tr>
    </w:tbl>
    <w:p>
      <w:pPr>
        <w:pStyle w:val="Normal"/>
        <w:numPr>
          <w:ilvl w:val="0"/>
          <w:numId w:val="0"/>
        </w:numPr>
        <w:jc w:val="center"/>
        <w:outlineLvl w:val="0"/>
        <w:rPr>
          <w:b/>
          <w:bCs/>
          <w:sz w:val="24"/>
          <w:szCs w:val="24"/>
        </w:rPr>
      </w:pPr>
      <w:r>
        <w:rPr>
          <w:b/>
          <w:bCs/>
          <w:sz w:val="24"/>
          <w:szCs w:val="24"/>
        </w:rPr>
      </w:r>
    </w:p>
    <w:p>
      <w:pPr>
        <w:pStyle w:val="Normal"/>
        <w:numPr>
          <w:ilvl w:val="0"/>
          <w:numId w:val="0"/>
        </w:numPr>
        <w:jc w:val="center"/>
        <w:outlineLvl w:val="0"/>
        <w:rPr>
          <w:b/>
          <w:bCs/>
          <w:sz w:val="24"/>
          <w:szCs w:val="24"/>
        </w:rPr>
      </w:pPr>
      <w:r>
        <w:rPr>
          <w:b/>
          <w:bCs/>
          <w:sz w:val="24"/>
          <w:szCs w:val="24"/>
        </w:rPr>
      </w:r>
    </w:p>
    <w:p>
      <w:pPr>
        <w:pStyle w:val="Normal"/>
        <w:rPr>
          <w:i/>
          <w:i/>
          <w:sz w:val="22"/>
          <w:szCs w:val="22"/>
        </w:rPr>
      </w:pPr>
      <w:r>
        <w:rPr>
          <w:i/>
          <w:sz w:val="22"/>
          <w:szCs w:val="22"/>
        </w:rPr>
      </w:r>
    </w:p>
    <w:p>
      <w:pPr>
        <w:pStyle w:val="Normal"/>
        <w:numPr>
          <w:ilvl w:val="0"/>
          <w:numId w:val="0"/>
        </w:numPr>
        <w:jc w:val="center"/>
        <w:outlineLvl w:val="0"/>
        <w:rPr>
          <w:bCs/>
          <w:sz w:val="24"/>
          <w:szCs w:val="24"/>
        </w:rPr>
      </w:pPr>
      <w:r>
        <w:rPr>
          <w:bCs/>
          <w:sz w:val="24"/>
          <w:szCs w:val="24"/>
        </w:rPr>
      </w:r>
    </w:p>
    <w:p>
      <w:pPr>
        <w:pStyle w:val="Normal"/>
        <w:ind w:firstLine="6237"/>
        <w:jc w:val="right"/>
        <w:rPr>
          <w:b/>
          <w:bCs/>
          <w:sz w:val="24"/>
          <w:szCs w:val="24"/>
        </w:rPr>
      </w:pPr>
      <w:r>
        <w:rPr>
          <w:b/>
          <w:bCs/>
          <w:sz w:val="24"/>
          <w:szCs w:val="24"/>
        </w:rPr>
      </w:r>
      <w:r>
        <w:br w:type="page"/>
      </w:r>
    </w:p>
    <w:p>
      <w:pPr>
        <w:pStyle w:val="Normal"/>
        <w:ind w:firstLine="6237"/>
        <w:jc w:val="right"/>
        <w:rPr>
          <w:sz w:val="24"/>
          <w:szCs w:val="24"/>
        </w:rPr>
      </w:pPr>
      <w:r>
        <w:rPr>
          <w:sz w:val="24"/>
          <w:szCs w:val="24"/>
        </w:rPr>
        <w:t>Приложение № 3</w:t>
      </w:r>
    </w:p>
    <w:p>
      <w:pPr>
        <w:pStyle w:val="Normal"/>
        <w:ind w:firstLine="6237"/>
        <w:jc w:val="right"/>
        <w:rPr>
          <w:sz w:val="24"/>
          <w:szCs w:val="24"/>
        </w:rPr>
      </w:pPr>
      <w:r>
        <w:rPr>
          <w:sz w:val="24"/>
          <w:szCs w:val="24"/>
        </w:rPr>
        <w:t>к Договору поставки</w:t>
      </w:r>
    </w:p>
    <w:p>
      <w:pPr>
        <w:pStyle w:val="Normal"/>
        <w:ind w:firstLine="6237"/>
        <w:jc w:val="right"/>
        <w:rPr>
          <w:sz w:val="24"/>
          <w:szCs w:val="24"/>
        </w:rPr>
      </w:pPr>
      <w:r>
        <w:rPr>
          <w:sz w:val="24"/>
          <w:szCs w:val="24"/>
        </w:rPr>
        <w:t xml:space="preserve">от «____» ________ 2026 г. № </w:t>
      </w:r>
    </w:p>
    <w:p>
      <w:pPr>
        <w:pStyle w:val="Normal"/>
        <w:widowControl/>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jc w:val="both"/>
              <w:rPr>
                <w:b/>
                <w:sz w:val="24"/>
                <w:szCs w:val="24"/>
              </w:rPr>
            </w:pPr>
            <w:r>
              <w:rPr>
                <w:b/>
                <w:sz w:val="24"/>
                <w:szCs w:val="24"/>
              </w:rPr>
              <w:t>Покупатель:</w:t>
            </w:r>
          </w:p>
          <w:p>
            <w:pPr>
              <w:pStyle w:val="Normal"/>
              <w:widowControl w:val="false"/>
              <w:rPr>
                <w:sz w:val="24"/>
                <w:szCs w:val="24"/>
                <w:lang w:eastAsia="ar-SA"/>
              </w:rPr>
            </w:pPr>
            <w:r>
              <w:rPr>
                <w:sz w:val="24"/>
                <w:szCs w:val="24"/>
                <w:lang w:eastAsia="ar-SA"/>
              </w:rPr>
            </w:r>
          </w:p>
          <w:p>
            <w:pPr>
              <w:pStyle w:val="Normal"/>
              <w:widowControl w:val="false"/>
              <w:rPr>
                <w:sz w:val="24"/>
                <w:szCs w:val="24"/>
                <w:lang w:eastAsia="ar-SA"/>
              </w:rPr>
            </w:pPr>
            <w:r>
              <w:rPr>
                <w:sz w:val="24"/>
                <w:szCs w:val="24"/>
                <w:lang w:eastAsia="ar-SA"/>
              </w:rPr>
            </w:r>
          </w:p>
          <w:p>
            <w:pPr>
              <w:pStyle w:val="Normal"/>
              <w:widowControl w:val="false"/>
              <w:jc w:val="both"/>
              <w:rPr>
                <w:sz w:val="24"/>
                <w:szCs w:val="24"/>
              </w:rPr>
            </w:pPr>
            <w:r>
              <w:rPr>
                <w:sz w:val="24"/>
                <w:szCs w:val="24"/>
                <w:lang w:eastAsia="ar-SA"/>
              </w:rPr>
              <w:t>______________</w:t>
            </w:r>
            <w:r>
              <w:rPr>
                <w:sz w:val="24"/>
                <w:szCs w:val="24"/>
              </w:rPr>
              <w:t xml:space="preserve"> </w:t>
            </w:r>
          </w:p>
        </w:tc>
        <w:tc>
          <w:tcPr>
            <w:tcW w:w="4819" w:type="dxa"/>
            <w:tcBorders/>
            <w:shd w:color="auto" w:fill="auto" w:val="clear"/>
          </w:tcPr>
          <w:p>
            <w:pPr>
              <w:pStyle w:val="Normal"/>
              <w:widowControl w:val="false"/>
              <w:jc w:val="both"/>
              <w:rPr>
                <w:b/>
                <w:sz w:val="24"/>
                <w:szCs w:val="24"/>
              </w:rPr>
            </w:pPr>
            <w:r>
              <w:rPr>
                <w:b/>
                <w:sz w:val="24"/>
                <w:szCs w:val="24"/>
              </w:rPr>
              <w:t>Поставщик:</w:t>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t xml:space="preserve">__________________  </w:t>
            </w:r>
          </w:p>
        </w:tc>
      </w:tr>
    </w:tbl>
    <w:p>
      <w:pPr>
        <w:pStyle w:val="Normal"/>
        <w:jc w:val="both"/>
        <w:rPr/>
      </w:pPr>
      <w:r>
        <w:rPr/>
      </w:r>
      <w:bookmarkStart w:id="10" w:name="_GoBack"/>
      <w:bookmarkStart w:id="11" w:name="_GoBack"/>
      <w:bookmarkEnd w:id="11"/>
    </w:p>
    <w:p>
      <w:pPr>
        <w:pStyle w:val="Normal"/>
        <w:rPr/>
      </w:pPr>
      <w:r>
        <w:rPr/>
      </w:r>
    </w:p>
    <w:p>
      <w:pPr>
        <w:pStyle w:val="Normal"/>
        <w:rPr/>
      </w:pPr>
      <w:r>
        <w:rPr/>
      </w:r>
    </w:p>
    <w:sectPr>
      <w:headerReference w:type="default" r:id="rId4"/>
      <w:headerReference w:type="first" r:id="rId5"/>
      <w:footerReference w:type="default" r:id="rId6"/>
      <w:footerReference w:type="first" r:id="rId7"/>
      <w:footnotePr>
        <w:numFmt w:val="decimal"/>
      </w:footnotePr>
      <w:type w:val="nextPage"/>
      <w:pgSz w:w="11906" w:h="16838"/>
      <w:pgMar w:left="1418" w:right="851" w:gutter="0" w:header="709" w:top="1134" w:footer="709" w:bottom="226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noteText"/>
      <w:jc w:val="both"/>
      <w:rPr>
        <w:u w:val="single"/>
      </w:rPr>
    </w:pPr>
    <w:r>
      <w:rPr>
        <w:u w:val="single"/>
      </w:rPr>
    </w:r>
  </w:p>
  <w:p>
    <w:pPr>
      <w:pStyle w:val="FootnoteText"/>
      <w:jc w:val="both"/>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1"/>
        </w:rPr>
        <w:footnoteRef/>
      </w:r>
      <w:r>
        <w:rPr/>
        <w:t>Для электронной формы документа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283"/>
        </w:tabs>
        <w:ind w:left="1283"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56"/>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a3fd7"/>
    <w:pPr>
      <w:widowControl w:val="false"/>
      <w:suppressAutoHyphens w:val="true"/>
      <w:bidi w:val="0"/>
      <w:spacing w:before="0" w:after="0"/>
      <w:jc w:val="left"/>
    </w:pPr>
    <w:rPr>
      <w:rFonts w:ascii="Times New Roman" w:hAnsi="Times New Roman" w:eastAsia="Times New Roman" w:cs="Times New Roman"/>
      <w:color w:val="auto"/>
      <w:kern w:val="0"/>
      <w:sz w:val="20"/>
      <w:szCs w:val="20"/>
      <w:lang w:eastAsia="ru-RU" w:val="ru-RU" w:bidi="ar-SA"/>
    </w:rPr>
  </w:style>
  <w:style w:type="paragraph" w:styleId="Heading3">
    <w:name w:val="Heading 3"/>
    <w:basedOn w:val="Normal"/>
    <w:next w:val="Normal"/>
    <w:link w:val="3"/>
    <w:qFormat/>
    <w:rsid w:val="002a3fd7"/>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3" w:customStyle="1">
    <w:name w:val="Заголовок 3 Знак"/>
    <w:basedOn w:val="DefaultParagraphFont"/>
    <w:qFormat/>
    <w:rsid w:val="002a3fd7"/>
    <w:rPr>
      <w:rFonts w:ascii="Cambria" w:hAnsi="Cambria" w:eastAsia="Times New Roman" w:cs="Times New Roman"/>
      <w:b/>
      <w:bCs/>
      <w:color w:val="4F81BD"/>
      <w:sz w:val="20"/>
      <w:szCs w:val="20"/>
      <w:lang w:val="x-none" w:eastAsia="x-none"/>
    </w:rPr>
  </w:style>
  <w:style w:type="character" w:styleId="Style8" w:customStyle="1">
    <w:name w:val="Нижний колонтитул Знак"/>
    <w:basedOn w:val="DefaultParagraphFont"/>
    <w:uiPriority w:val="99"/>
    <w:qFormat/>
    <w:rsid w:val="002a3fd7"/>
    <w:rPr>
      <w:rFonts w:ascii="Times New Roman" w:hAnsi="Times New Roman" w:eastAsia="Times New Roman" w:cs="Times New Roman"/>
      <w:sz w:val="20"/>
      <w:szCs w:val="20"/>
      <w:lang w:eastAsia="ru-RU"/>
    </w:rPr>
  </w:style>
  <w:style w:type="character" w:styleId="Style9" w:customStyle="1">
    <w:name w:val="Абзац списка Знак"/>
    <w:link w:val="ListParagraph"/>
    <w:uiPriority w:val="34"/>
    <w:qFormat/>
    <w:locked/>
    <w:rsid w:val="002a3fd7"/>
    <w:rPr>
      <w:rFonts w:ascii="Times New Roman" w:hAnsi="Times New Roman" w:eastAsia="Times New Roman" w:cs="Times New Roman"/>
      <w:sz w:val="20"/>
      <w:szCs w:val="20"/>
      <w:lang w:eastAsia="ru-RU"/>
    </w:rPr>
  </w:style>
  <w:style w:type="character" w:styleId="Style10" w:customStyle="1">
    <w:name w:val="Текст сноски Знак"/>
    <w:basedOn w:val="DefaultParagraphFont"/>
    <w:uiPriority w:val="99"/>
    <w:qFormat/>
    <w:rsid w:val="002a3fd7"/>
    <w:rPr>
      <w:rFonts w:ascii="Times New Roman" w:hAnsi="Times New Roman" w:eastAsia="Times New Roman" w:cs="Times New Roman"/>
      <w:sz w:val="20"/>
      <w:szCs w:val="20"/>
      <w:lang w:eastAsia="ru-RU"/>
    </w:rPr>
  </w:style>
  <w:style w:type="character" w:styleId="Style11" w:customStyle="1">
    <w:name w:val="Символ сноски"/>
    <w:qFormat/>
    <w:rsid w:val="002a3fd7"/>
    <w:rPr>
      <w:vertAlign w:val="superscript"/>
    </w:rPr>
  </w:style>
  <w:style w:type="character" w:styleId="FootnoteReference">
    <w:name w:val="Footnote Reference"/>
    <w:rPr>
      <w:vertAlign w:val="superscript"/>
    </w:rPr>
  </w:style>
  <w:style w:type="character" w:styleId="Style12" w:customStyle="1">
    <w:name w:val="Верхний колонтитул Знак"/>
    <w:basedOn w:val="DefaultParagraphFont"/>
    <w:qFormat/>
    <w:rsid w:val="002a3fd7"/>
    <w:rPr>
      <w:rFonts w:ascii="Times New Roman" w:hAnsi="Times New Roman" w:eastAsia="Times New Roman" w:cs="Times New Roman"/>
      <w:sz w:val="20"/>
      <w:szCs w:val="20"/>
      <w:lang w:eastAsia="ru-RU"/>
    </w:rPr>
  </w:style>
  <w:style w:type="character" w:styleId="Hyperlink">
    <w:name w:val="Hyperlink"/>
    <w:basedOn w:val="DefaultParagraphFont"/>
    <w:uiPriority w:val="99"/>
    <w:semiHidden/>
    <w:unhideWhenUsed/>
    <w:rsid w:val="002a3fd7"/>
    <w:rPr>
      <w:color w:val="0000FF"/>
      <w:u w:val="single"/>
    </w:rPr>
  </w:style>
  <w:style w:type="character" w:styleId="1" w:customStyle="1">
    <w:name w:val="Нижний колонтитул Знак1"/>
    <w:basedOn w:val="DefaultParagraphFont"/>
    <w:uiPriority w:val="99"/>
    <w:semiHidden/>
    <w:qFormat/>
    <w:rsid w:val="002a3fd7"/>
    <w:rPr>
      <w:rFonts w:ascii="Times New Roman" w:hAnsi="Times New Roman" w:eastAsia="Times New Roman" w:cs="Times New Roman"/>
      <w:sz w:val="20"/>
      <w:szCs w:val="20"/>
      <w:lang w:eastAsia="ru-RU"/>
    </w:rPr>
  </w:style>
  <w:style w:type="character" w:styleId="11" w:customStyle="1">
    <w:name w:val="Текст сноски Знак1"/>
    <w:basedOn w:val="DefaultParagraphFont"/>
    <w:uiPriority w:val="99"/>
    <w:semiHidden/>
    <w:qFormat/>
    <w:rsid w:val="002a3fd7"/>
    <w:rPr>
      <w:rFonts w:ascii="Times New Roman" w:hAnsi="Times New Roman" w:eastAsia="Times New Roman" w:cs="Times New Roman"/>
      <w:sz w:val="20"/>
      <w:szCs w:val="20"/>
      <w:lang w:eastAsia="ru-RU"/>
    </w:rPr>
  </w:style>
  <w:style w:type="character" w:styleId="12" w:customStyle="1">
    <w:name w:val="Верхний колонтитул Знак1"/>
    <w:basedOn w:val="DefaultParagraphFont"/>
    <w:uiPriority w:val="99"/>
    <w:semiHidden/>
    <w:qFormat/>
    <w:rsid w:val="002a3fd7"/>
    <w:rPr>
      <w:rFonts w:ascii="Times New Roman" w:hAnsi="Times New Roman" w:eastAsia="Times New Roman" w:cs="Times New Roman"/>
      <w:sz w:val="20"/>
      <w:szCs w:val="20"/>
      <w:lang w:eastAsia="ru-RU"/>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Style14" w:customStyle="1">
    <w:name w:val="Текст выноски Знак"/>
    <w:basedOn w:val="DefaultParagraphFont"/>
    <w:link w:val="BalloonText"/>
    <w:uiPriority w:val="99"/>
    <w:semiHidden/>
    <w:qFormat/>
    <w:rsid w:val="00b96a49"/>
    <w:rPr>
      <w:rFonts w:ascii="Segoe UI" w:hAnsi="Segoe UI" w:eastAsia="Times New Roman" w:cs="Segoe UI"/>
      <w:sz w:val="18"/>
      <w:szCs w:val="18"/>
      <w:lang w:eastAsia="ru-RU"/>
    </w:rPr>
  </w:style>
  <w:style w:type="character" w:styleId="Annotationreference">
    <w:name w:val="annotation reference"/>
    <w:basedOn w:val="DefaultParagraphFont"/>
    <w:unhideWhenUsed/>
    <w:qFormat/>
    <w:rsid w:val="00b96a49"/>
    <w:rPr>
      <w:sz w:val="16"/>
      <w:szCs w:val="16"/>
    </w:rPr>
  </w:style>
  <w:style w:type="character" w:styleId="Style15" w:customStyle="1">
    <w:name w:val="Текст примечания Знак"/>
    <w:basedOn w:val="DefaultParagraphFont"/>
    <w:link w:val="Annotationtext"/>
    <w:uiPriority w:val="99"/>
    <w:semiHidden/>
    <w:qFormat/>
    <w:rsid w:val="00b96a49"/>
    <w:rPr>
      <w:rFonts w:ascii="Times New Roman" w:hAnsi="Times New Roman" w:eastAsia="Times New Roman" w:cs="Times New Roman"/>
      <w:sz w:val="20"/>
      <w:szCs w:val="20"/>
      <w:lang w:eastAsia="ru-RU"/>
    </w:rPr>
  </w:style>
  <w:style w:type="character" w:styleId="Style16" w:customStyle="1">
    <w:name w:val="Тема примечания Знак"/>
    <w:basedOn w:val="Style15"/>
    <w:link w:val="Annotationsubject"/>
    <w:uiPriority w:val="99"/>
    <w:semiHidden/>
    <w:qFormat/>
    <w:rsid w:val="00b96a49"/>
    <w:rPr>
      <w:rFonts w:ascii="Times New Roman" w:hAnsi="Times New Roman" w:eastAsia="Times New Roman" w:cs="Times New Roman"/>
      <w:b/>
      <w:bCs/>
      <w:sz w:val="20"/>
      <w:szCs w:val="20"/>
      <w:lang w:eastAsia="ru-RU"/>
    </w:rPr>
  </w:style>
  <w:style w:type="character" w:styleId="Linenumber1" w:customStyle="1">
    <w:name w:val="line number1"/>
    <w:qFormat/>
    <w:rPr/>
  </w:style>
  <w:style w:type="character" w:styleId="Linenumber2" w:customStyle="1">
    <w:name w:val="line number2"/>
    <w:qFormat/>
    <w:rPr/>
  </w:style>
  <w:style w:type="character" w:styleId="Linenumber">
    <w:name w:val="line number"/>
    <w:qFormat/>
    <w:rPr/>
  </w:style>
  <w:style w:type="character" w:styleId="Letter-bodyhighlighted" w:customStyle="1">
    <w:name w:val="letter-body_highlighted"/>
    <w:basedOn w:val="DefaultParagraphFont"/>
    <w:qFormat/>
    <w:rsid w:val="008826ea"/>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Style19" w:customStyle="1">
    <w:name w:val="Колонтитул"/>
    <w:basedOn w:val="Normal"/>
    <w:qFormat/>
    <w:pPr/>
    <w:rPr/>
  </w:style>
  <w:style w:type="paragraph" w:styleId="Footer">
    <w:name w:val="Footer"/>
    <w:basedOn w:val="Normal"/>
    <w:link w:val="Style8"/>
    <w:uiPriority w:val="99"/>
    <w:rsid w:val="002a3fd7"/>
    <w:pPr>
      <w:tabs>
        <w:tab w:val="clear" w:pos="708"/>
        <w:tab w:val="center" w:pos="4677" w:leader="none"/>
        <w:tab w:val="right" w:pos="9355" w:leader="none"/>
      </w:tabs>
    </w:pPr>
    <w:rPr/>
  </w:style>
  <w:style w:type="paragraph" w:styleId="ListParagraph">
    <w:name w:val="List Paragraph"/>
    <w:basedOn w:val="Normal"/>
    <w:link w:val="Style9"/>
    <w:uiPriority w:val="34"/>
    <w:qFormat/>
    <w:rsid w:val="002a3fd7"/>
    <w:pPr>
      <w:spacing w:before="0" w:after="0"/>
      <w:ind w:left="720" w:hanging="0"/>
      <w:contextualSpacing/>
    </w:pPr>
    <w:rPr/>
  </w:style>
  <w:style w:type="paragraph" w:styleId="FootnoteText">
    <w:name w:val="Footnote Text"/>
    <w:basedOn w:val="Normal"/>
    <w:link w:val="Style10"/>
    <w:uiPriority w:val="99"/>
    <w:rsid w:val="002a3fd7"/>
    <w:pPr/>
    <w:rPr/>
  </w:style>
  <w:style w:type="paragraph" w:styleId="Header">
    <w:name w:val="Header"/>
    <w:basedOn w:val="Normal"/>
    <w:link w:val="Style12"/>
    <w:rsid w:val="002a3fd7"/>
    <w:pPr>
      <w:tabs>
        <w:tab w:val="clear" w:pos="708"/>
        <w:tab w:val="center" w:pos="4677" w:leader="none"/>
        <w:tab w:val="right" w:pos="9355" w:leader="none"/>
      </w:tabs>
    </w:pPr>
    <w:rPr/>
  </w:style>
  <w:style w:type="paragraph" w:styleId="BalloonText">
    <w:name w:val="Balloon Text"/>
    <w:basedOn w:val="Normal"/>
    <w:link w:val="Style14"/>
    <w:uiPriority w:val="99"/>
    <w:semiHidden/>
    <w:unhideWhenUsed/>
    <w:qFormat/>
    <w:rsid w:val="00b96a49"/>
    <w:pPr/>
    <w:rPr>
      <w:rFonts w:ascii="Segoe UI" w:hAnsi="Segoe UI" w:cs="Segoe UI"/>
      <w:sz w:val="18"/>
      <w:szCs w:val="18"/>
    </w:rPr>
  </w:style>
  <w:style w:type="paragraph" w:styleId="Annotationtext">
    <w:name w:val="annotation text"/>
    <w:basedOn w:val="Normal"/>
    <w:link w:val="Style15"/>
    <w:uiPriority w:val="99"/>
    <w:semiHidden/>
    <w:unhideWhenUsed/>
    <w:qFormat/>
    <w:rsid w:val="00b96a49"/>
    <w:pPr/>
    <w:rPr/>
  </w:style>
  <w:style w:type="paragraph" w:styleId="Annotationsubject">
    <w:name w:val="annotation subject"/>
    <w:basedOn w:val="Annotationtext"/>
    <w:next w:val="Annotationtext"/>
    <w:link w:val="Style16"/>
    <w:uiPriority w:val="99"/>
    <w:semiHidden/>
    <w:unhideWhenUsed/>
    <w:qFormat/>
    <w:rsid w:val="00b96a49"/>
    <w:pPr/>
    <w:rPr>
      <w:b/>
      <w:bCs/>
    </w:rPr>
  </w:style>
  <w:style w:type="paragraph" w:styleId="Style20" w:customStyle="1">
    <w:name w:val="Содержимое таблицы"/>
    <w:basedOn w:val="Normal"/>
    <w:qFormat/>
    <w:pPr>
      <w:suppressLineNumbers/>
    </w:pPr>
    <w:rPr/>
  </w:style>
  <w:style w:type="paragraph" w:styleId="Style21" w:customStyle="1">
    <w:name w:val="Заголовок таблицы"/>
    <w:basedOn w:val="Style20"/>
    <w:qFormat/>
    <w:pPr>
      <w:jc w:val="center"/>
    </w:pPr>
    <w:rPr>
      <w:b/>
      <w:bCs/>
    </w:rPr>
  </w:style>
  <w:style w:type="paragraph" w:styleId="Revision">
    <w:name w:val="Revision"/>
    <w:uiPriority w:val="99"/>
    <w:semiHidden/>
    <w:qFormat/>
    <w:rsid w:val="007f7a71"/>
    <w:pPr>
      <w:widowControl/>
      <w:suppressAutoHyphens w:val="false"/>
      <w:bidi w:val="0"/>
      <w:spacing w:before="0" w:after="0"/>
      <w:jc w:val="left"/>
    </w:pPr>
    <w:rPr>
      <w:rFonts w:ascii="Times New Roman" w:hAnsi="Times New Roman" w:eastAsia="Times New Roman" w:cs="Times New Roman"/>
      <w:color w:val="auto"/>
      <w:kern w:val="0"/>
      <w:sz w:val="20"/>
      <w:szCs w:val="20"/>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PBI&amp;n=199978" TargetMode="External"/><Relationship Id="rId3" Type="http://schemas.openxmlformats.org/officeDocument/2006/relationships/hyperlink" Target="https://login.consultant.ru/link/?req=doc&amp;base=PBI&amp;n=37584&amp;dst=100032"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Application>AlterOffice/3.4.0.9$Linux_X86_64 LibreOffice_project/b8daf9e823b1a5463a2f48435ddc2e8696e7d4fc</Application>
  <AppVersion>15.0000</AppVersion>
  <Pages>18</Pages>
  <Words>6325</Words>
  <Characters>44850</Characters>
  <CharactersWithSpaces>50910</CharactersWithSpaces>
  <Paragraphs>280</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2026-06-18T02:38:00Z</dcterms:created>
  <dc:creator>Капленко Инна Викторовна</dc:creator>
  <dc:description/>
  <dc:language>ru-RU</dc:language>
  <cp:lastModifiedBy>maksimovag@corp.gidroogk.com</cp:lastModifiedBy>
  <dcterms:modified xsi:type="dcterms:W3CDTF">2026-10-20T09:44:23Z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