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b/>
          <w:sz w:val="24"/>
          <w:szCs w:val="24"/>
          <w:shd w:fill="auto" w:val="clear"/>
        </w:rPr>
        <w:t xml:space="preserve">ОКПД 2: </w:t>
      </w:r>
      <w:r>
        <w:rPr>
          <w:rStyle w:val="Strong"/>
          <w:sz w:val="24"/>
          <w:szCs w:val="24"/>
          <w:shd w:fill="auto" w:val="clear"/>
        </w:rPr>
        <w:t>27.33.13.130</w:t>
      </w:r>
      <w:r>
        <w:rPr>
          <w:b/>
          <w:sz w:val="24"/>
          <w:szCs w:val="24"/>
          <w:shd w:fill="auto" w:val="clear"/>
        </w:rPr>
        <w:t xml:space="preserve"> </w:t>
      </w:r>
      <w:r>
        <w:rPr>
          <w:b/>
          <w:sz w:val="24"/>
          <w:szCs w:val="24"/>
        </w:rPr>
        <w:t xml:space="preserve">поставка 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муфт для кабелей 6кВ (аварийный запас)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</w:rPr>
      </w:pPr>
      <w:bookmarkStart w:id="0" w:name="_Toc51339692"/>
      <w:bookmarkStart w:id="1" w:name="_Toc75446566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5"/>
      <w:bookmarkStart w:id="3" w:name="_Toc75446567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highlight w:val="none"/>
                <w:shd w:fill="auto" w:val="clear"/>
              </w:rPr>
            </w:pPr>
            <w:r>
              <w:rPr>
                <w:iCs/>
                <w:sz w:val="22"/>
                <w:szCs w:val="22"/>
                <w:shd w:fill="auto" w:val="clear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highlight w:val="none"/>
                <w:shd w:fill="auto" w:val="clear"/>
              </w:rPr>
            </w:pPr>
            <w:r>
              <w:rPr>
                <w:iCs/>
                <w:sz w:val="22"/>
                <w:szCs w:val="22"/>
                <w:shd w:fill="auto" w:val="clear"/>
              </w:rPr>
              <w:t>государственный стандарт;</w:t>
            </w:r>
          </w:p>
        </w:tc>
      </w:tr>
    </w:tbl>
    <w:p>
      <w:pPr>
        <w:pStyle w:val="29"/>
        <w:numPr>
          <w:ilvl w:val="0"/>
          <w:numId w:val="0"/>
        </w:numPr>
        <w:ind w:left="0" w:firstLine="709"/>
        <w:rPr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>Аварийный запас</w:t>
      </w:r>
      <w:r>
        <w:rPr>
          <w:rFonts w:eastAsia="Times New Roman" w:cs="Times New Roman"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 – запас товарно-материальных средств (оборудования, конструктивных элементов, запасных частей, расходных материалов), предназначенный для предотвращения и устранения последствий аварий (отказов, неисправностей), возникающих в процессе эксплуатации производственных объектов.</w:t>
      </w:r>
    </w:p>
    <w:p>
      <w:pPr>
        <w:pStyle w:val="Heading4"/>
        <w:numPr>
          <w:ilvl w:val="1"/>
          <w:numId w:val="3"/>
        </w:numPr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val="en-US" w:eastAsia="x-none"/>
        </w:rPr>
        <w:t>Соединительная муфта для кабеля 6кВ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закупаемой продукции </w:t>
      </w:r>
      <w:bookmarkEnd w:id="6"/>
      <w:r>
        <w:rPr/>
        <w:t xml:space="preserve"> </w:t>
      </w:r>
    </w:p>
    <w:p>
      <w:pPr>
        <w:pStyle w:val="ConsPlusNormal"/>
        <w:spacing w:before="240" w:after="0"/>
        <w:ind w:left="0" w:firstLine="540"/>
        <w:jc w:val="both"/>
        <w:rPr/>
      </w:pPr>
      <w:r>
        <w:rPr>
          <w:rStyle w:val="Style8"/>
          <w:rFonts w:ascii="Times New Roman" w:hAnsi="Times New Roman"/>
          <w:b w:val="false"/>
          <w:bCs w:val="false"/>
          <w:i/>
          <w:iCs/>
          <w:sz w:val="24"/>
          <w:szCs w:val="24"/>
          <w:shd w:fill="auto" w:val="clear"/>
        </w:rPr>
        <w:t>Закупка осуществляется в целях формирования и поддержания неснижаемого запаса материально технических ресурсов для предотвращения и развития аварийных ситуаций на оборудовании Саяно-Шушенской ГЭС.</w:t>
      </w:r>
    </w:p>
    <w:p>
      <w:pPr>
        <w:pStyle w:val="29"/>
        <w:numPr>
          <w:ilvl w:val="0"/>
          <w:numId w:val="0"/>
        </w:numPr>
        <w:tabs>
          <w:tab w:val="clear" w:pos="1701"/>
          <w:tab w:val="left" w:pos="1418" w:leader="none"/>
        </w:tabs>
        <w:ind w:left="0" w:firstLine="709"/>
        <w:jc w:val="both"/>
        <w:rPr/>
      </w:pPr>
      <w:r>
        <w:rPr>
          <w:rStyle w:val="Style8"/>
          <w:b w:val="false"/>
          <w:bCs w:val="false"/>
          <w:i/>
          <w:iCs/>
          <w:sz w:val="24"/>
          <w:szCs w:val="24"/>
          <w:shd w:fill="auto" w:val="clear"/>
          <w:lang w:val="ru-RU"/>
        </w:rPr>
        <w:t xml:space="preserve">Целью </w:t>
      </w:r>
      <w:r>
        <w:rPr>
          <w:rStyle w:val="Style8"/>
          <w:rFonts w:eastAsia="Times New Roman" w:cs="Arial"/>
          <w:b w:val="false"/>
          <w:bCs w:val="false"/>
          <w:iCs/>
          <w:color w:val="000000"/>
          <w:kern w:val="0"/>
          <w:sz w:val="24"/>
          <w:szCs w:val="24"/>
          <w:shd w:fill="auto" w:val="clear"/>
          <w:lang w:val="ru-RU" w:eastAsia="ru-RU" w:bidi="ar-SA"/>
        </w:rPr>
        <w:t>формирования</w:t>
      </w:r>
      <w:r>
        <w:rPr>
          <w:rStyle w:val="Style8"/>
          <w:b w:val="false"/>
          <w:bCs w:val="false"/>
          <w:i/>
          <w:iCs/>
          <w:sz w:val="24"/>
          <w:szCs w:val="24"/>
          <w:shd w:fill="auto" w:val="clear"/>
          <w:lang w:val="ru-RU"/>
        </w:rPr>
        <w:t xml:space="preserve"> и поддержания АЗ является минимизация ущерба от последствий аварий, повреждений технологического оборудования и сетевых объектов, за счет сокращения времени обеспечения оборудованием, конструктивными элементами и расходными материалами, необходимыми для аварийно-восстановительных работ или работ, направленных на предотвращение возможных аварийных отказов.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8" w:name="_Toc51339693"/>
      <w:bookmarkStart w:id="9" w:name="_Toc75446573"/>
      <w:bookmarkStart w:id="10" w:name="_Toc46743510"/>
      <w:bookmarkStart w:id="11" w:name="_Toc50125126"/>
      <w:bookmarkEnd w:id="10"/>
      <w:bookmarkEnd w:id="11"/>
      <w:r>
        <w:rPr>
          <w:iCs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rPr/>
      </w:pPr>
      <w:bookmarkStart w:id="1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3"/>
        </w:numPr>
        <w:rPr/>
      </w:pPr>
      <w:bookmarkStart w:id="13" w:name="_Toc75446575"/>
      <w:r>
        <w:rPr>
          <w:lang w:val="ru-RU"/>
        </w:rPr>
        <w:t>Перечень и объем закупаемой продукции</w:t>
      </w:r>
      <w:bookmarkEnd w:id="13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4" w:name="_Toc75446576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5"/>
        <w:gridCol w:w="6140"/>
        <w:gridCol w:w="1427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Муфта соединительная 6кВ ЗПСТ-6-70/120(Б)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Муфта концевая 6кВ ЗПКТ-6-70/120(Б)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r>
        <w:rPr>
          <w:lang w:val="ru-RU"/>
        </w:rPr>
        <w:t xml:space="preserve">Требования к срокам поставки продукции 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6" w:name="_Toc75446579"/>
      <w:bookmarkStart w:id="17" w:name="_Toc50125127"/>
      <w:bookmarkStart w:id="18" w:name="_Toc51339697"/>
      <w:bookmarkStart w:id="19" w:name="_Toc50125126_Копия_1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Муфта соединительная 6кВ ЗПСТ-6-70/120(Б)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 заключения 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.2026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Муфта концевая 6кВ ЗПКТ-6-70/120(Б)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 заключения  договора</w:t>
            </w:r>
          </w:p>
        </w:tc>
        <w:tc>
          <w:tcPr>
            <w:tcW w:w="3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.2026</w:t>
            </w:r>
          </w:p>
        </w:tc>
      </w:tr>
    </w:tbl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rPr>
          <w:rFonts w:eastAsia="Calibri"/>
          <w:b/>
          <w:bCs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</w:r>
      <w:r>
        <w:br w:type="page"/>
      </w:r>
    </w:p>
    <w:p>
      <w:pPr>
        <w:pStyle w:val="Heading4"/>
        <w:numPr>
          <w:ilvl w:val="1"/>
          <w:numId w:val="3"/>
        </w:numPr>
        <w:rPr>
          <w:lang w:val="ru-RU"/>
        </w:rPr>
      </w:pPr>
      <w:r>
        <w:rPr>
          <w:lang w:val="ru-RU"/>
        </w:rPr>
        <w:t>Требование к месту поставки</w:t>
      </w:r>
    </w:p>
    <w:p>
      <w:pPr>
        <w:pStyle w:val="Normal"/>
        <w:ind w:left="709" w:hanging="0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2.2.1.   Требование к месту поставки</w:t>
      </w:r>
    </w:p>
    <w:p>
      <w:pPr>
        <w:pStyle w:val="Normal"/>
        <w:ind w:left="709" w:hanging="0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Таблица 2.</w:t>
      </w:r>
      <w:r>
        <w:rPr>
          <w:rFonts w:eastAsia="Calibri"/>
          <w:b/>
          <w:sz w:val="24"/>
          <w:szCs w:val="24"/>
          <w:lang w:val="en-US" w:eastAsia="x-none"/>
        </w:rPr>
        <w:t>2</w:t>
      </w:r>
      <w:r>
        <w:rPr>
          <w:rFonts w:eastAsia="Calibri"/>
          <w:b/>
          <w:sz w:val="24"/>
          <w:szCs w:val="24"/>
          <w:lang w:eastAsia="x-none"/>
        </w:rPr>
        <w:t xml:space="preserve"> Адрес поставки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29"/>
        <w:gridCol w:w="2537"/>
        <w:gridCol w:w="6110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поставки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Муфта соединительная 6кВ ЗПСТ-6-70/120(Б)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Склад по адресу: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Российская Федерация, Республика Хакасия, г Саяногорск, п. Черемушки, 106.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ru-RU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Муфта концевая 6кВ ЗПКТ-6-70/120(Б)</w:t>
            </w:r>
          </w:p>
        </w:tc>
        <w:tc>
          <w:tcPr>
            <w:tcW w:w="6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Склад по адресу: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Российская Федерация, Республика Хакасия, г Саяногорск, п. Черемушки, 106.</w:t>
            </w:r>
          </w:p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ru-RU"/>
              </w:rPr>
              <w:t>Приемка продукции осуществляется только в рабочие дни с 9-00 до 11-00 и с 13-00 до 16-00.</w:t>
            </w:r>
          </w:p>
        </w:tc>
      </w:tr>
    </w:tbl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Таблица 2.3 Требования по входному контролю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tbl>
      <w:tblPr>
        <w:tblW w:w="952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40"/>
        <w:gridCol w:w="1715"/>
        <w:gridCol w:w="5654"/>
        <w:gridCol w:w="1614"/>
      </w:tblGrid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Покупателя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Участника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1" w:name="_Toc40167777"/>
            <w:bookmarkStart w:id="22" w:name="_Toc9606245"/>
            <w:bookmarkStart w:id="23" w:name="_Toc496695443"/>
            <w:bookmarkStart w:id="24" w:name="_Toc3554706"/>
            <w:bookmarkStart w:id="25" w:name="_Toc485136135"/>
            <w:r>
              <w:rPr>
                <w:sz w:val="24"/>
                <w:szCs w:val="24"/>
              </w:rPr>
              <w:t>Условия поставки</w:t>
            </w:r>
            <w:bookmarkEnd w:id="21"/>
            <w:bookmarkEnd w:id="22"/>
            <w:bookmarkEnd w:id="23"/>
            <w:bookmarkEnd w:id="24"/>
            <w:bookmarkEnd w:id="25"/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без обязательных сопроводительных документов не принимается, ответственность за его сохранность Покупатель не несет.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Одновременно с передачей Товара Поставщик обязан передать Покупателю оригиналы следующих относящихся к Товару сопроводительных документов: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сертификаты качества;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паспорта на русском языке;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заводские инструкции по эксплуатации на русском языке;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заводские инструкции по монтажу;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документы изготовителя, имеющие отношение к Товару, при их наличии;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 в 1 экз.;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накладная ТОРГ-12/УПД в 2 экз.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транспортировки Товара: погрузка и доставка до склада Покупателя осуществляется силами и средствами Поставщика. Поставщик несет все расходы и риски, связанные с доставкой до пункта назначения.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 перечень условий поставки прописан в проекте договора поставки, который является неотъемлемой частью закупочной документации.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6" w:name="_Toc470092453"/>
            <w:bookmarkStart w:id="27" w:name="_Toc485136136"/>
            <w:bookmarkStart w:id="28" w:name="_Toc470092316"/>
            <w:bookmarkStart w:id="29" w:name="_Toc3554707"/>
            <w:bookmarkStart w:id="30" w:name="_Toc496695444"/>
            <w:bookmarkStart w:id="31" w:name="_Toc9606246"/>
            <w:bookmarkStart w:id="32" w:name="_Toc40167778"/>
            <w:r>
              <w:rPr>
                <w:sz w:val="24"/>
                <w:szCs w:val="24"/>
              </w:rPr>
              <w:t>Приемка Товара</w:t>
            </w:r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приемке Товара специалистами Филиала осуществляется внешний осмотр, проверяется сохранность тары и упаковки, наличие сопроводительной документации, удостоверяющей качество, и правильность ее оформления.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фактов некомплектности, недопоставки Товара, отсутствия необходимых принадлежностей и / или документов, относящихся к Товару, Покупатель вправе прекратить приемку Товара до момента устранения выявленных нарушений. Поставщик обязан в течение 5 (пяти) календарных дней с даты выявления указанных нарушений представить Покупателю необходимые принадлежности и / или документы, а также восполнить недопоставку Товара в срок, письменно согласованный с Покупателем.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Товара со вскрытием упаковки производится Покупателем в течение 10 (десяти) рабочих дней с даты подписания товарно-транспортной накладной по форме №1-Т. В случае отсутствия замечаний Покупатель подписывает товарную накладную унифицированной формы ТОРГ-12/УПД, либо направляет Поставщику мотивированный отказ.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осуществляется только в рабочие дни с 9-00 до 11-00 и с 13-00 до 16-00.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Toc51339698"/>
      <w:bookmarkStart w:id="34" w:name="_Toc75446581"/>
      <w:bookmarkStart w:id="35" w:name="_Toc46743511"/>
      <w:r>
        <w:rPr/>
        <w:t xml:space="preserve">Требования к </w:t>
      </w:r>
      <w:bookmarkEnd w:id="35"/>
      <w:r>
        <w:rPr>
          <w:lang w:val="ru-RU"/>
        </w:rPr>
        <w:t>качеству продукции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36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6"/>
      <w:r>
        <w:rPr>
          <w:sz w:val="24"/>
          <w:szCs w:val="24"/>
        </w:rPr>
        <w:t xml:space="preserve"> </w:t>
      </w:r>
      <w:bookmarkEnd w:id="33"/>
    </w:p>
    <w:p>
      <w:pPr>
        <w:pStyle w:val="Normal"/>
        <w:jc w:val="both"/>
        <w:rPr>
          <w:bCs/>
          <w:i/>
          <w:i/>
          <w:sz w:val="24"/>
          <w:szCs w:val="24"/>
          <w:lang w:eastAsia="x-none"/>
        </w:rPr>
      </w:pPr>
      <w:r>
        <w:rPr>
          <w:bCs/>
          <w:i/>
          <w:sz w:val="24"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tbl>
      <w:tblPr>
        <w:tblStyle w:val="af"/>
        <w:tblW w:w="153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0"/>
        <w:gridCol w:w="3119"/>
        <w:gridCol w:w="3504"/>
        <w:gridCol w:w="2100"/>
        <w:gridCol w:w="2944"/>
        <w:gridCol w:w="2837"/>
      </w:tblGrid>
      <w:tr>
        <w:trPr/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11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0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 позиции 1 таблицы 2.1</w:t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ЗПСТ-6-70/120(Б)</w:t>
            </w:r>
          </w:p>
        </w:tc>
        <w:tc>
          <w:tcPr>
            <w:tcW w:w="21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напряжения кВ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1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жил, мм²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70 до 120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жил, шт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 позиции 2 таблицы 2.1</w:t>
            </w:r>
          </w:p>
        </w:tc>
        <w:tc>
          <w:tcPr>
            <w:tcW w:w="2100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ЗПКТ-6-70/120(Б)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напряжения кВ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жил, мм²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70 до 120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жил, шт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>
              <w:top w:val="nil"/>
              <w:right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 позиции 1 таблицы 2.1: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Изоляция кабеля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Пластмассовая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 позиции 2 таблицы 2.1: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Изоляция кабеля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Пластмассовая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температурный диапазон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От -50 до +50 °С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‍</w:t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эксплуатации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Для в</w:t>
            </w:r>
            <w:r>
              <w:rPr>
                <w:sz w:val="24"/>
                <w:szCs w:val="24"/>
                <w:lang w:val="en-US"/>
              </w:rPr>
              <w:t>нутренней и наружной установки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качеству поставляемой продукции: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исьменное подтверждение в составе оферты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Год выпуска продукции (оборудования)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ранее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 2026г.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маркировке, упаковке, транспортировке, перемещению, условиям хранения позиции 1 таблицы 2.1: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Транспортная маркировка грузов - по ГОСТ 14192-96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хранения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условий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хранения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 месяцев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Эксплуатация и монтаж оборудования должен соответствовать требованиям Правил технической эксплуатации электрических сетей, Правил организации технического обслуживания и ремонта объектов электроэнергетики, Правил устройств электроустановок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оборудования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эксплуатации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 месяцев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Гарантии распространяются на все поставляемое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позиции 1 таблицы 2.1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Соединительная муфта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болтовые соединители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на муфту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монтажу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эксплуатации (в том числе условия хранения)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Спецификация на поставку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9" w:hRule="atLeast"/>
        </w:trPr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позиции 2 таблицы 2.1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Концевая муфта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Болтовые соединители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на муфту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монтажу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эксплуатации (в том числе условия хранения)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Спецификация на поставку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не менее, лет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30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37" w:name="_Toc51339699"/>
      <w:bookmarkStart w:id="38" w:name="_Toc46743519"/>
      <w:bookmarkStart w:id="39" w:name="_Toc75446583"/>
      <w:bookmarkStart w:id="40" w:name="_Toc53393312"/>
      <w:r>
        <w:rPr>
          <w:lang w:val="ru-RU"/>
        </w:rPr>
        <w:t>Требования к документации по ценообразованию</w:t>
      </w:r>
      <w:bookmarkEnd w:id="40"/>
      <w:r>
        <w:rPr>
          <w:lang w:val="ru-RU"/>
        </w:rPr>
        <w:t xml:space="preserve"> на этапе закупки</w:t>
      </w:r>
      <w:bookmarkEnd w:id="37"/>
      <w:bookmarkEnd w:id="38"/>
      <w:bookmarkEnd w:id="39"/>
    </w:p>
    <w:p>
      <w:pPr>
        <w:pStyle w:val="ListParagraph"/>
        <w:ind w:left="567" w:hanging="0"/>
        <w:rPr>
          <w:i/>
          <w:i/>
          <w:szCs w:val="20"/>
          <w:lang w:eastAsia="x-none"/>
        </w:rPr>
      </w:pPr>
      <w:r>
        <w:rPr>
          <w:i/>
          <w:szCs w:val="20"/>
          <w:lang w:eastAsia="x-none"/>
        </w:rPr>
        <w:t xml:space="preserve">3.1 </w:t>
      </w:r>
      <w:r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41" w:name="_Hlk88325985"/>
      <w:r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41"/>
      <w:r>
        <w:rPr>
          <w:bCs/>
          <w:i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ListParagraph"/>
        <w:ind w:left="567" w:hanging="0"/>
        <w:rPr>
          <w:i/>
          <w:i/>
          <w:szCs w:val="20"/>
          <w:lang w:eastAsia="x-none"/>
        </w:rPr>
      </w:pPr>
      <w:bookmarkStart w:id="42" w:name="_Hlk88327292"/>
      <w:r>
        <w:rPr>
          <w:i/>
          <w:szCs w:val="20"/>
          <w:lang w:eastAsia="x-none"/>
        </w:rPr>
        <w:t>3.2 Дополнительные документы по ценообразованию</w:t>
      </w:r>
      <w:bookmarkEnd w:id="42"/>
      <w:r>
        <w:rPr>
          <w:i/>
          <w:szCs w:val="20"/>
          <w:lang w:eastAsia="x-none"/>
        </w:rPr>
        <w:t xml:space="preserve"> в состав заявки не включаются.</w:t>
      </w:r>
    </w:p>
    <w:p>
      <w:pPr>
        <w:pStyle w:val="ListParagraph"/>
        <w:ind w:left="567" w:hanging="0"/>
        <w:rPr>
          <w:i/>
          <w:i/>
          <w:szCs w:val="20"/>
          <w:lang w:eastAsia="x-none"/>
        </w:rPr>
      </w:pPr>
      <w:r>
        <w:rPr>
          <w:i/>
          <w:szCs w:val="20"/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r>
        <w:rPr>
          <w:lang w:val="ru-RU"/>
        </w:rPr>
        <w:t>Приложения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uppressAutoHyphens w:val="true"/>
        <w:bidi w:val="0"/>
        <w:spacing w:before="120" w:after="120"/>
        <w:ind w:left="0" w:right="0" w:firstLine="567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  <w:lang w:val="en-US" w:eastAsia="x-none"/>
        </w:rPr>
        <w:t xml:space="preserve">Приложение № 1: </w:t>
      </w:r>
      <w:bookmarkStart w:id="43" w:name="_Hlk87532473"/>
      <w:r>
        <w:rPr>
          <w:bCs/>
          <w:i/>
          <w:iCs/>
          <w:sz w:val="24"/>
          <w:szCs w:val="24"/>
          <w:lang w:val="en-US" w:eastAsia="x-none"/>
        </w:rPr>
        <w:t>Требования к оформлению и составлению документации по ценообразованию</w:t>
      </w:r>
      <w:bookmarkEnd w:id="43"/>
      <w:r>
        <w:rPr>
          <w:bCs/>
          <w:i/>
          <w:iCs/>
          <w:sz w:val="24"/>
          <w:szCs w:val="24"/>
          <w:lang w:val="en-US" w:eastAsia="x-none"/>
        </w:rPr>
        <w:t>.</w:t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10"/>
  <w:revisionView w:insDel="0" w:formatting="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e7d4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uiPriority w:val="9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rong2">
    <w:name w:val="Strong2"/>
    <w:qFormat/>
    <w:rPr>
      <w:b/>
      <w:bCs/>
    </w:rPr>
  </w:style>
  <w:style w:type="character" w:styleId="Style14">
    <w:name w:val="Символ нумерации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LineNumber">
    <w:name w:val="Line Number"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Знак Знак Знак Знак"/>
    <w:basedOn w:val="Normal"/>
    <w:qFormat/>
    <w:rsid w:val="005e05b1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110">
    <w:name w:val="Уровень 1"/>
    <w:basedOn w:val="ListParagraph"/>
    <w:qFormat/>
    <w:pPr>
      <w:numPr>
        <w:ilvl w:val="0"/>
        <w:numId w:val="6"/>
      </w:numPr>
      <w:spacing w:before="360" w:after="240"/>
      <w:contextualSpacing w:val="false"/>
      <w:jc w:val="both"/>
    </w:pPr>
    <w:rPr>
      <w:b/>
      <w:sz w:val="32"/>
    </w:rPr>
  </w:style>
  <w:style w:type="paragraph" w:styleId="29">
    <w:name w:val="Уровень 2"/>
    <w:basedOn w:val="110"/>
    <w:qFormat/>
    <w:pPr>
      <w:numPr>
        <w:ilvl w:val="1"/>
      </w:numPr>
      <w:tabs>
        <w:tab w:val="clear" w:pos="709"/>
        <w:tab w:val="left" w:pos="1701" w:leader="none"/>
      </w:tabs>
      <w:spacing w:before="0" w:after="0"/>
    </w:pPr>
    <w:rPr>
      <w:b w:val="false"/>
      <w:sz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23868141021">
    <w:name w:val="23868141021"/>
    <w:qFormat/>
  </w:style>
  <w:style w:type="numbering" w:styleId="32283569961">
    <w:name w:val="32283569961"/>
    <w:qFormat/>
  </w:style>
  <w:style w:type="numbering" w:styleId="25578804521">
    <w:name w:val="25578804521"/>
    <w:qFormat/>
  </w:style>
  <w:style w:type="numbering" w:styleId="28644899111">
    <w:name w:val="28644899111"/>
    <w:qFormat/>
  </w:style>
  <w:style w:type="numbering" w:styleId="21105339501">
    <w:name w:val="21105339501"/>
    <w:qFormat/>
  </w:style>
  <w:style w:type="numbering" w:styleId="32575093641">
    <w:name w:val="32575093641"/>
    <w:qFormat/>
  </w:style>
  <w:style w:type="numbering" w:styleId="22598446351">
    <w:name w:val="225984463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D2AA7-6B49-4511-A529-DCAD5A6BE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Application>AlterOffice/3.4.0.9$Linux_X86_64 LibreOffice_project/b8daf9e823b1a5463a2f48435ddc2e8696e7d4fc</Application>
  <AppVersion>15.0000</AppVersion>
  <Pages>9</Pages>
  <Words>1314</Words>
  <Characters>8855</Characters>
  <CharactersWithSpaces>9851</CharactersWithSpaces>
  <Paragraphs>307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2023-01-11T07:03:00Z</dcterms:created>
  <dc:creator>Быстров Олег Геннадьевич</dc:creator>
  <dc:description/>
  <dc:language>ru-RU</dc:language>
  <cp:lastModifiedBy>maksimovag@corp.gidroogk.com</cp:lastModifiedBy>
  <cp:lastPrinted>2006-07-26T14:04:00Z</cp:lastPrinted>
  <dcterms:modified xsi:type="dcterms:W3CDTF">2026-10-20T09:43:55Z</dcterms:modified>
  <cp:revision>239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