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er9.xml" ContentType="application/vnd.openxmlformats-officedocument.wordprocessingml.footer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17.xml" ContentType="application/vnd.openxmlformats-officedocument.wordprocessingml.footer+xml"/>
  <Override PartName="/word/footer5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footer11.xml" ContentType="application/vnd.openxmlformats-officedocument.wordprocessingml.footer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footer14.xml" ContentType="application/vnd.openxmlformats-officedocument.wordprocessingml.footer+xml"/>
  <Override PartName="/word/footer10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media/image1.png" ContentType="image/png"/>
  <Override PartName="/word/media/image2.png" ContentType="image/png"/>
  <Override PartName="/word/media/image3.wmf" ContentType="image/x-wmf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embeddings/oleObject1.xlsx" ContentType="application/vnd.openxmlformats-officedocument.spreadsheetml.sheet"/>
  <Override PartName="/word/footer12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567" w:leader="none"/>
        </w:tabs>
        <w:spacing w:lineRule="auto" w:line="240" w:before="0" w:after="0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 №</w:t>
      </w:r>
      <w:r>
        <w:rPr>
          <w:rFonts w:ascii="Times New Roman" w:hAnsi="Times New Roman"/>
          <w:bCs/>
          <w:sz w:val="28"/>
          <w:szCs w:val="28"/>
          <w:lang w:val="en-US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</w:t>
        <w:br/>
        <w:t>к Техническим требованиям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ConsPlusNormal1"/>
        <w:widowControl/>
        <w:tabs>
          <w:tab w:val="clear" w:pos="709"/>
          <w:tab w:val="left" w:pos="284" w:leader="none"/>
          <w:tab w:val="left" w:pos="993" w:leader="none"/>
          <w:tab w:val="left" w:pos="1134" w:leader="none"/>
        </w:tabs>
        <w:ind w:firstLine="709" w:left="0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Требования к оформлению и составлению сметной документации</w:t>
      </w:r>
    </w:p>
    <w:p>
      <w:pPr>
        <w:pStyle w:val="ConsPlusNormal1"/>
        <w:widowControl/>
        <w:tabs>
          <w:tab w:val="clear" w:pos="709"/>
          <w:tab w:val="left" w:pos="284" w:leader="none"/>
          <w:tab w:val="left" w:pos="993" w:leader="none"/>
          <w:tab w:val="left" w:pos="1134" w:leader="none"/>
        </w:tabs>
        <w:ind w:firstLine="709" w:left="0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284" w:leader="none"/>
          <w:tab w:val="left" w:pos="993" w:leader="none"/>
        </w:tabs>
        <w:ind w:firstLine="709" w:left="0" w:righ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Использование нормативов ценообразования, не зарегистрированных и не вошедших в ФРСН, </w:t>
      </w:r>
      <w:r>
        <w:rPr>
          <w:rFonts w:cs="Times New Roman" w:ascii="Times New Roman" w:hAnsi="Times New Roman"/>
          <w:b/>
          <w:sz w:val="22"/>
          <w:szCs w:val="22"/>
          <w:u w:val="single"/>
        </w:rPr>
        <w:t>не допускается</w:t>
      </w:r>
      <w:r>
        <w:rPr>
          <w:rFonts w:cs="Times New Roman" w:ascii="Times New Roman" w:hAnsi="Times New Roman"/>
          <w:sz w:val="22"/>
          <w:szCs w:val="22"/>
        </w:rPr>
        <w:t>, кроме случаев, прямо указанных в настоящих требованиях.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284" w:leader="none"/>
          <w:tab w:val="left" w:pos="993" w:leader="none"/>
        </w:tabs>
        <w:ind w:firstLine="709" w:left="0" w:right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cs="Times New Roman" w:ascii="Times New Roman" w:hAnsi="Times New Roman"/>
          <w:sz w:val="22"/>
          <w:szCs w:val="22"/>
        </w:rPr>
        <w:t xml:space="preserve">Версия программного комплекса «Гранд-Смета» (далее–ПК «Гранд-смета») </w:t>
      </w:r>
      <w:r>
        <w:rPr>
          <w:rFonts w:cs="Times New Roman" w:ascii="Times New Roman" w:hAnsi="Times New Roman"/>
          <w:sz w:val="22"/>
          <w:szCs w:val="22"/>
          <w:u w:val="single"/>
        </w:rPr>
        <w:t>должна быть не ниже 2024</w:t>
      </w:r>
      <w:r>
        <w:rPr>
          <w:rFonts w:cs="Times New Roman" w:ascii="Times New Roman" w:hAnsi="Times New Roman"/>
          <w:sz w:val="22"/>
          <w:szCs w:val="22"/>
        </w:rPr>
        <w:t>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284" w:leader="none"/>
          <w:tab w:val="left" w:pos="993" w:leader="none"/>
        </w:tabs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 составлении смет руководствоваться «Методикой определения сметной стоимости строительства»,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– Методика определения сметной стоимости строительства) с учетом изменений и дополнений.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284" w:leader="none"/>
          <w:tab w:val="left" w:pos="993" w:leader="none"/>
        </w:tabs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 составлении сметной документации необходимо использовать сметно-нормативную базу ФСНБ-2022 (с актуальными изменениями)</w:t>
      </w:r>
      <w:r>
        <w:rPr>
          <w:rFonts w:cs="Times New Roman" w:ascii="Times New Roman" w:hAnsi="Times New Roman"/>
          <w:b/>
          <w:sz w:val="22"/>
          <w:szCs w:val="22"/>
        </w:rPr>
        <w:t>.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284" w:leader="none"/>
          <w:tab w:val="left" w:pos="993" w:leader="none"/>
        </w:tabs>
        <w:ind w:firstLine="709" w:left="0" w:right="0"/>
        <w:jc w:val="both"/>
        <w:rPr>
          <w:shd w:fill="auto" w:val="clear"/>
        </w:rPr>
      </w:pPr>
      <w:r>
        <w:rPr>
          <w:rFonts w:cs="Times New Roman" w:ascii="Times New Roman" w:hAnsi="Times New Roman"/>
          <w:sz w:val="22"/>
          <w:szCs w:val="22"/>
          <w:shd w:fill="auto" w:val="clear"/>
        </w:rPr>
        <w:t>Определение сметной стоимости работ необходимо осуществлять</w:t>
      </w:r>
    </w:p>
    <w:p>
      <w:pPr>
        <w:pStyle w:val="ConsPlusNormal1"/>
        <w:widowControl/>
        <w:tabs>
          <w:tab w:val="left" w:pos="284" w:leader="none"/>
          <w:tab w:val="left" w:pos="426" w:leader="none"/>
          <w:tab w:val="left" w:pos="709" w:leader="none"/>
        </w:tabs>
        <w:suppressAutoHyphens w:val="true"/>
        <w:bidi w:val="0"/>
        <w:snapToGrid w:val="false"/>
        <w:spacing w:before="0" w:after="0"/>
        <w:ind w:hanging="0" w:left="0" w:right="0"/>
        <w:jc w:val="both"/>
        <w:rPr>
          <w:shd w:fill="auto" w:val="clear"/>
        </w:rPr>
      </w:pPr>
      <w:r>
        <w:rPr>
          <w:rFonts w:cs="Times New Roman" w:ascii="Times New Roman" w:hAnsi="Times New Roman"/>
          <w:b/>
          <w:sz w:val="22"/>
          <w:szCs w:val="22"/>
          <w:shd w:fill="auto" w:val="clear"/>
        </w:rPr>
        <w:t xml:space="preserve">Ресурсно-индексным методом </w:t>
      </w:r>
      <w:r>
        <w:rPr>
          <w:rFonts w:cs="Times New Roman" w:ascii="Times New Roman" w:hAnsi="Times New Roman"/>
          <w:sz w:val="22"/>
          <w:szCs w:val="22"/>
          <w:shd w:fill="auto" w:val="clear"/>
        </w:rPr>
        <w:t xml:space="preserve">-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составляющим единичных расценок в базисном уровне цен. Сметная стоимость, определенная с применением ресурсно-индексного метода, приводится в ЛСР (ЛС) в </w:t>
      </w:r>
      <w:r>
        <w:rPr>
          <w:rFonts w:cs="Times New Roman" w:ascii="Times New Roman" w:hAnsi="Times New Roman"/>
          <w:b/>
          <w:sz w:val="22"/>
          <w:szCs w:val="22"/>
          <w:shd w:fill="auto" w:val="clear"/>
        </w:rPr>
        <w:t>текущем уровне цен</w:t>
      </w:r>
      <w:r>
        <w:rPr>
          <w:rFonts w:cs="Times New Roman" w:ascii="Times New Roman" w:hAnsi="Times New Roman"/>
          <w:sz w:val="22"/>
          <w:szCs w:val="22"/>
          <w:shd w:fill="auto" w:val="clear"/>
        </w:rPr>
        <w:t xml:space="preserve">. </w:t>
      </w:r>
    </w:p>
    <w:p>
      <w:pPr>
        <w:pStyle w:val="ConsPlusNormal1"/>
        <w:widowControl/>
        <w:numPr>
          <w:ilvl w:val="0"/>
          <w:numId w:val="2"/>
        </w:numPr>
        <w:tabs>
          <w:tab w:val="left" w:pos="284" w:leader="none"/>
          <w:tab w:val="left" w:pos="426" w:leader="none"/>
          <w:tab w:val="left" w:pos="709" w:leader="none"/>
        </w:tabs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При определении сметной стоимости </w:t>
      </w:r>
      <w:r>
        <w:rPr>
          <w:rFonts w:cs="Times New Roman" w:ascii="Times New Roman" w:hAnsi="Times New Roman"/>
          <w:b/>
          <w:sz w:val="22"/>
          <w:szCs w:val="22"/>
        </w:rPr>
        <w:t>ресурсно-индексным</w:t>
      </w:r>
      <w:r>
        <w:rPr>
          <w:rFonts w:cs="Times New Roman" w:ascii="Times New Roman" w:hAnsi="Times New Roman"/>
          <w:sz w:val="22"/>
          <w:szCs w:val="22"/>
        </w:rPr>
        <w:t xml:space="preserve"> методом применяются индексы изменения сметной стоимости на текущий период (при наличии) для соответствующих видов объектов капитального строительства и субъектов Российской Федерации (частей территорий субъектов Российской Федерации), либо индексы, сведения о которых последними включены в ФРСН: </w:t>
      </w:r>
    </w:p>
    <w:p>
      <w:pPr>
        <w:pStyle w:val="ConsPlusNormal1"/>
        <w:widowControl/>
        <w:numPr>
          <w:ilvl w:val="0"/>
          <w:numId w:val="5"/>
        </w:numPr>
        <w:tabs>
          <w:tab w:val="clear" w:pos="709"/>
          <w:tab w:val="left" w:pos="993" w:leader="none"/>
          <w:tab w:val="left" w:pos="1418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индексы</w:t>
      </w:r>
      <w:r>
        <w:rPr>
          <w:rFonts w:cs="Times New Roman" w:ascii="Times New Roman" w:hAnsi="Times New Roman"/>
          <w:b/>
          <w:sz w:val="22"/>
          <w:szCs w:val="22"/>
        </w:rPr>
        <w:t xml:space="preserve"> к отдельным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sz w:val="22"/>
          <w:szCs w:val="22"/>
        </w:rPr>
        <w:t>строительным ресурсам</w:t>
      </w:r>
      <w:r>
        <w:rPr>
          <w:rFonts w:cs="Times New Roman" w:ascii="Times New Roman" w:hAnsi="Times New Roman"/>
          <w:sz w:val="22"/>
          <w:szCs w:val="22"/>
        </w:rPr>
        <w:t xml:space="preserve">, индексы к </w:t>
      </w:r>
      <w:r>
        <w:rPr>
          <w:rFonts w:cs="Times New Roman" w:ascii="Times New Roman" w:hAnsi="Times New Roman"/>
          <w:b/>
          <w:sz w:val="22"/>
          <w:szCs w:val="22"/>
        </w:rPr>
        <w:t>группам строительных ресурсов (индексы к сметной стоимости отдельных материалов, изделий, конструкций, оборудования, эксплуатации машин и механизмов или к стоимости однородных групп таких строительных ресурсов)</w:t>
      </w:r>
      <w:r>
        <w:rPr>
          <w:rFonts w:cs="Times New Roman" w:ascii="Times New Roman" w:hAnsi="Times New Roman"/>
          <w:sz w:val="22"/>
          <w:szCs w:val="22"/>
        </w:rPr>
        <w:t>;</w:t>
      </w:r>
    </w:p>
    <w:p>
      <w:pPr>
        <w:pStyle w:val="ConsPlusNormal1"/>
        <w:widowControl/>
        <w:numPr>
          <w:ilvl w:val="0"/>
          <w:numId w:val="5"/>
        </w:numPr>
        <w:tabs>
          <w:tab w:val="clear" w:pos="709"/>
          <w:tab w:val="left" w:pos="993" w:leader="none"/>
          <w:tab w:val="left" w:pos="1418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индексы изменения сметных цен </w:t>
      </w:r>
      <w:r>
        <w:rPr>
          <w:rFonts w:cs="Times New Roman" w:ascii="Times New Roman" w:hAnsi="Times New Roman"/>
          <w:b/>
          <w:sz w:val="22"/>
          <w:szCs w:val="22"/>
        </w:rPr>
        <w:t xml:space="preserve">на перевозку грузов </w:t>
      </w:r>
      <w:r>
        <w:rPr>
          <w:rFonts w:cs="Times New Roman" w:ascii="Times New Roman" w:hAnsi="Times New Roman"/>
          <w:sz w:val="22"/>
          <w:szCs w:val="22"/>
        </w:rPr>
        <w:t>– применяются к сметной стоимости затрат на перевозку грузов для строительства автомобильным транспортом, в том числе на дополнительное расстояние, сверх учтенного сметными ценами на материальные ресурсы и оборудование, в соответствии с типом автотранспортных средств;</w:t>
      </w:r>
    </w:p>
    <w:p>
      <w:pPr>
        <w:pStyle w:val="ConsPlusNormal1"/>
        <w:widowControl/>
        <w:numPr>
          <w:ilvl w:val="0"/>
          <w:numId w:val="5"/>
        </w:numPr>
        <w:tabs>
          <w:tab w:val="clear" w:pos="709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индексы изменения сметной </w:t>
      </w:r>
      <w:r>
        <w:rPr>
          <w:rFonts w:cs="Times New Roman" w:ascii="Times New Roman" w:hAnsi="Times New Roman"/>
          <w:b/>
          <w:sz w:val="22"/>
          <w:szCs w:val="22"/>
        </w:rPr>
        <w:t xml:space="preserve">стоимости оборудования </w:t>
      </w:r>
      <w:r>
        <w:rPr>
          <w:rFonts w:cs="Times New Roman" w:ascii="Times New Roman" w:hAnsi="Times New Roman"/>
          <w:sz w:val="22"/>
          <w:szCs w:val="22"/>
        </w:rPr>
        <w:t>– применяются к сметной стоимости оборудования;</w:t>
      </w:r>
    </w:p>
    <w:p>
      <w:pPr>
        <w:pStyle w:val="ConsPlusNormal1"/>
        <w:widowControl/>
        <w:numPr>
          <w:ilvl w:val="0"/>
          <w:numId w:val="5"/>
        </w:numPr>
        <w:tabs>
          <w:tab w:val="clear" w:pos="709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индексы изменения сметной стоимости, рассчитываемые для применения к сметной стоимости отдельных видов </w:t>
      </w:r>
      <w:r>
        <w:rPr>
          <w:rFonts w:cs="Times New Roman" w:ascii="Times New Roman" w:hAnsi="Times New Roman"/>
          <w:b/>
          <w:sz w:val="22"/>
          <w:szCs w:val="22"/>
        </w:rPr>
        <w:t>прочих работ и затрат</w:t>
      </w:r>
      <w:r>
        <w:rPr>
          <w:rFonts w:cs="Times New Roman" w:ascii="Times New Roman" w:hAnsi="Times New Roman"/>
          <w:sz w:val="22"/>
          <w:szCs w:val="22"/>
        </w:rPr>
        <w:t>;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284" w:leader="none"/>
          <w:tab w:val="left" w:pos="1134" w:leader="none"/>
        </w:tabs>
        <w:spacing w:before="40" w:after="40"/>
        <w:ind w:firstLine="709" w:left="0" w:right="0"/>
        <w:jc w:val="both"/>
        <w:rPr>
          <w:shd w:fill="auto" w:val="clear"/>
        </w:rPr>
      </w:pPr>
      <w:r>
        <w:rPr>
          <w:rFonts w:cs="Times New Roman" w:ascii="Times New Roman" w:hAnsi="Times New Roman"/>
          <w:color w:val="000000"/>
          <w:sz w:val="22"/>
          <w:szCs w:val="22"/>
          <w:shd w:fill="auto" w:val="clear"/>
        </w:rPr>
        <w:t>Пересчет сметной стоимости в прогнозный уровень цен осуществляется в соответствии с Приложением № 4.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284" w:leader="none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В случае </w:t>
      </w:r>
      <w:r>
        <w:rPr>
          <w:rFonts w:cs="Times New Roman" w:ascii="Times New Roman" w:hAnsi="Times New Roman"/>
          <w:i/>
          <w:sz w:val="22"/>
          <w:szCs w:val="22"/>
        </w:rPr>
        <w:t>отсутствия</w:t>
      </w:r>
      <w:r>
        <w:rPr>
          <w:rFonts w:cs="Times New Roman" w:ascii="Times New Roman" w:hAnsi="Times New Roman"/>
          <w:sz w:val="22"/>
          <w:szCs w:val="22"/>
        </w:rPr>
        <w:t xml:space="preserve"> единичных расценок в действующей СНБ возможно определение сметной стоимости с применением сборников: «Единых норм и расценок на строительные, монтажные и ремонтно-строительные работы» (далее – ЕНиР) и «Ведомственных норм и расценок на строительные, монтажные и ремонтно-строительные работы» (далее – ВНиР). Уровень оплаты труда  для ЕНиР и ВНиР определять аналогично примененному в сметной документации методу расчета в соответствии с тарифными ставками сборника «Показатели часовой оплаты труда» (далее - ТС 2001), внесенного в ФРСН.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284" w:leader="none"/>
          <w:tab w:val="left" w:pos="788" w:leader="none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0" w:name="_Hlk86254526"/>
      <w:r>
        <w:rPr>
          <w:rFonts w:cs="Times New Roman" w:ascii="Times New Roman" w:hAnsi="Times New Roman"/>
          <w:sz w:val="22"/>
          <w:szCs w:val="22"/>
        </w:rPr>
        <w:t xml:space="preserve">При </w:t>
      </w:r>
      <w:r>
        <w:rPr>
          <w:rFonts w:cs="Times New Roman" w:ascii="Times New Roman" w:hAnsi="Times New Roman"/>
          <w:i/>
          <w:sz w:val="22"/>
          <w:szCs w:val="22"/>
        </w:rPr>
        <w:t xml:space="preserve">отсутствии </w:t>
      </w:r>
      <w:r>
        <w:rPr>
          <w:rFonts w:cs="Times New Roman" w:ascii="Times New Roman" w:hAnsi="Times New Roman"/>
          <w:sz w:val="22"/>
          <w:szCs w:val="22"/>
        </w:rPr>
        <w:t>информации о сметных ценах в ФГИС ЦС по материальным ресурсам и оборудованию, их сметная цена формируется</w:t>
      </w:r>
      <w:bookmarkEnd w:id="0"/>
      <w:r>
        <w:rPr>
          <w:rFonts w:cs="Times New Roman" w:ascii="Times New Roman" w:hAnsi="Times New Roman"/>
          <w:sz w:val="22"/>
          <w:szCs w:val="22"/>
        </w:rPr>
        <w:t xml:space="preserve"> по наиболее экономичному варианту Методом анализа ТКП в соответствии с Приложением “Метод анализа ТКП”</w:t>
      </w:r>
      <w:r>
        <w:rPr>
          <w:rFonts w:cs="Times New Roman" w:ascii="Times New Roman" w:hAnsi="Times New Roman"/>
          <w:b/>
          <w:sz w:val="22"/>
          <w:szCs w:val="22"/>
        </w:rPr>
        <w:t>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284" w:leader="none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284" w:leader="none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Сметная стоимость материальных ресурсов и индивидуального стандартизированного (адаптированного) оборудования в текущем уровне цен, информация о которых отсутствует во ФГИС ЦС и ФРСН, определяется с учетом транспортных и заготовительно-складских затрат.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284" w:leader="none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Транспортные затраты определяются следующими методами:</w:t>
      </w:r>
    </w:p>
    <w:p>
      <w:pPr>
        <w:pStyle w:val="ConsPlusNormal1"/>
        <w:widowControl/>
        <w:tabs>
          <w:tab w:val="clear" w:pos="709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12.1. </w:t>
      </w:r>
      <w:r>
        <w:rPr>
          <w:rFonts w:cs="Times New Roman" w:ascii="Times New Roman" w:hAnsi="Times New Roman"/>
          <w:b/>
          <w:sz w:val="22"/>
          <w:szCs w:val="22"/>
        </w:rPr>
        <w:t>по доставке материальных ресурсов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</w:p>
    <w:p>
      <w:pPr>
        <w:pStyle w:val="ConsPlusNormal1"/>
        <w:numPr>
          <w:ilvl w:val="0"/>
          <w:numId w:val="9"/>
        </w:numPr>
        <w:tabs>
          <w:tab w:val="clear" w:pos="709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>
      <w:pPr>
        <w:pStyle w:val="ConsPlusNormal1"/>
        <w:widowControl/>
        <w:numPr>
          <w:ilvl w:val="0"/>
          <w:numId w:val="9"/>
        </w:numPr>
        <w:tabs>
          <w:tab w:val="clear" w:pos="709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Методом анализа ТКП;</w:t>
      </w:r>
    </w:p>
    <w:p>
      <w:pPr>
        <w:pStyle w:val="ConsPlusNormal1"/>
        <w:widowControl/>
        <w:numPr>
          <w:ilvl w:val="0"/>
          <w:numId w:val="9"/>
        </w:numPr>
        <w:tabs>
          <w:tab w:val="clear" w:pos="709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 размере до 3-х процентов от отпускной цены материальных ресурсов (при невозможности определить затраты указанными выше способами), по решению заказчика.</w:t>
      </w:r>
    </w:p>
    <w:p>
      <w:pPr>
        <w:pStyle w:val="ConsPlusNormal1"/>
        <w:tabs>
          <w:tab w:val="clear" w:pos="709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12.2.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  <w:sz w:val="22"/>
          <w:szCs w:val="22"/>
        </w:rPr>
        <w:t>по доставке оборудования</w:t>
      </w:r>
      <w:r>
        <w:rPr>
          <w:rFonts w:cs="Times New Roman" w:ascii="Times New Roman" w:hAnsi="Times New Roman"/>
          <w:sz w:val="22"/>
          <w:szCs w:val="22"/>
        </w:rPr>
        <w:t>:</w:t>
      </w:r>
    </w:p>
    <w:p>
      <w:pPr>
        <w:pStyle w:val="ConsPlusNormal1"/>
        <w:widowControl/>
        <w:numPr>
          <w:ilvl w:val="0"/>
          <w:numId w:val="19"/>
        </w:numPr>
        <w:tabs>
          <w:tab w:val="clear" w:pos="709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>
      <w:pPr>
        <w:pStyle w:val="ConsPlusNormal1"/>
        <w:widowControl/>
        <w:numPr>
          <w:ilvl w:val="0"/>
          <w:numId w:val="20"/>
        </w:numPr>
        <w:tabs>
          <w:tab w:val="clear" w:pos="709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Методом анализа ТКП;</w:t>
      </w:r>
    </w:p>
    <w:p>
      <w:pPr>
        <w:pStyle w:val="ConsPlusNormal1"/>
        <w:numPr>
          <w:ilvl w:val="0"/>
          <w:numId w:val="9"/>
        </w:numPr>
        <w:tabs>
          <w:tab w:val="clear" w:pos="709"/>
          <w:tab w:val="left" w:pos="284" w:leader="none"/>
          <w:tab w:val="left" w:pos="1134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 размере до 3-х процентов от отпускной цены оборудования (при невозможности определить затраты указанными выше способами), по решению заказчика.</w:t>
      </w:r>
    </w:p>
    <w:p>
      <w:pPr>
        <w:pStyle w:val="ConsPlusNormal1"/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Если транспортировка осуществляется заказчиком самостоятельно (самовывоз), данный показатель не учитывается.</w:t>
      </w:r>
    </w:p>
    <w:p>
      <w:pPr>
        <w:pStyle w:val="ConsPlusNormal1"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Заготовительно-складские расходы определяются в % от суммы отпускной цены материалов, изделий, конструкций, оборудования и транспортных затрат:</w:t>
      </w:r>
    </w:p>
    <w:p>
      <w:pPr>
        <w:pStyle w:val="ConsPlusNormal1"/>
        <w:widowControl w:val="false"/>
        <w:tabs>
          <w:tab w:val="clear" w:pos="709"/>
          <w:tab w:val="left" w:pos="567" w:leader="none"/>
          <w:tab w:val="left" w:pos="993" w:leader="none"/>
        </w:tabs>
        <w:suppressAutoHyphens w:val="true"/>
        <w:bidi w:val="0"/>
        <w:spacing w:before="40" w:after="40"/>
        <w:ind w:hanging="0" w:left="567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2% - для материальных ресурсов (кроме металлоконструкций);</w:t>
      </w:r>
    </w:p>
    <w:p>
      <w:pPr>
        <w:pStyle w:val="ConsPlusNormal1"/>
        <w:widowControl w:val="false"/>
        <w:tabs>
          <w:tab w:val="clear" w:pos="709"/>
          <w:tab w:val="left" w:pos="567" w:leader="none"/>
          <w:tab w:val="left" w:pos="993" w:leader="none"/>
        </w:tabs>
        <w:suppressAutoHyphens w:val="true"/>
        <w:bidi w:val="0"/>
        <w:spacing w:before="40" w:after="40"/>
        <w:ind w:hanging="0" w:left="567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0,75% - для металлоконструкций;</w:t>
      </w:r>
    </w:p>
    <w:p>
      <w:pPr>
        <w:pStyle w:val="ConsPlusNormal1"/>
        <w:widowControl w:val="false"/>
        <w:tabs>
          <w:tab w:val="clear" w:pos="709"/>
          <w:tab w:val="left" w:pos="567" w:leader="none"/>
          <w:tab w:val="left" w:pos="993" w:leader="none"/>
        </w:tabs>
        <w:suppressAutoHyphens w:val="true"/>
        <w:bidi w:val="0"/>
        <w:spacing w:before="40" w:after="40"/>
        <w:ind w:hanging="0" w:left="567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1,2% - для оборудования.</w:t>
      </w:r>
    </w:p>
    <w:p>
      <w:pPr>
        <w:pStyle w:val="ConsPlusNormal1"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З</w:t>
      </w:r>
      <w:r>
        <w:rPr>
          <w:rFonts w:cs="Times New Roman" w:ascii="Times New Roman" w:hAnsi="Times New Roman"/>
          <w:color w:val="000000"/>
          <w:sz w:val="22"/>
          <w:szCs w:val="22"/>
        </w:rPr>
        <w:t>атраты на эксплуатацию строительной техники, не учтенной нормами и расценками, включенными в ФРСН, определяются по наиболее экономичному варианту Методом анализа ТКП в соответствии с Приложением “Метод анализа ТКП” и учитываются в Главе 9 Сводного сметного расчета стоимости строительства (далее - ССРСС).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При формировании сметной стоимости с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указываются попозиционно.</w:t>
      </w:r>
      <w:r>
        <w:rPr>
          <w:rFonts w:cs="Times New Roman" w:ascii="Times New Roman" w:hAnsi="Times New Roman"/>
          <w:color w:val="FF0000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 xml:space="preserve"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применении нескольких коэффициентов, результирующее значение коэффициента определяется в соответствии с </w:t>
      </w:r>
      <w:r>
        <w:rPr>
          <w:rFonts w:cs="Times New Roman" w:ascii="Times New Roman" w:hAnsi="Times New Roman"/>
          <w:sz w:val="22"/>
          <w:szCs w:val="22"/>
        </w:rPr>
        <w:t>Методикой определения сметной стоимости строительства</w:t>
      </w:r>
      <w:r>
        <w:rPr>
          <w:rFonts w:cs="Times New Roman" w:ascii="Times New Roman" w:hAnsi="Times New Roman"/>
          <w:color w:val="000000"/>
          <w:sz w:val="22"/>
          <w:szCs w:val="22"/>
        </w:rPr>
        <w:t>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Затраты на возведение временных зданий и сооружений учитывать в том случае, если они указаны в ПОС, ТТ. Размер средств на устройство и ликвидацию временных зданий и сооружений определяются одним из способов: нормативным методом с применением нормативов затрат на строительство титульных временных зданий и сооружений, сведения о которых включены в ФРСН, расчетным методом - на основании ЛСР (ЛС) или калькуляций, в соответствии с данными ПОС. Порядок расчета за возведенные временные здания и сооружения оговаривать в договоре подряда.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Резерв средств на непредвиденные работы и затраты определять в ТТ и начислять в смете в процентах в размере, указанном в утвержденных ТТ. Порядок расчета за непредвиденные работы и затраты оговаривать в договоре подряда.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 ЛСР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 ЛСР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993" w:leader="none"/>
        </w:tabs>
        <w:ind w:firstLine="709" w:left="0" w:right="0"/>
        <w:jc w:val="both"/>
        <w:rPr>
          <w:rFonts w:ascii="Times New Roman" w:hAnsi="Times New Roman"/>
          <w:color w:val="000000"/>
          <w:sz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При наличии двух и более сметных расчетов составлять ССРСС в текущем уровне цен по форме, утвержденной Методикой определения сметной стоимости строительства.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Сметная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>
        <w:rPr>
          <w:rFonts w:cs="Times New Roman" w:ascii="Times New Roman" w:hAnsi="Times New Roman"/>
          <w:sz w:val="22"/>
          <w:szCs w:val="22"/>
          <w:lang w:val="en-US"/>
        </w:rPr>
        <w:t>VII</w:t>
      </w:r>
      <w:r>
        <w:rPr>
          <w:rFonts w:cs="Times New Roman" w:ascii="Times New Roman" w:hAnsi="Times New Roman"/>
          <w:sz w:val="22"/>
          <w:szCs w:val="22"/>
        </w:rPr>
        <w:t xml:space="preserve">. Методики определения сметной стоимости строительства: </w:t>
      </w:r>
    </w:p>
    <w:p>
      <w:pPr>
        <w:pStyle w:val="ConsPlusNormal1"/>
        <w:numPr>
          <w:ilvl w:val="0"/>
          <w:numId w:val="6"/>
        </w:numPr>
        <w:tabs>
          <w:tab w:val="clear" w:pos="709"/>
          <w:tab w:val="left" w:pos="567" w:leader="none"/>
          <w:tab w:val="left" w:pos="851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ССРСС.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>
      <w:pPr>
        <w:pStyle w:val="ConsPlusNormal1"/>
        <w:numPr>
          <w:ilvl w:val="0"/>
          <w:numId w:val="6"/>
        </w:numPr>
        <w:tabs>
          <w:tab w:val="clear" w:pos="709"/>
          <w:tab w:val="left" w:pos="567" w:leader="none"/>
          <w:tab w:val="left" w:pos="851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</w:t>
      </w:r>
    </w:p>
    <w:p>
      <w:pPr>
        <w:pStyle w:val="ConsPlusNormal1"/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 Данные работы оформляются отдельными локальными сметами в соответствии </w:t>
      </w:r>
      <w:r>
        <w:rPr>
          <w:rFonts w:cs="Times New Roman" w:ascii="Times New Roman" w:hAnsi="Times New Roman"/>
          <w:color w:val="000000"/>
          <w:sz w:val="22"/>
          <w:szCs w:val="22"/>
        </w:rPr>
        <w:t>с Приложением №1.5 и включаются в ССРСС.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Стоимость шеф - монтажных и шеф - наладочных работ включается в сметную стоимость оборудования и может определяться отдельными расчетами. 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(</w:t>
      </w:r>
      <w:r>
        <w:rPr>
          <w:rFonts w:cs="Times New Roman" w:ascii="Times New Roman" w:hAnsi="Times New Roman"/>
          <w:color w:val="000000"/>
          <w:sz w:val="22"/>
          <w:szCs w:val="22"/>
        </w:rPr>
        <w:t>образец формы расчета представлен в Приложении № 2.</w:t>
      </w:r>
      <w:r>
        <w:rPr>
          <w:rFonts w:cs="Times New Roman" w:ascii="Times New Roman" w:hAnsi="Times New Roman"/>
          <w:sz w:val="22"/>
          <w:szCs w:val="22"/>
        </w:rPr>
        <w:t xml:space="preserve"> Участник (подрядчик, контрагент) представляет смету на шеф-монтажные работы в соответствии с графиком выполнения работ.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 xml:space="preserve">При необходимости учета командировочных расходов в сметной документации составляется расчет по форме Приложения №.3 Размер суточных командировочных расходов определяется в соответствии с законодательством РФ и с учетом норм, определяемых внутренним документом организации. </w:t>
      </w:r>
    </w:p>
    <w:p>
      <w:pPr>
        <w:pStyle w:val="ConsPlusNormal1"/>
        <w:widowControl/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Лимиты командировочных расходов при производстве СМР и ПНР по статьям затрат следующие:</w:t>
      </w:r>
    </w:p>
    <w:p>
      <w:pPr>
        <w:pStyle w:val="ConsPlusNormal1"/>
        <w:numPr>
          <w:ilvl w:val="0"/>
          <w:numId w:val="4"/>
        </w:numPr>
        <w:tabs>
          <w:tab w:val="clear" w:pos="709"/>
          <w:tab w:val="left" w:pos="567" w:leader="none"/>
          <w:tab w:val="left" w:pos="851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суточные – 700 руб./сутки;</w:t>
      </w:r>
    </w:p>
    <w:p>
      <w:pPr>
        <w:pStyle w:val="ConsPlusNormal1"/>
        <w:numPr>
          <w:ilvl w:val="0"/>
          <w:numId w:val="4"/>
        </w:numPr>
        <w:tabs>
          <w:tab w:val="clear" w:pos="709"/>
          <w:tab w:val="left" w:pos="567" w:leader="none"/>
          <w:tab w:val="left" w:pos="851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проживание – 500 руб./сутки;</w:t>
      </w:r>
    </w:p>
    <w:p>
      <w:pPr>
        <w:pStyle w:val="ConsPlusNormal1"/>
        <w:numPr>
          <w:ilvl w:val="0"/>
          <w:numId w:val="4"/>
        </w:numPr>
        <w:tabs>
          <w:tab w:val="clear" w:pos="709"/>
          <w:tab w:val="left" w:pos="567" w:leader="none"/>
          <w:tab w:val="left" w:pos="851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проезд: поезд (купе) или самолет (класс–эконом с багажом до 20 (двадцати) кг, ручная кладь до 10 (десяти) кг).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bookmarkStart w:id="1" w:name="_Ref19086149"/>
      <w:r>
        <w:rPr>
          <w:rFonts w:cs="Times New Roman" w:ascii="Times New Roman" w:hAnsi="Times New Roman"/>
          <w:sz w:val="22"/>
          <w:szCs w:val="22"/>
        </w:rPr>
        <w:t xml:space="preserve">В локальных сметных расчетах построчные и итоговые суммы </w:t>
      </w:r>
      <w:r>
        <w:rPr>
          <w:rFonts w:cs="Times New Roman" w:ascii="Times New Roman" w:hAnsi="Times New Roman"/>
          <w:b/>
          <w:sz w:val="22"/>
          <w:szCs w:val="22"/>
          <w:u w:val="single"/>
        </w:rPr>
        <w:t>округлять:</w:t>
      </w:r>
      <w:bookmarkEnd w:id="1"/>
    </w:p>
    <w:p>
      <w:pPr>
        <w:pStyle w:val="ConsPlusNormal1"/>
        <w:numPr>
          <w:ilvl w:val="0"/>
          <w:numId w:val="8"/>
        </w:numPr>
        <w:tabs>
          <w:tab w:val="clear" w:pos="709"/>
          <w:tab w:val="left" w:pos="567" w:leader="none"/>
          <w:tab w:val="left" w:pos="851" w:leader="none"/>
          <w:tab w:val="left" w:pos="993" w:leader="none"/>
          <w:tab w:val="left" w:pos="1246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при ресурсно-индексном и ресурсным методах, а также в сметных расчетах на отдельные виды затрат - </w:t>
      </w:r>
      <w:r>
        <w:rPr>
          <w:rFonts w:cs="Times New Roman" w:ascii="Times New Roman" w:hAnsi="Times New Roman"/>
          <w:b/>
          <w:sz w:val="22"/>
          <w:szCs w:val="22"/>
        </w:rPr>
        <w:t>в рублях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sz w:val="22"/>
          <w:szCs w:val="22"/>
        </w:rPr>
        <w:t>до целых единиц</w:t>
      </w:r>
      <w:r>
        <w:rPr>
          <w:rFonts w:cs="Times New Roman" w:ascii="Times New Roman" w:hAnsi="Times New Roman"/>
          <w:sz w:val="22"/>
          <w:szCs w:val="22"/>
        </w:rPr>
        <w:t>;</w:t>
      </w:r>
    </w:p>
    <w:p>
      <w:pPr>
        <w:pStyle w:val="ConsPlusNormal1"/>
        <w:numPr>
          <w:ilvl w:val="0"/>
          <w:numId w:val="8"/>
        </w:numPr>
        <w:tabs>
          <w:tab w:val="clear" w:pos="709"/>
          <w:tab w:val="left" w:pos="567" w:leader="none"/>
          <w:tab w:val="left" w:pos="851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в объектных сметных расчетах (сметах), сводном сметном расчете стоимости строительства и сводке затрат - </w:t>
      </w:r>
      <w:r>
        <w:rPr>
          <w:rFonts w:cs="Times New Roman" w:ascii="Times New Roman" w:hAnsi="Times New Roman"/>
          <w:b/>
          <w:sz w:val="22"/>
          <w:szCs w:val="22"/>
        </w:rPr>
        <w:t>рублях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sz w:val="22"/>
          <w:szCs w:val="22"/>
        </w:rPr>
        <w:t>до двух знаков</w:t>
      </w:r>
      <w:r>
        <w:rPr>
          <w:rFonts w:cs="Times New Roman" w:ascii="Times New Roman" w:hAnsi="Times New Roman"/>
          <w:sz w:val="22"/>
          <w:szCs w:val="22"/>
        </w:rPr>
        <w:t xml:space="preserve"> после запятой. Величину НДС не указывать.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Выходные формы сводных сметных расчетов должны соответствовать Образцам по приложений 1.1, 1.2. 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 случае предоставления Заказчиком услуг, указанных в разделе Технических требований «Иные условия поставки товаров, выполнения работ, оказания услуг»:</w:t>
      </w:r>
    </w:p>
    <w:p>
      <w:pPr>
        <w:pStyle w:val="ConsPlusNormal1"/>
        <w:widowControl/>
        <w:numPr>
          <w:ilvl w:val="1"/>
          <w:numId w:val="2"/>
        </w:numPr>
        <w:tabs>
          <w:tab w:val="clear" w:pos="709"/>
          <w:tab w:val="left" w:pos="567" w:leader="none"/>
          <w:tab w:val="left" w:pos="851" w:leader="none"/>
          <w:tab w:val="left" w:pos="993" w:leader="none"/>
          <w:tab w:val="left" w:pos="1085" w:leader="none"/>
          <w:tab w:val="left" w:pos="1246" w:leader="none"/>
          <w:tab w:val="left" w:pos="1477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Из норм и расценок, внесенных в ФРСН, при составлении сметной документации исключать затраты:</w:t>
      </w:r>
    </w:p>
    <w:p>
      <w:pPr>
        <w:pStyle w:val="ConsPlusNormal1"/>
        <w:widowControl/>
        <w:numPr>
          <w:ilvl w:val="2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По предоставляемой электроэнергии (в том числе, в составе стоимости машино-часа):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567" w:leader="none"/>
          <w:tab w:val="left" w:pos="993" w:leader="none"/>
          <w:tab w:val="left" w:pos="1701" w:leader="none"/>
        </w:tabs>
        <w:spacing w:lineRule="auto" w:line="240" w:before="40" w:after="40"/>
        <w:ind w:firstLine="709" w:left="0" w:right="0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Рассчитанная сумма возврата стоимости электрической энергии (со знаком «–») учитывается в последней главе ССРСС, где имеется смета на СМР (как правило, в главах 1-7, если затраты по главе 8 определены на основании смет, то сумма возврата стоимости электрической энергии учитывается в главе 8)</w:t>
      </w:r>
      <w:r>
        <w:rPr>
          <w:rStyle w:val="FootnoteReference"/>
          <w:rFonts w:ascii="Times New Roman" w:hAnsi="Times New Roman"/>
        </w:rPr>
        <w:footnoteReference w:id="2"/>
      </w:r>
      <w:r>
        <w:rPr>
          <w:rFonts w:ascii="Times New Roman" w:hAnsi="Times New Roman"/>
        </w:rPr>
        <w:t xml:space="preserve">. Рекомендации по расчету суммы возврата стоимости электрической энергии указаны в </w:t>
      </w:r>
      <w:r>
        <w:rPr>
          <w:rFonts w:ascii="Times New Roman" w:hAnsi="Times New Roman"/>
          <w:color w:val="000000"/>
        </w:rPr>
        <w:t>Приложении 4 к настоящим требованиям</w:t>
      </w:r>
      <w:r>
        <w:rPr>
          <w:rFonts w:ascii="Times New Roman" w:hAnsi="Times New Roman"/>
        </w:rPr>
        <w:t xml:space="preserve">. 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567" w:leader="none"/>
          <w:tab w:val="left" w:pos="993" w:leader="none"/>
          <w:tab w:val="left" w:pos="1701" w:leader="none"/>
        </w:tabs>
        <w:spacing w:lineRule="auto" w:line="240" w:before="40" w:after="40"/>
        <w:ind w:firstLine="709" w:left="0" w:right="0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Индекс пересчета в текущие цены применять аналогичный примененному в сметной документации.</w:t>
      </w:r>
    </w:p>
    <w:p>
      <w:pPr>
        <w:pStyle w:val="ListParagraph"/>
        <w:numPr>
          <w:ilvl w:val="0"/>
          <w:numId w:val="10"/>
        </w:numPr>
        <w:tabs>
          <w:tab w:val="clear" w:pos="709"/>
          <w:tab w:val="left" w:pos="567" w:leader="none"/>
          <w:tab w:val="left" w:pos="993" w:leader="none"/>
          <w:tab w:val="left" w:pos="1701" w:leader="none"/>
        </w:tabs>
        <w:spacing w:lineRule="auto" w:line="240" w:before="40" w:after="40"/>
        <w:ind w:firstLine="709" w:left="0" w:right="0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применении индексов по статьям затрат в сметной документации для данного ресурса применять индекс на материалы.</w:t>
      </w:r>
    </w:p>
    <w:p>
      <w:pPr>
        <w:pStyle w:val="ConsPlusNormal1"/>
        <w:widowControl/>
        <w:numPr>
          <w:ilvl w:val="2"/>
          <w:numId w:val="2"/>
        </w:numPr>
        <w:tabs>
          <w:tab w:val="clear" w:pos="709"/>
          <w:tab w:val="left" w:pos="567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По предоставляемому сжатому воздуху:</w:t>
      </w:r>
    </w:p>
    <w:p>
      <w:pPr>
        <w:pStyle w:val="ListParagraph"/>
        <w:numPr>
          <w:ilvl w:val="0"/>
          <w:numId w:val="11"/>
        </w:numPr>
        <w:tabs>
          <w:tab w:val="clear" w:pos="709"/>
          <w:tab w:val="left" w:pos="567" w:leader="none"/>
          <w:tab w:val="left" w:pos="993" w:leader="none"/>
          <w:tab w:val="left" w:pos="1701" w:leader="none"/>
        </w:tabs>
        <w:spacing w:lineRule="auto" w:line="240" w:before="40" w:after="40"/>
        <w:ind w:firstLine="709" w:left="0" w:right="0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 норм и расценок исключать стоимость компрессоров. </w:t>
      </w:r>
    </w:p>
    <w:p>
      <w:pPr>
        <w:pStyle w:val="ConsPlusNormal1"/>
        <w:widowControl/>
        <w:numPr>
          <w:ilvl w:val="2"/>
          <w:numId w:val="2"/>
        </w:numPr>
        <w:tabs>
          <w:tab w:val="clear" w:pos="709"/>
          <w:tab w:val="left" w:pos="567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Учтенные в составе накладных расходов:</w:t>
      </w:r>
    </w:p>
    <w:p>
      <w:pPr>
        <w:pStyle w:val="ConsPlusNormal1"/>
        <w:numPr>
          <w:ilvl w:val="0"/>
          <w:numId w:val="4"/>
        </w:numPr>
        <w:tabs>
          <w:tab w:val="clear" w:pos="709"/>
          <w:tab w:val="left" w:pos="1701" w:leader="none"/>
        </w:tabs>
        <w:spacing w:before="40" w:after="40"/>
        <w:ind w:hanging="283" w:left="1701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расходы по обеспечению санитарно-гигиенических и бытовых условий (удельный вес статьи затрат в накладных расходах - 3,02%);</w:t>
      </w:r>
    </w:p>
    <w:p>
      <w:pPr>
        <w:pStyle w:val="ConsPlusNormal1"/>
        <w:numPr>
          <w:ilvl w:val="0"/>
          <w:numId w:val="4"/>
        </w:numPr>
        <w:tabs>
          <w:tab w:val="clear" w:pos="709"/>
          <w:tab w:val="left" w:pos="1701" w:leader="none"/>
        </w:tabs>
        <w:spacing w:before="40" w:after="40"/>
        <w:ind w:hanging="283" w:left="1701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содержание пожарной и сторожевой охраны (удельный вес статьи затрат в накладных расходах -2,01%);</w:t>
      </w:r>
    </w:p>
    <w:p>
      <w:pPr>
        <w:pStyle w:val="ConsPlusNormal1"/>
        <w:numPr>
          <w:ilvl w:val="0"/>
          <w:numId w:val="4"/>
        </w:numPr>
        <w:tabs>
          <w:tab w:val="clear" w:pos="709"/>
          <w:tab w:val="left" w:pos="1701" w:leader="none"/>
        </w:tabs>
        <w:spacing w:before="40" w:after="40"/>
        <w:ind w:hanging="283" w:left="1701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расходы по благоустройству и содержанию строительных площадок (удельный вес статьи затрат в накладных расходах -1,61%) исключаются путем применения понижающего коэффициента к нормативам накладных расходов на строительные работы в размере 0,93</w:t>
      </w:r>
      <w:r>
        <w:rPr>
          <w:rStyle w:val="FootnoteReference"/>
          <w:rFonts w:cs="Times New Roman" w:ascii="Times New Roman" w:hAnsi="Times New Roman"/>
          <w:sz w:val="22"/>
          <w:szCs w:val="22"/>
        </w:rPr>
        <w:footnoteReference w:id="3"/>
      </w:r>
      <w:r>
        <w:rPr>
          <w:rFonts w:cs="Times New Roman" w:ascii="Times New Roman" w:hAnsi="Times New Roman"/>
          <w:sz w:val="22"/>
          <w:szCs w:val="22"/>
        </w:rPr>
        <w:t>. Понижающий коэффициент не применяется к нормативам накладных расходов на ремонтно-строительные работы, работы по реконструкции зданий и сооружений (ГЭСН/ФЕР/ТЕР-2001-46), монтажные и пусконаладочные работы.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426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>
      <w:pPr>
        <w:pStyle w:val="ConsPlusNormal1"/>
        <w:widowControl/>
        <w:numPr>
          <w:ilvl w:val="0"/>
          <w:numId w:val="2"/>
        </w:numPr>
        <w:tabs>
          <w:tab w:val="clear" w:pos="709"/>
          <w:tab w:val="left" w:pos="426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Сметная документация должна быть представлена на электронном носителе (в форматах «</w:t>
      </w:r>
      <w:r>
        <w:rPr>
          <w:rFonts w:cs="Times New Roman" w:ascii="Times New Roman" w:hAnsi="Times New Roman"/>
          <w:sz w:val="22"/>
          <w:szCs w:val="22"/>
          <w:lang w:val="en-US"/>
        </w:rPr>
        <w:t>xml</w:t>
      </w:r>
      <w:r>
        <w:rPr>
          <w:rFonts w:cs="Times New Roman" w:ascii="Times New Roman" w:hAnsi="Times New Roman"/>
          <w:sz w:val="22"/>
          <w:szCs w:val="22"/>
        </w:rPr>
        <w:t>»,</w:t>
      </w:r>
      <w:r>
        <w:rPr>
          <w:rFonts w:cs="Times New Roman" w:ascii="Times New Roman" w:hAnsi="Times New Roman"/>
          <w:color w:val="2E74B5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ПК «Гранд-Смета», «Excel», «</w:t>
      </w:r>
      <w:r>
        <w:rPr>
          <w:rFonts w:cs="Times New Roman" w:ascii="Times New Roman" w:hAnsi="Times New Roman"/>
          <w:sz w:val="22"/>
          <w:szCs w:val="22"/>
          <w:lang w:val="en-US"/>
        </w:rPr>
        <w:t>pdf</w:t>
      </w:r>
      <w:r>
        <w:rPr>
          <w:rFonts w:cs="Times New Roman" w:ascii="Times New Roman" w:hAnsi="Times New Roman"/>
          <w:sz w:val="22"/>
          <w:szCs w:val="22"/>
        </w:rPr>
        <w:t>»);</w:t>
      </w:r>
    </w:p>
    <w:p>
      <w:pPr>
        <w:pStyle w:val="ConsPlusNormal1"/>
        <w:widowControl/>
        <w:numPr>
          <w:ilvl w:val="0"/>
          <w:numId w:val="3"/>
        </w:numPr>
        <w:tabs>
          <w:tab w:val="clear" w:pos="709"/>
          <w:tab w:val="left" w:pos="426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сметная документация в формате «Exce</w:t>
      </w:r>
      <w:r>
        <w:rPr>
          <w:rFonts w:cs="Times New Roman" w:ascii="Times New Roman" w:hAnsi="Times New Roman"/>
          <w:sz w:val="22"/>
          <w:szCs w:val="22"/>
          <w:lang w:val="en-US"/>
        </w:rPr>
        <w:t>l</w:t>
      </w:r>
      <w:r>
        <w:rPr>
          <w:rFonts w:cs="Times New Roman" w:ascii="Times New Roman" w:hAnsi="Times New Roman"/>
          <w:sz w:val="22"/>
          <w:szCs w:val="22"/>
        </w:rPr>
        <w:t>» должна быть представлена в одном файле с внесением ССРСС, ЛСР и других расчетов на отдельные листы (вкладки) документа.</w:t>
      </w:r>
    </w:p>
    <w:p>
      <w:pPr>
        <w:sectPr>
          <w:footerReference w:type="default" r:id="rId2"/>
          <w:footnotePr>
            <w:numFmt w:val="decimal"/>
            <w:numRestart w:val="eachSect"/>
          </w:footnotePr>
          <w:type w:val="nextPage"/>
          <w:pgSz w:w="11906" w:h="16838"/>
          <w:pgMar w:left="1304" w:right="924" w:gutter="0" w:header="0" w:top="539" w:footer="709" w:bottom="1134"/>
          <w:pgNumType w:fmt="decimal"/>
          <w:formProt w:val="false"/>
          <w:textDirection w:val="lrTb"/>
          <w:docGrid w:type="default" w:linePitch="360" w:charSpace="0"/>
        </w:sectPr>
        <w:pStyle w:val="ConsPlusNormal1"/>
        <w:widowControl/>
        <w:numPr>
          <w:ilvl w:val="0"/>
          <w:numId w:val="3"/>
        </w:numPr>
        <w:tabs>
          <w:tab w:val="clear" w:pos="709"/>
          <w:tab w:val="left" w:pos="426" w:leader="none"/>
          <w:tab w:val="left" w:pos="993" w:leader="none"/>
        </w:tabs>
        <w:spacing w:before="40" w:after="40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Выходная форма локальных сметный расчетов ПК «Гранд-смета» должна быть представлена в соответствии с Методикой определения сметной стоимости строительства.</w:t>
      </w:r>
      <w:r>
        <w:br w:type="page"/>
      </w:r>
    </w:p>
    <w:p>
      <w:pPr>
        <w:pStyle w:val="Normal"/>
        <w:spacing w:lineRule="auto" w:line="240" w:before="0" w:after="0"/>
        <w:ind w:firstLine="720" w:left="5812" w:right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1 </w:t>
      </w:r>
    </w:p>
    <w:p>
      <w:pPr>
        <w:pStyle w:val="Normal"/>
        <w:spacing w:lineRule="auto" w:line="240" w:before="0" w:after="0"/>
        <w:ind w:firstLine="720" w:left="5811" w:right="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к Требованиям к оформлению и составлению сметной документации </w:t>
      </w:r>
    </w:p>
    <w:p>
      <w:pPr>
        <w:pStyle w:val="Normal"/>
        <w:spacing w:lineRule="auto" w:line="240" w:before="0" w:after="0"/>
        <w:ind w:firstLine="720" w:left="5811" w:right="0"/>
        <w:jc w:val="right"/>
        <w:rPr>
          <w:rFonts w:ascii="Times New Roman" w:hAnsi="Times New Roman"/>
          <w:color w:val="000000"/>
          <w:sz w:val="20"/>
          <w:u w:val="single"/>
        </w:rPr>
      </w:pPr>
      <w:r>
        <w:rPr>
          <w:rFonts w:ascii="Times New Roman" w:hAnsi="Times New Roman"/>
          <w:color w:val="000000"/>
          <w:sz w:val="20"/>
          <w:u w:val="singl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оформлению и составлению сводного сметного расчета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к договорам на реконструкцию, техническое перевооружение и ремонт и дополнительным соглашениям к указанным договорам.</w:t>
      </w:r>
    </w:p>
    <w:p>
      <w:pPr>
        <w:pStyle w:val="ConsPlusNormal1"/>
        <w:widowControl/>
        <w:ind w:hanging="0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firstLine="709" w:left="0" w:right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При наличии двух и более сметных расчетов составлять ССРСС в текущем уровне цен по форме Приложения </w:t>
      </w:r>
      <w:r>
        <w:rPr>
          <w:rFonts w:cs="Times New Roman" w:ascii="Times New Roman" w:hAnsi="Times New Roman"/>
          <w:color w:val="000000"/>
          <w:sz w:val="22"/>
          <w:szCs w:val="22"/>
        </w:rPr>
        <w:t>№ 1.1.</w:t>
      </w:r>
    </w:p>
    <w:p>
      <w:p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firstLine="709" w:left="0" w:right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В случае заключений дополнительных соглашений к договору (далее - д/с), ССРСС необходимо выполнять в накопительной форме с учетом </w:t>
      </w:r>
      <w:r>
        <w:rPr>
          <w:rFonts w:cs="Times New Roman" w:ascii="Times New Roman" w:hAnsi="Times New Roman"/>
          <w:color w:val="000000"/>
          <w:sz w:val="22"/>
          <w:szCs w:val="22"/>
        </w:rPr>
        <w:t>ЛСР (</w:t>
      </w:r>
      <w:r>
        <w:rPr>
          <w:rFonts w:ascii="Times New Roman" w:hAnsi="Times New Roman"/>
          <w:color w:val="000000"/>
          <w:sz w:val="22"/>
        </w:rPr>
        <w:t xml:space="preserve">ЛС) к основному договору и ко всем заключенным д/с к нему. В итогах ССРСС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ССРСС очередного д/с и стоимостью основного договора. Форма ССРСС с учетом заключения д/с к договору приведена в Приложении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№ 1.2. </w:t>
      </w:r>
    </w:p>
    <w:p>
      <w:p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firstLine="709" w:left="0" w:right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. </w:t>
      </w:r>
    </w:p>
    <w:p>
      <w:p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firstLine="709" w:left="0" w:right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ЛС являются приложениями к ССРСС. Нумерация приложений указывается по мере включения ЛС в ССР в накопительной форме - по порядку.</w:t>
      </w:r>
    </w:p>
    <w:p>
      <w:p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firstLine="709" w:left="0" w:right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Разнесение затрат (сумм ЛС) по графам и главам ССРСС осуществлять в соответствии с указаниями Методики определения сметной стоимости строительства.</w:t>
      </w:r>
    </w:p>
    <w:p>
      <w:p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firstLine="709" w:left="0" w:right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В ССРСС, построчные и итоговые суммы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указывать </w:t>
      </w:r>
      <w:r>
        <w:rPr>
          <w:rFonts w:ascii="Times New Roman" w:hAnsi="Times New Roman"/>
          <w:color w:val="000000"/>
          <w:sz w:val="22"/>
        </w:rPr>
        <w:t>в рублях с округлением до двух знаков после запятой. Величину НДС не указывать.</w:t>
      </w:r>
    </w:p>
    <w:p>
      <w:pPr>
        <w:sectPr>
          <w:footerReference w:type="default" r:id="rId3"/>
          <w:footerReference w:type="first" r:id="rId4"/>
          <w:footnotePr>
            <w:numFmt w:val="decimal"/>
            <w:numRestart w:val="eachSect"/>
          </w:footnotePr>
          <w:type w:val="nextPage"/>
          <w:pgSz w:w="11906" w:h="16838"/>
          <w:pgMar w:left="1134" w:right="539" w:gutter="0" w:header="0" w:top="877" w:footer="709" w:bottom="924"/>
          <w:pgNumType w:fmt="decimal"/>
          <w:formProt w:val="false"/>
          <w:textDirection w:val="lrTb"/>
          <w:docGrid w:type="default" w:linePitch="360" w:charSpace="0"/>
        </w:sectPr>
        <w:pStyle w:val="ConsPlusNormal1"/>
        <w:widowControl/>
        <w:numPr>
          <w:ilvl w:val="0"/>
          <w:numId w:val="7"/>
        </w:numPr>
        <w:tabs>
          <w:tab w:val="clear" w:pos="709"/>
          <w:tab w:val="left" w:pos="993" w:leader="none"/>
        </w:tabs>
        <w:ind w:firstLine="709" w:left="0" w:right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ССРСС.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ТПиР). </w:t>
      </w:r>
    </w:p>
    <w:p>
      <w:pPr>
        <w:pStyle w:val="ConsPlusNormal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</w:t>
      </w:r>
    </w:p>
    <w:p>
      <w:pPr>
        <w:pStyle w:val="ConsPlusNormal1"/>
        <w:ind w:firstLine="720" w:left="57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</w:rPr>
        <w:t>Приложение № 1.1</w:t>
      </w:r>
    </w:p>
    <w:p>
      <w:pPr>
        <w:pStyle w:val="ConsPlusNormal1"/>
        <w:ind w:firstLine="720" w:left="57" w:right="0"/>
        <w:rPr>
          <w:rFonts w:ascii="Times New Roman" w:hAnsi="Times New Roman"/>
        </w:rPr>
      </w:pPr>
      <w:r>
        <w:rPr>
          <w:rFonts w:ascii="Times New Roman" w:hAnsi="Times New Roman"/>
          <w:b/>
          <w:sz w:val="22"/>
          <w:szCs w:val="22"/>
        </w:rPr>
        <w:t xml:space="preserve">ОБРАЗЕЦ </w:t>
      </w:r>
      <w:r>
        <w:rPr>
          <w:rFonts w:ascii="Times New Roman" w:hAnsi="Times New Roman"/>
        </w:rPr>
        <w:t xml:space="preserve">                                                                                            </w:t>
      </w:r>
    </w:p>
    <w:p>
      <w:pPr>
        <w:pStyle w:val="ConsPlusNormal1"/>
        <w:ind w:hanging="0" w:left="5811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сметной документации </w:t>
      </w:r>
    </w:p>
    <w:p>
      <w:pPr>
        <w:pStyle w:val="ConsPlusNormal1"/>
        <w:ind w:firstLine="720" w:left="5811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</w:rPr>
        <w:t xml:space="preserve">Приложение №___                                                                                    к договору от_______№_____ </w:t>
      </w:r>
      <w:r>
        <w:rPr>
          <w:rFonts w:ascii="Times New Roman" w:hAnsi="Times New Roman"/>
          <w:lang w:val="en-US"/>
        </w:rPr>
        <w:t xml:space="preserve"> </w:t>
      </w:r>
    </w:p>
    <w:p>
      <w:pPr>
        <w:pStyle w:val="ConsPlusNormal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ConsPlusNormal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2" w:name="P2506"/>
      <w:bookmarkStart w:id="3" w:name="P2522"/>
      <w:bookmarkStart w:id="4" w:name="P2523"/>
      <w:bookmarkStart w:id="5" w:name="P2524"/>
      <w:bookmarkStart w:id="6" w:name="P2525"/>
      <w:bookmarkStart w:id="7" w:name="P2526"/>
      <w:bookmarkStart w:id="8" w:name="P2527"/>
      <w:bookmarkStart w:id="9" w:name="P2528"/>
      <w:bookmarkStart w:id="10" w:name="P2529"/>
      <w:bookmarkStart w:id="11" w:name="P2530"/>
      <w:bookmarkStart w:id="12" w:name="P2531"/>
      <w:bookmarkStart w:id="13" w:name="P2546"/>
      <w:bookmarkStart w:id="14" w:name="P2566"/>
      <w:bookmarkStart w:id="15" w:name="P2616"/>
      <w:bookmarkStart w:id="16" w:name="P2736"/>
      <w:bookmarkStart w:id="17" w:name="P2746"/>
      <w:bookmarkStart w:id="18" w:name="P2945"/>
      <w:bookmarkStart w:id="19" w:name="P3258"/>
      <w:bookmarkStart w:id="20" w:name="P2506"/>
      <w:bookmarkStart w:id="21" w:name="P2522"/>
      <w:bookmarkStart w:id="22" w:name="P2523"/>
      <w:bookmarkStart w:id="23" w:name="P2524"/>
      <w:bookmarkStart w:id="24" w:name="P2525"/>
      <w:bookmarkStart w:id="25" w:name="P2526"/>
      <w:bookmarkStart w:id="26" w:name="P2527"/>
      <w:bookmarkStart w:id="27" w:name="P2528"/>
      <w:bookmarkStart w:id="28" w:name="P2529"/>
      <w:bookmarkStart w:id="29" w:name="P2530"/>
      <w:bookmarkStart w:id="30" w:name="P2531"/>
      <w:bookmarkStart w:id="31" w:name="P2546"/>
      <w:bookmarkStart w:id="32" w:name="P2566"/>
      <w:bookmarkStart w:id="33" w:name="P2616"/>
      <w:bookmarkStart w:id="34" w:name="P2736"/>
      <w:bookmarkStart w:id="35" w:name="P2746"/>
      <w:bookmarkStart w:id="36" w:name="P2945"/>
      <w:bookmarkStart w:id="37" w:name="P3258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tbl>
      <w:tblPr>
        <w:tblW w:w="10095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64"/>
        <w:gridCol w:w="7030"/>
      </w:tblGrid>
      <w:tr>
        <w:trPr>
          <w:trHeight w:val="1158" w:hRule="atLeast"/>
        </w:trPr>
        <w:tc>
          <w:tcPr>
            <w:tcW w:w="3064" w:type="dxa"/>
            <w:tcBorders/>
          </w:tcPr>
          <w:p>
            <w:pPr>
              <w:pStyle w:val="ConsPlusNormal1"/>
              <w:widowControl w:val="false"/>
              <w:ind w:hanging="0" w:left="283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СОГЛАСОВАНО</w:t>
            </w:r>
            <w:r>
              <w:rPr>
                <w:rFonts w:cs="Times New Roman" w:ascii="Times New Roman" w:hAnsi="Times New Roman"/>
              </w:rPr>
              <w:t xml:space="preserve">:                                           </w:t>
            </w:r>
          </w:p>
          <w:p>
            <w:pPr>
              <w:pStyle w:val="ConsPlusNormal1"/>
              <w:widowControl w:val="false"/>
              <w:ind w:hanging="0" w:left="0" w:right="-90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______________(Подрядчик )       </w:t>
            </w:r>
          </w:p>
          <w:p>
            <w:pPr>
              <w:pStyle w:val="ConsPlusNormal1"/>
              <w:widowControl w:val="false"/>
              <w:tabs>
                <w:tab w:val="clear" w:pos="709"/>
                <w:tab w:val="left" w:pos="0" w:leader="none"/>
              </w:tabs>
              <w:ind w:hanging="0" w:left="0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_______________(ФИО)</w:t>
            </w:r>
          </w:p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1"/>
              <w:widowControl w:val="false"/>
              <w:ind w:hanging="142" w:left="142" w:righ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Заказчик:______________________</w:t>
            </w:r>
          </w:p>
        </w:tc>
        <w:tc>
          <w:tcPr>
            <w:tcW w:w="7030" w:type="dxa"/>
            <w:tcBorders/>
          </w:tcPr>
          <w:p>
            <w:pPr>
              <w:pStyle w:val="ConsPlusNormal1"/>
              <w:widowControl w:val="false"/>
              <w:ind w:firstLine="720" w:left="0" w:right="-385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УТВЕРЖДАЮ:</w:t>
            </w:r>
          </w:p>
          <w:p>
            <w:pPr>
              <w:pStyle w:val="ConsPlusNormal1"/>
              <w:widowControl w:val="false"/>
              <w:ind w:hanging="0" w:left="0" w:right="-909"/>
              <w:rPr>
                <w:rFonts w:ascii="Times New Roman" w:hAnsi="Times New Roman" w:cs="Times New Roman"/>
                <w:sz w:val="22"/>
              </w:rPr>
            </w:pPr>
            <w:r>
              <w:rPr>
                <w:rFonts w:cs="Times New Roman" w:ascii="Times New Roman" w:hAnsi="Times New Roman"/>
                <w:b/>
              </w:rPr>
              <w:t xml:space="preserve">                                                              </w:t>
            </w:r>
            <w:r>
              <w:rPr>
                <w:rFonts w:cs="Times New Roman" w:ascii="Times New Roman" w:hAnsi="Times New Roman"/>
                <w:b/>
                <w:sz w:val="22"/>
              </w:rPr>
              <w:t xml:space="preserve">                             </w:t>
            </w:r>
            <w:r>
              <w:rPr>
                <w:rFonts w:cs="Times New Roman" w:ascii="Times New Roman" w:hAnsi="Times New Roman"/>
                <w:sz w:val="22"/>
              </w:rPr>
              <w:t xml:space="preserve">_____________(Заказчик )       </w:t>
            </w:r>
          </w:p>
          <w:p>
            <w:pPr>
              <w:pStyle w:val="ConsPlusNormal1"/>
              <w:widowControl w:val="false"/>
              <w:ind w:firstLine="720" w:left="2551" w:righ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sz w:val="22"/>
              </w:rPr>
              <w:t xml:space="preserve">                  </w:t>
            </w:r>
            <w:r>
              <w:rPr>
                <w:rFonts w:cs="Times New Roman" w:ascii="Times New Roman" w:hAnsi="Times New Roman"/>
                <w:sz w:val="22"/>
              </w:rPr>
              <w:t>______________(</w:t>
            </w:r>
            <w:r>
              <w:rPr>
                <w:rFonts w:cs="Times New Roman" w:ascii="Times New Roman" w:hAnsi="Times New Roman"/>
              </w:rPr>
              <w:t>ФИО)</w:t>
            </w:r>
          </w:p>
        </w:tc>
      </w:tr>
      <w:tr>
        <w:trPr/>
        <w:tc>
          <w:tcPr>
            <w:tcW w:w="3064" w:type="dxa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(наименование организации)</w:t>
            </w:r>
          </w:p>
        </w:tc>
        <w:tc>
          <w:tcPr>
            <w:tcW w:w="7030" w:type="dxa"/>
            <w:tcBorders/>
          </w:tcPr>
          <w:p>
            <w:pPr>
              <w:pStyle w:val="ConsPlusNormal1"/>
              <w:widowControl w:val="false"/>
              <w:ind w:hanging="0" w:left="0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0094" w:type="dxa"/>
            <w:gridSpan w:val="2"/>
            <w:tcBorders/>
          </w:tcPr>
          <w:p>
            <w:pPr>
              <w:pStyle w:val="ConsPlusNormal1"/>
              <w:widowControl w:val="false"/>
              <w:ind w:hanging="0" w:left="0" w:righ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Утвержден: __ ______________202__ г.</w:t>
            </w:r>
          </w:p>
        </w:tc>
      </w:tr>
    </w:tbl>
    <w:p>
      <w:pPr>
        <w:pStyle w:val="ConsPlusNormal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142"/>
        <w:gridCol w:w="3642"/>
        <w:gridCol w:w="4253"/>
      </w:tblGrid>
      <w:tr>
        <w:trPr/>
        <w:tc>
          <w:tcPr>
            <w:tcW w:w="7142" w:type="dxa"/>
            <w:tcBorders/>
          </w:tcPr>
          <w:p>
            <w:pPr>
              <w:pStyle w:val="ConsPlusNormal1"/>
              <w:widowControl w:val="false"/>
              <w:ind w:hanging="0" w:left="0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Сводный сметный расчет сметной стоимостью</w:t>
            </w:r>
          </w:p>
        </w:tc>
        <w:tc>
          <w:tcPr>
            <w:tcW w:w="3642" w:type="dxa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253" w:type="dxa"/>
            <w:tcBorders/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руб.</w:t>
            </w:r>
          </w:p>
        </w:tc>
      </w:tr>
      <w:tr>
        <w:trPr/>
        <w:tc>
          <w:tcPr>
            <w:tcW w:w="15037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5037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(ссылка на документ об утверждении)</w:t>
            </w:r>
          </w:p>
        </w:tc>
      </w:tr>
      <w:tr>
        <w:trPr/>
        <w:tc>
          <w:tcPr>
            <w:tcW w:w="15037" w:type="dxa"/>
            <w:gridSpan w:val="3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СВОДНЫЙ СМЕТНЫЙ РАСЧЕТ </w:t>
            </w:r>
          </w:p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 ССРСС-________</w:t>
            </w:r>
          </w:p>
        </w:tc>
      </w:tr>
      <w:tr>
        <w:trPr>
          <w:trHeight w:val="22" w:hRule="atLeast"/>
        </w:trPr>
        <w:tc>
          <w:tcPr>
            <w:tcW w:w="15037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5037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(наименование стройки)</w:t>
            </w:r>
          </w:p>
        </w:tc>
      </w:tr>
      <w:tr>
        <w:trPr/>
        <w:tc>
          <w:tcPr>
            <w:tcW w:w="15037" w:type="dxa"/>
            <w:gridSpan w:val="3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>
      <w:pPr>
        <w:pStyle w:val="ConsPlusNormal1"/>
        <w:jc w:val="center"/>
        <w:rPr/>
      </w:pPr>
      <w:r>
        <w:rPr/>
      </w:r>
    </w:p>
    <w:tbl>
      <w:tblPr>
        <w:tblW w:w="5000" w:type="pct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64"/>
        <w:gridCol w:w="1364"/>
        <w:gridCol w:w="383"/>
        <w:gridCol w:w="1743"/>
        <w:gridCol w:w="499"/>
        <w:gridCol w:w="1839"/>
        <w:gridCol w:w="588"/>
        <w:gridCol w:w="1549"/>
        <w:gridCol w:w="2138"/>
        <w:gridCol w:w="1948"/>
        <w:gridCol w:w="2120"/>
      </w:tblGrid>
      <w:tr>
        <w:trPr>
          <w:trHeight w:val="212" w:hRule="atLeast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Nп/п</w:t>
            </w:r>
          </w:p>
        </w:tc>
        <w:tc>
          <w:tcPr>
            <w:tcW w:w="1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Обоснование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0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106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Сметная стоимость, руб.</w:t>
            </w:r>
          </w:p>
        </w:tc>
      </w:tr>
      <w:tr>
        <w:trPr>
          <w:trHeight w:val="1019" w:hRule="atLeast"/>
        </w:trPr>
        <w:tc>
          <w:tcPr>
            <w:tcW w:w="8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3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21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6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4" w:left="191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86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оборудования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-113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прочих затрат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всего</w:t>
            </w:r>
          </w:p>
        </w:tc>
      </w:tr>
      <w:tr>
        <w:trPr>
          <w:trHeight w:val="273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</w:t>
            </w:r>
          </w:p>
        </w:tc>
      </w:tr>
      <w:tr>
        <w:trPr/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27" w:hRule="atLeast"/>
        </w:trPr>
        <w:tc>
          <w:tcPr>
            <w:tcW w:w="48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tabs>
                <w:tab w:val="clear" w:pos="709"/>
                <w:tab w:val="left" w:pos="567" w:leader="none"/>
                <w:tab w:val="left" w:pos="2091" w:leader="none"/>
              </w:tabs>
              <w:ind w:hanging="425" w:left="170" w:righ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Руководитель</w:t>
            </w:r>
          </w:p>
          <w:p>
            <w:pPr>
              <w:pStyle w:val="ConsPlusNormal1"/>
              <w:widowControl w:val="false"/>
              <w:tabs>
                <w:tab w:val="clear" w:pos="709"/>
                <w:tab w:val="left" w:pos="851" w:leader="none"/>
              </w:tabs>
              <w:ind w:hanging="141" w:left="170" w:righ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проектной организации</w:t>
            </w:r>
          </w:p>
        </w:tc>
        <w:tc>
          <w:tcPr>
            <w:tcW w:w="10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8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[подпись (инициалы, фамилия)]</w:t>
            </w:r>
          </w:p>
        </w:tc>
      </w:tr>
      <w:tr>
        <w:trPr/>
        <w:tc>
          <w:tcPr>
            <w:tcW w:w="48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Главный инженер проекта</w:t>
            </w:r>
          </w:p>
        </w:tc>
        <w:tc>
          <w:tcPr>
            <w:tcW w:w="10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2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firstLine="1" w:left="-907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Начальник</w:t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7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отдела</w:t>
            </w:r>
          </w:p>
        </w:tc>
        <w:tc>
          <w:tcPr>
            <w:tcW w:w="7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2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198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(наименование)</w:t>
            </w:r>
          </w:p>
        </w:tc>
        <w:tc>
          <w:tcPr>
            <w:tcW w:w="2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[подпись (инициалы, фамилия)]</w:t>
            </w:r>
          </w:p>
        </w:tc>
      </w:tr>
      <w:tr>
        <w:trPr/>
        <w:tc>
          <w:tcPr>
            <w:tcW w:w="2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firstLine="283" w:left="284" w:righ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Заказчик</w:t>
            </w:r>
          </w:p>
        </w:tc>
        <w:tc>
          <w:tcPr>
            <w:tcW w:w="124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[подпись (инициалы, фамилия)]</w:t>
            </w:r>
          </w:p>
        </w:tc>
      </w:tr>
    </w:tbl>
    <w:p>
      <w:pPr>
        <w:pStyle w:val="Normal"/>
        <w:spacing w:lineRule="auto" w:line="240" w:before="0" w:after="0"/>
        <w:ind w:firstLine="720" w:left="357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ind w:firstLine="720" w:left="357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ind w:firstLine="720" w:left="397" w:right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ОБРАЗЕЦ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ind w:firstLine="720" w:left="8646" w:righ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№1.2 </w:t>
      </w:r>
    </w:p>
    <w:p>
      <w:pPr>
        <w:pStyle w:val="ConsPlusNormal1"/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              </w:t>
      </w:r>
    </w:p>
    <w:p>
      <w:pPr>
        <w:pStyle w:val="ConsPlusNormal1"/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</w:t>
      </w:r>
    </w:p>
    <w:p>
      <w:pPr>
        <w:pStyle w:val="ConsPlusNormal1"/>
        <w:ind w:firstLine="720" w:left="5811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программе</w:t>
      </w:r>
    </w:p>
    <w:p>
      <w:pPr>
        <w:pStyle w:val="ConsPlusNormal1"/>
        <w:ind w:firstLine="720" w:left="5811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ремонтов, реконструкции и</w:t>
      </w:r>
    </w:p>
    <w:p>
      <w:pPr>
        <w:pStyle w:val="ConsPlusNormal1"/>
        <w:ind w:firstLine="720" w:left="5811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техническому перевооружению</w:t>
      </w:r>
    </w:p>
    <w:p>
      <w:pPr>
        <w:pStyle w:val="ConsPlusNormal1"/>
        <w:ind w:firstLine="720" w:left="5811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tabs>
          <w:tab w:val="clear" w:pos="709"/>
          <w:tab w:val="left" w:pos="6804" w:leader="none"/>
        </w:tabs>
        <w:ind w:firstLine="720" w:left="5811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</w:t>
      </w:r>
      <w:r>
        <w:rPr>
          <w:rFonts w:ascii="Times New Roman" w:hAnsi="Times New Roman"/>
        </w:rPr>
        <w:t>Приложение №___</w:t>
      </w:r>
    </w:p>
    <w:p>
      <w:pPr>
        <w:pStyle w:val="ConsPlusNormal1"/>
        <w:tabs>
          <w:tab w:val="clear" w:pos="709"/>
          <w:tab w:val="left" w:pos="6946" w:leader="none"/>
        </w:tabs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</w:t>
      </w:r>
      <w:r>
        <w:rPr>
          <w:rFonts w:ascii="Times New Roman" w:hAnsi="Times New Roman"/>
        </w:rPr>
        <w:t>к дополнительному соглашению от ___ № ___</w:t>
      </w:r>
    </w:p>
    <w:p>
      <w:pPr>
        <w:pStyle w:val="ConsPlusNormal1"/>
        <w:ind w:firstLine="720" w:left="5811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к договору от________№_____ </w:t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676"/>
        <w:gridCol w:w="13360"/>
      </w:tblGrid>
      <w:tr>
        <w:trPr/>
        <w:tc>
          <w:tcPr>
            <w:tcW w:w="1676" w:type="dxa"/>
            <w:tcBorders/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                         </w:t>
            </w:r>
            <w:r>
              <w:rPr>
                <w:rFonts w:cs="Times New Roman" w:ascii="Times New Roman" w:hAnsi="Times New Roman"/>
              </w:rPr>
              <w:t>Заказчик</w:t>
            </w:r>
          </w:p>
        </w:tc>
        <w:tc>
          <w:tcPr>
            <w:tcW w:w="13360" w:type="dxa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676" w:type="dxa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360" w:type="dxa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(наименование организации)</w:t>
            </w:r>
          </w:p>
        </w:tc>
      </w:tr>
      <w:tr>
        <w:trPr/>
        <w:tc>
          <w:tcPr>
            <w:tcW w:w="15036" w:type="dxa"/>
            <w:gridSpan w:val="2"/>
            <w:tcBorders/>
          </w:tcPr>
          <w:p>
            <w:pPr>
              <w:pStyle w:val="ConsPlusNormal1"/>
              <w:widowControl w:val="false"/>
              <w:ind w:hanging="0" w:left="0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Утвержден __ ______________ 20__ г.</w:t>
            </w:r>
          </w:p>
        </w:tc>
      </w:tr>
    </w:tbl>
    <w:p>
      <w:pPr>
        <w:pStyle w:val="ConsPlusNormal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142"/>
        <w:gridCol w:w="3642"/>
        <w:gridCol w:w="4253"/>
      </w:tblGrid>
      <w:tr>
        <w:trPr/>
        <w:tc>
          <w:tcPr>
            <w:tcW w:w="7142" w:type="dxa"/>
            <w:tcBorders/>
          </w:tcPr>
          <w:p>
            <w:pPr>
              <w:pStyle w:val="ConsPlusNormal1"/>
              <w:widowControl w:val="false"/>
              <w:ind w:hanging="0" w:left="0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Сводный сметный расчет сметной стоимостью</w:t>
            </w:r>
          </w:p>
        </w:tc>
        <w:tc>
          <w:tcPr>
            <w:tcW w:w="3642" w:type="dxa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253" w:type="dxa"/>
            <w:tcBorders/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руб.</w:t>
            </w:r>
          </w:p>
        </w:tc>
      </w:tr>
      <w:tr>
        <w:trPr/>
        <w:tc>
          <w:tcPr>
            <w:tcW w:w="15037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5037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(ссылка на документ об утверждении)</w:t>
            </w:r>
          </w:p>
        </w:tc>
      </w:tr>
    </w:tbl>
    <w:p>
      <w:pPr>
        <w:pStyle w:val="ConsPlusNormal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037"/>
      </w:tblGrid>
      <w:tr>
        <w:trPr/>
        <w:tc>
          <w:tcPr>
            <w:tcW w:w="15037" w:type="dxa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СВОДНЫЙ СМЕТНЫЙ РАСЧЕТ </w:t>
            </w:r>
          </w:p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 ССРСС-________</w:t>
            </w:r>
          </w:p>
        </w:tc>
      </w:tr>
      <w:tr>
        <w:trPr/>
        <w:tc>
          <w:tcPr>
            <w:tcW w:w="15037" w:type="dxa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5037" w:type="dxa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(наименование стройки)</w:t>
            </w:r>
          </w:p>
        </w:tc>
      </w:tr>
      <w:tr>
        <w:trPr/>
        <w:tc>
          <w:tcPr>
            <w:tcW w:w="15037" w:type="dxa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>
      <w:pPr>
        <w:pStyle w:val="ConsPlusNormal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188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5"/>
        <w:gridCol w:w="850"/>
        <w:gridCol w:w="124"/>
        <w:gridCol w:w="1347"/>
        <w:gridCol w:w="127"/>
        <w:gridCol w:w="1288"/>
        <w:gridCol w:w="1075"/>
        <w:gridCol w:w="1312"/>
        <w:gridCol w:w="1240"/>
        <w:gridCol w:w="1249"/>
      </w:tblGrid>
      <w:tr>
        <w:trPr>
          <w:trHeight w:val="311" w:hRule="atLeast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Nп/п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Обоснование</w:t>
            </w:r>
          </w:p>
        </w:tc>
        <w:tc>
          <w:tcPr>
            <w:tcW w:w="14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62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Сметная стоимость, руб.</w:t>
            </w:r>
          </w:p>
        </w:tc>
      </w:tr>
      <w:tr>
        <w:trPr>
          <w:trHeight w:val="1294" w:hRule="atLeast"/>
        </w:trPr>
        <w:tc>
          <w:tcPr>
            <w:tcW w:w="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47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6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4" w:left="191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монтажных работ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86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оборудования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-113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прочих затрат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uppressAutoHyphens w:val="true"/>
              <w:bidi w:val="0"/>
              <w:spacing w:before="0" w:after="0"/>
              <w:ind w:hanging="0" w:left="57" w:right="34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всего</w:t>
            </w:r>
          </w:p>
        </w:tc>
      </w:tr>
      <w:tr>
        <w:trPr>
          <w:trHeight w:val="144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1"/>
              <w:widowControl w:val="false"/>
              <w:suppressAutoHyphens w:val="true"/>
              <w:bidi w:val="0"/>
              <w:spacing w:before="0" w:after="0"/>
              <w:ind w:firstLine="737" w:left="57" w:right="1077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</w:t>
            </w:r>
          </w:p>
        </w:tc>
      </w:tr>
      <w:tr>
        <w:trPr/>
        <w:tc>
          <w:tcPr>
            <w:tcW w:w="918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Сметы основного договора </w:t>
            </w:r>
          </w:p>
        </w:tc>
      </w:tr>
      <w:tr>
        <w:trPr>
          <w:trHeight w:val="287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39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2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Итого по сметам основного договора 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21" w:hRule="atLeast"/>
        </w:trPr>
        <w:tc>
          <w:tcPr>
            <w:tcW w:w="918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Включить дополнительным соглашением № 1</w:t>
            </w:r>
          </w:p>
        </w:tc>
      </w:tr>
      <w:tr>
        <w:trPr>
          <w:trHeight w:val="32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2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2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Итого включено дополнительным соглашением № 1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2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6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Исключить дополнительным соглашением № 2</w:t>
            </w:r>
          </w:p>
        </w:tc>
      </w:tr>
      <w:tr>
        <w:trPr>
          <w:trHeight w:val="32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Итого исключено дополнительным соглашением № 2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2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Итого по главе №: __________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2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Итого по главам №№: 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2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Всего по ССР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283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i/>
                <w:sz w:val="16"/>
                <w:szCs w:val="16"/>
                <w:u w:val="single"/>
              </w:rPr>
              <w:t>Справочно</w:t>
            </w: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.</w:t>
            </w:r>
          </w:p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  <w:i/>
                <w:i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2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Сумма основного договора, без НДС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2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Сумма изменения</w:t>
              <w:br/>
              <w:t xml:space="preserve">(увеличения/уменьшения) стоимости основного договора на основании ДС № 1, без НДС 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2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i/>
                <w:sz w:val="16"/>
                <w:szCs w:val="16"/>
              </w:rPr>
              <w:t>Сумма изменения</w:t>
              <w:br/>
              <w:t>(увеличения/уменьшения) стоимости основного договора на основании ДС № 2, без НДС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3023" w:type="dxa"/>
            <w:gridSpan w:val="5"/>
            <w:tcBorders/>
          </w:tcPr>
          <w:p>
            <w:pPr>
              <w:pStyle w:val="ConsPlusNormal1"/>
              <w:widowControl w:val="false"/>
              <w:tabs>
                <w:tab w:val="clear" w:pos="709"/>
                <w:tab w:val="left" w:pos="2091" w:leader="none"/>
              </w:tabs>
              <w:ind w:hanging="425" w:left="425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</w:t>
            </w:r>
            <w:r>
              <w:rPr>
                <w:rFonts w:cs="Times New Roman" w:ascii="Times New Roman" w:hAnsi="Times New Roman"/>
              </w:rPr>
              <w:t>Руководитель</w:t>
            </w:r>
          </w:p>
          <w:p>
            <w:pPr>
              <w:pStyle w:val="ConsPlusNormal1"/>
              <w:widowControl w:val="false"/>
              <w:ind w:hanging="425" w:left="425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</w:t>
            </w:r>
            <w:r>
              <w:rPr>
                <w:rFonts w:cs="Times New Roman" w:ascii="Times New Roman" w:hAnsi="Times New Roman"/>
              </w:rPr>
              <w:t>проектной организации</w:t>
            </w:r>
          </w:p>
        </w:tc>
        <w:tc>
          <w:tcPr>
            <w:tcW w:w="6164" w:type="dxa"/>
            <w:gridSpan w:val="5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3023" w:type="dxa"/>
            <w:gridSpan w:val="5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164" w:type="dxa"/>
            <w:gridSpan w:val="5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[подпись (инициалы, фамилия)]</w:t>
            </w:r>
          </w:p>
        </w:tc>
      </w:tr>
      <w:tr>
        <w:trPr/>
        <w:tc>
          <w:tcPr>
            <w:tcW w:w="3023" w:type="dxa"/>
            <w:gridSpan w:val="5"/>
            <w:tcBorders/>
          </w:tcPr>
          <w:p>
            <w:pPr>
              <w:pStyle w:val="ConsPlusNormal1"/>
              <w:widowControl w:val="false"/>
              <w:ind w:hanging="141" w:left="141"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Главный инженер проекта</w:t>
            </w:r>
          </w:p>
        </w:tc>
        <w:tc>
          <w:tcPr>
            <w:tcW w:w="6164" w:type="dxa"/>
            <w:gridSpan w:val="5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3023" w:type="dxa"/>
            <w:gridSpan w:val="5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164" w:type="dxa"/>
            <w:gridSpan w:val="5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[подпись (инициалы, фамилия)]</w:t>
            </w:r>
          </w:p>
        </w:tc>
      </w:tr>
      <w:tr>
        <w:trPr/>
        <w:tc>
          <w:tcPr>
            <w:tcW w:w="1549" w:type="dxa"/>
            <w:gridSpan w:val="3"/>
            <w:tcBorders/>
          </w:tcPr>
          <w:p>
            <w:pPr>
              <w:pStyle w:val="ConsPlusNormal1"/>
              <w:widowControl w:val="false"/>
              <w:ind w:firstLine="1" w:left="0"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Начальник</w:t>
            </w:r>
          </w:p>
        </w:tc>
        <w:tc>
          <w:tcPr>
            <w:tcW w:w="1347" w:type="dxa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5" w:type="dxa"/>
            <w:gridSpan w:val="2"/>
            <w:tcBorders/>
          </w:tcPr>
          <w:p>
            <w:pPr>
              <w:pStyle w:val="ConsPlusNormal1"/>
              <w:widowControl w:val="false"/>
              <w:ind w:hanging="67" w:left="0"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отдела</w:t>
            </w:r>
          </w:p>
        </w:tc>
        <w:tc>
          <w:tcPr>
            <w:tcW w:w="4876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549" w:type="dxa"/>
            <w:gridSpan w:val="3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47" w:type="dxa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ind w:hanging="198" w:left="0"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(наименование)</w:t>
            </w:r>
          </w:p>
        </w:tc>
        <w:tc>
          <w:tcPr>
            <w:tcW w:w="1415" w:type="dxa"/>
            <w:gridSpan w:val="2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876" w:type="dxa"/>
            <w:gridSpan w:val="4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[подпись (инициалы, фамилия)]</w:t>
            </w:r>
          </w:p>
        </w:tc>
      </w:tr>
      <w:tr>
        <w:trPr/>
        <w:tc>
          <w:tcPr>
            <w:tcW w:w="1549" w:type="dxa"/>
            <w:gridSpan w:val="3"/>
            <w:tcBorders/>
          </w:tcPr>
          <w:p>
            <w:pPr>
              <w:pStyle w:val="ConsPlusNormal1"/>
              <w:widowControl w:val="false"/>
              <w:ind w:hanging="141" w:left="141"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Заказчик</w:t>
            </w:r>
          </w:p>
        </w:tc>
        <w:tc>
          <w:tcPr>
            <w:tcW w:w="7638" w:type="dxa"/>
            <w:gridSpan w:val="7"/>
            <w:tcBorders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549" w:type="dxa"/>
            <w:gridSpan w:val="3"/>
            <w:tcBorders/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638" w:type="dxa"/>
            <w:gridSpan w:val="7"/>
            <w:tcBorders>
              <w:top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[должность, подпись (инициалы, фамилия)]</w:t>
            </w:r>
          </w:p>
        </w:tc>
      </w:tr>
    </w:tbl>
    <w:p>
      <w:pPr>
        <w:sectPr>
          <w:footerReference w:type="default" r:id="rId5"/>
          <w:footerReference w:type="first" r:id="rId6"/>
          <w:footnotePr>
            <w:numFmt w:val="decimal"/>
            <w:numRestart w:val="eachSect"/>
          </w:footnotePr>
          <w:type w:val="nextPage"/>
          <w:pgSz w:orient="landscape" w:w="16838" w:h="11906"/>
          <w:pgMar w:left="924" w:right="877" w:gutter="0" w:header="0" w:top="709" w:footer="709" w:bottom="76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ind w:hanging="426" w:left="426" w:right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ОБРАЗЕЦ</w:t>
      </w:r>
    </w:p>
    <w:p>
      <w:pPr>
        <w:pStyle w:val="Normal"/>
        <w:spacing w:lineRule="auto" w:line="240" w:before="0" w:after="0"/>
        <w:ind w:firstLine="720" w:left="5811" w:right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№1.3 </w:t>
      </w:r>
    </w:p>
    <w:p>
      <w:pPr>
        <w:pStyle w:val="ConsPlusNormal1"/>
        <w:ind w:firstLine="720" w:left="5811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ConsPlusNormal1"/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к Требованиям к оформлению и составлению               </w:t>
      </w:r>
    </w:p>
    <w:p>
      <w:pPr>
        <w:pStyle w:val="ConsPlusNormal1"/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</w:t>
      </w:r>
    </w:p>
    <w:p>
      <w:pPr>
        <w:pStyle w:val="ConsPlusNormal1"/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>
      <w:pPr>
        <w:pStyle w:val="ConsPlusNormal1"/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>
      <w:pPr>
        <w:pStyle w:val="ConsPlusNormal1"/>
        <w:ind w:firstLine="720" w:left="5811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</w:t>
      </w:r>
      <w:r>
        <w:rPr>
          <w:rFonts w:ascii="Times New Roman" w:hAnsi="Times New Roman"/>
        </w:rPr>
        <w:t xml:space="preserve">к договору от_______№_____ </w:t>
      </w:r>
    </w:p>
    <w:p>
      <w:pPr>
        <w:pStyle w:val="ConsPlusNormal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Сопоставительная ведомость изменения сметной стоимости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tbl>
      <w:tblPr>
        <w:tblW w:w="9850" w:type="dxa"/>
        <w:jc w:val="left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2"/>
        <w:gridCol w:w="851"/>
        <w:gridCol w:w="851"/>
        <w:gridCol w:w="1285"/>
        <w:gridCol w:w="1268"/>
        <w:gridCol w:w="1480"/>
        <w:gridCol w:w="1650"/>
        <w:gridCol w:w="2041"/>
      </w:tblGrid>
      <w:tr>
        <w:trPr>
          <w:trHeight w:val="433" w:hRule="atLeast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2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Обоснование изменений сметной стоимости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позиции сметного расчета (сметы) в ССР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включению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исключению</w:t>
            </w:r>
          </w:p>
        </w:tc>
        <w:tc>
          <w:tcPr>
            <w:tcW w:w="16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2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</w:tbl>
    <w:p>
      <w:pPr>
        <w:sectPr>
          <w:footerReference w:type="default" r:id="rId7"/>
          <w:footerReference w:type="first" r:id="rId8"/>
          <w:footnotePr>
            <w:numFmt w:val="decimal"/>
            <w:numRestart w:val="eachSect"/>
          </w:footnotePr>
          <w:type w:val="nextPage"/>
          <w:pgSz w:w="11906" w:h="16838"/>
          <w:pgMar w:left="1134" w:right="1134" w:gutter="0" w:header="0" w:top="1134" w:footer="1134" w:bottom="16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40" w:before="0" w:after="0"/>
        <w:ind w:firstLine="720" w:left="357" w:right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№1.4 </w:t>
      </w:r>
    </w:p>
    <w:p>
      <w:pPr>
        <w:pStyle w:val="ConsPlusNormal1"/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Требованиям к оформлению и составлению </w:t>
      </w:r>
    </w:p>
    <w:p>
      <w:pPr>
        <w:pStyle w:val="ConsPlusNormal1"/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</w:t>
      </w:r>
    </w:p>
    <w:p>
      <w:pPr>
        <w:pStyle w:val="ConsPlusNormal1"/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>
      <w:pPr>
        <w:pStyle w:val="ConsPlusNormal1"/>
        <w:ind w:firstLine="720" w:left="5811" w:righ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>
      <w:pPr>
        <w:pStyle w:val="ConsPlusNormal1"/>
        <w:ind w:firstLine="720" w:left="5811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от_______№_____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Сопоставительная ведомость объемов работ</w:t>
      </w:r>
    </w:p>
    <w:p>
      <w:pPr>
        <w:pStyle w:val="ConsPlusNormal1"/>
        <w:jc w:val="both"/>
        <w:rPr>
          <w:b/>
        </w:rPr>
      </w:pPr>
      <w:r>
        <w:rPr>
          <w:b/>
        </w:rPr>
      </w:r>
    </w:p>
    <w:tbl>
      <w:tblPr>
        <w:tblW w:w="10213" w:type="dxa"/>
        <w:jc w:val="left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6"/>
        <w:gridCol w:w="715"/>
        <w:gridCol w:w="854"/>
        <w:gridCol w:w="853"/>
        <w:gridCol w:w="1073"/>
        <w:gridCol w:w="852"/>
        <w:gridCol w:w="735"/>
        <w:gridCol w:w="1"/>
        <w:gridCol w:w="801"/>
        <w:gridCol w:w="786"/>
        <w:gridCol w:w="742"/>
        <w:gridCol w:w="626"/>
        <w:gridCol w:w="916"/>
        <w:gridCol w:w="842"/>
      </w:tblGrid>
      <w:tr>
        <w:trPr>
          <w:trHeight w:val="880" w:hRule="atLeast"/>
        </w:trPr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-62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№№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пп</w:t>
            </w:r>
          </w:p>
        </w:tc>
        <w:tc>
          <w:tcPr>
            <w:tcW w:w="3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63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15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Изменение объемов работ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Обоснование изменений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1416" w:left="1360" w:righ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Примечание</w:t>
            </w:r>
          </w:p>
        </w:tc>
      </w:tr>
      <w:tr>
        <w:trPr>
          <w:trHeight w:val="62" w:hRule="atLeast"/>
        </w:trPr>
        <w:tc>
          <w:tcPr>
            <w:tcW w:w="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firstLine="720" w:left="-797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-64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позиции в сметном расчете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8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36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308" w:hRule="atLeast"/>
        </w:trPr>
        <w:tc>
          <w:tcPr>
            <w:tcW w:w="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7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8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 изменений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7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firstLine="79" w:left="0" w:righ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 изменений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firstLine="720" w:left="-80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увели</w:t>
            </w:r>
          </w:p>
          <w:p>
            <w:pPr>
              <w:pStyle w:val="ConsPlusNormal1"/>
              <w:widowControl w:val="false"/>
              <w:ind w:firstLine="720" w:left="-80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чение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 w:left="0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снижение</w:t>
            </w:r>
          </w:p>
        </w:tc>
        <w:tc>
          <w:tcPr>
            <w:tcW w:w="9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32" w:hRule="atLeast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  <w:bookmarkStart w:id="38" w:name="_GoBack"/>
            <w:bookmarkStart w:id="39" w:name="_GoBack"/>
            <w:bookmarkEnd w:id="39"/>
          </w:p>
        </w:tc>
      </w:tr>
    </w:tbl>
    <w:p>
      <w:pPr>
        <w:sectPr>
          <w:footerReference w:type="default" r:id="rId9"/>
          <w:footerReference w:type="first" r:id="rId10"/>
          <w:footnotePr>
            <w:numFmt w:val="decimal"/>
            <w:numRestart w:val="eachSect"/>
          </w:footnotePr>
          <w:type w:val="nextPage"/>
          <w:pgSz w:w="11906" w:h="16838"/>
          <w:pgMar w:left="1304" w:right="924" w:gutter="0" w:header="0" w:top="709" w:footer="709" w:bottom="766"/>
          <w:pgNumType w:fmt="decimal"/>
          <w:formProt w:val="false"/>
          <w:textDirection w:val="lrTb"/>
          <w:docGrid w:type="default" w:linePitch="360" w:charSpace="0"/>
        </w:sectPr>
      </w:pP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Приложение № 2 </w:t>
      </w:r>
    </w:p>
    <w:p>
      <w:pPr>
        <w:pStyle w:val="Normal"/>
        <w:spacing w:lineRule="auto" w:line="240" w:before="0" w:after="0"/>
        <w:ind w:firstLine="142" w:left="5811" w:right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к Требованиям к оформлению и составлению сметной документации</w:t>
      </w:r>
    </w:p>
    <w:p>
      <w:pPr>
        <w:pStyle w:val="Normal"/>
        <w:spacing w:lineRule="auto" w:line="240" w:before="0" w:after="0"/>
        <w:ind w:firstLine="142" w:left="5811" w:right="0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142" w:left="5811" w:right="0"/>
        <w:jc w:val="right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Образец № 3п</w:t>
      </w:r>
    </w:p>
    <w:tbl>
      <w:tblPr>
        <w:tblW w:w="99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9"/>
      </w:tblGrid>
      <w:tr>
        <w:trPr/>
        <w:tc>
          <w:tcPr>
            <w:tcW w:w="9989" w:type="dxa"/>
            <w:tcBorders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ind w:hanging="284" w:left="6523" w:right="0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Приложение №_____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ind w:hanging="0" w:left="6239" w:right="-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к договору от ______№_______ 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ind w:hanging="0" w:left="6239" w:right="-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(дополнительному соглашению)</w:t>
            </w:r>
          </w:p>
          <w:tbl>
            <w:tblPr>
              <w:tblW w:w="9563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428"/>
              <w:gridCol w:w="5134"/>
            </w:tblGrid>
            <w:tr>
              <w:trPr>
                <w:trHeight w:val="446" w:hRule="atLeast"/>
              </w:trPr>
              <w:tc>
                <w:tcPr>
                  <w:tcW w:w="4428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cs="Times New Roman" w:ascii="Times New Roman" w:hAnsi="Times New Roman"/>
                      <w:b/>
                      <w:bCs/>
                    </w:rPr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cs="Times New Roman" w:ascii="Times New Roman" w:hAnsi="Times New Roman"/>
                      <w:b/>
                      <w:bCs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________________(Подрядчик)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________________ Ф.И.О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5134" w:type="dxa"/>
                  <w:tcBorders/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cs="Times New Roman" w:ascii="Times New Roman" w:hAnsi="Times New Roman"/>
                      <w:b/>
                      <w:bCs/>
                    </w:rPr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hanging="0" w:left="1886" w:right="0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cs="Times New Roman" w:ascii="Times New Roman" w:hAnsi="Times New Roman"/>
                      <w:b/>
                      <w:bCs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hanging="0" w:left="1886" w:right="0"/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cs="Times New Roman" w:ascii="Times New Roman" w:hAnsi="Times New Roman"/>
                      <w:bCs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hanging="0" w:left="1886" w:righ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_________________Ф.И.О.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cs="Times New Roman" w:ascii="Times New Roman" w:hAnsi="Times New Roman"/>
                      <w:b/>
                      <w:bCs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 xml:space="preserve">Смета № </w:t>
              <w:br/>
              <w:t>на шеф - наладочные работы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предприятия, здания, сооружения, вида шеф-наладочных работ_____________________________________________________________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Наименование организации </w:t>
            </w:r>
            <w:r>
              <w:rPr>
                <w:rFonts w:cs="Times New Roman" w:ascii="Times New Roman" w:hAnsi="Times New Roman"/>
                <w:lang w:val="en-US"/>
              </w:rPr>
              <w:t>подрядчика</w:t>
            </w:r>
            <w:r>
              <w:rPr>
                <w:rFonts w:cs="Times New Roman" w:ascii="Times New Roman" w:hAnsi="Times New Roman"/>
              </w:rPr>
              <w:t>________________________________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организации заказчика _________________________________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Составлена в текущих ценах, соответствующих периоду выполнения работ по договору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</w:rPr>
              <w:t>1. Расчет заработной платы</w:t>
            </w:r>
            <w:r>
              <w:rPr>
                <w:rFonts w:cs="Times New Roman" w:ascii="Times New Roman" w:hAnsi="Times New Roman"/>
              </w:rPr>
              <w:tab/>
              <w:tab/>
              <w:tab/>
              <w:tab/>
              <w:tab/>
              <w:tab/>
              <w:tab/>
              <w:tab/>
              <w:t>руб.</w:t>
            </w:r>
          </w:p>
          <w:tbl>
            <w:tblPr>
              <w:tblW w:w="9648" w:type="dxa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</w:tblPr>
            <w:tblGrid>
              <w:gridCol w:w="575"/>
              <w:gridCol w:w="2209"/>
              <w:gridCol w:w="1107"/>
              <w:gridCol w:w="1183"/>
              <w:gridCol w:w="1421"/>
              <w:gridCol w:w="1415"/>
              <w:gridCol w:w="1737"/>
            </w:tblGrid>
            <w:tr>
              <w:trPr>
                <w:tblHeader w:val="true"/>
              </w:trPr>
              <w:tc>
                <w:tcPr>
                  <w:tcW w:w="5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/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 xml:space="preserve">№ </w:t>
                  </w: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п</w:t>
                  </w:r>
                  <w:r>
                    <w:rPr>
                      <w:rFonts w:cs="Times New Roman" w:ascii="Times New Roman" w:hAnsi="Times New Roman"/>
                      <w:sz w:val="20"/>
                      <w:szCs w:val="20"/>
                      <w:lang w:val="en-US"/>
                    </w:rPr>
                    <w:t>/</w:t>
                  </w: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п.</w:t>
                  </w:r>
                </w:p>
              </w:tc>
              <w:tc>
                <w:tcPr>
                  <w:tcW w:w="2209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Перечень выполняемых работ</w:t>
                  </w:r>
                </w:p>
              </w:tc>
              <w:tc>
                <w:tcPr>
                  <w:tcW w:w="2290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Исполнители</w:t>
                  </w:r>
                </w:p>
              </w:tc>
              <w:tc>
                <w:tcPr>
                  <w:tcW w:w="1421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Количество человеко-дней</w:t>
                  </w:r>
                </w:p>
              </w:tc>
              <w:tc>
                <w:tcPr>
                  <w:tcW w:w="141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Средняя оплата труда</w:t>
                  </w:r>
                </w:p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за 1 день</w:t>
                  </w:r>
                </w:p>
              </w:tc>
              <w:tc>
                <w:tcPr>
                  <w:tcW w:w="1737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Оплата труда (всего)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575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bidi w:val="0"/>
                    <w:spacing w:lineRule="auto" w:line="276" w:before="0" w:after="200"/>
                    <w:jc w:val="left"/>
                    <w:rPr/>
                  </w:pPr>
                  <w:r>
                    <w:rPr/>
                  </w:r>
                </w:p>
              </w:tc>
              <w:tc>
                <w:tcPr>
                  <w:tcW w:w="2209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bidi w:val="0"/>
                    <w:spacing w:lineRule="auto" w:line="276" w:before="0" w:after="200"/>
                    <w:jc w:val="left"/>
                    <w:rPr/>
                  </w:pPr>
                  <w:r>
                    <w:rPr/>
                  </w:r>
                </w:p>
              </w:tc>
              <w:tc>
                <w:tcPr>
                  <w:tcW w:w="110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количество</w:t>
                  </w:r>
                </w:p>
              </w:tc>
              <w:tc>
                <w:tcPr>
                  <w:tcW w:w="118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1421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bidi w:val="0"/>
                    <w:spacing w:lineRule="auto" w:line="276" w:before="0" w:after="200"/>
                    <w:jc w:val="left"/>
                    <w:rPr/>
                  </w:pPr>
                  <w:r>
                    <w:rPr/>
                  </w:r>
                </w:p>
              </w:tc>
              <w:tc>
                <w:tcPr>
                  <w:tcW w:w="1415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bidi w:val="0"/>
                    <w:spacing w:lineRule="auto" w:line="276" w:before="0" w:after="200"/>
                    <w:jc w:val="left"/>
                    <w:rPr/>
                  </w:pPr>
                  <w:r>
                    <w:rPr/>
                  </w:r>
                </w:p>
              </w:tc>
              <w:tc>
                <w:tcPr>
                  <w:tcW w:w="1737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bidi w:val="0"/>
                    <w:spacing w:lineRule="auto" w:line="276" w:before="0" w:after="200"/>
                    <w:jc w:val="left"/>
                    <w:rPr/>
                  </w:pPr>
                  <w:r>
                    <w:rPr/>
                  </w:r>
                </w:p>
              </w:tc>
            </w:tr>
            <w:tr>
              <w:trPr>
                <w:tblHeader w:val="true"/>
              </w:trPr>
              <w:tc>
                <w:tcPr>
                  <w:tcW w:w="5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09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0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8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2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4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3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</w:tr>
            <w:tr>
              <w:trPr/>
              <w:tc>
                <w:tcPr>
                  <w:tcW w:w="575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09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0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1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5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3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</w:tr>
            <w:tr>
              <w:trPr/>
              <w:tc>
                <w:tcPr>
                  <w:tcW w:w="5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 </w:t>
                  </w:r>
                </w:p>
              </w:tc>
              <w:tc>
                <w:tcPr>
                  <w:tcW w:w="220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 </w:t>
                  </w:r>
                </w:p>
              </w:tc>
              <w:tc>
                <w:tcPr>
                  <w:tcW w:w="110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 </w:t>
                  </w:r>
                </w:p>
              </w:tc>
              <w:tc>
                <w:tcPr>
                  <w:tcW w:w="118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 </w:t>
                  </w:r>
                </w:p>
              </w:tc>
              <w:tc>
                <w:tcPr>
                  <w:tcW w:w="142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 </w:t>
                  </w: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 </w:t>
                  </w:r>
                </w:p>
              </w:tc>
              <w:tc>
                <w:tcPr>
                  <w:tcW w:w="173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fill="FFFFFF"/>
                    <w:spacing w:lineRule="auto" w:line="240" w:before="0"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 </w:t>
                  </w:r>
                </w:p>
              </w:tc>
            </w:tr>
          </w:tbl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заработной платы, в руб. __________________________________________________________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 Расчет стоимости выполнения работ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 Накладные расходы, %_______________________________________________________________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2.2 Себестоимость работ ________________________________________________________________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2.3 Уровень рентабельности, % __________________________________________________________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 xml:space="preserve">Итого </w:t>
            </w:r>
            <w:r>
              <w:rPr>
                <w:rFonts w:cs="Times New Roman" w:ascii="Times New Roman" w:hAnsi="Times New Roman"/>
              </w:rPr>
              <w:t>________________________________________________________________________________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 Командировочные расходы (по расчету)______________________________________________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</w:rPr>
              <w:t>Всего (руб.)</w:t>
            </w:r>
            <w:r>
              <w:rPr>
                <w:rFonts w:cs="Times New Roman" w:ascii="Times New Roman" w:hAnsi="Times New Roman"/>
              </w:rPr>
              <w:t xml:space="preserve"> __________________________________________________________________________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_____________________________________________________________________________________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ind w:firstLine="2070" w:left="0"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(сумма прописью)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Составил:________/должность,организация/_______/подпись/___________/расшифровка подписи/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Проверил:_________/должность, организация/_________/подпись/_________/расшифровка подписи/</w:t>
            </w:r>
          </w:p>
        </w:tc>
      </w:tr>
    </w:tbl>
    <w:p>
      <w:pPr>
        <w:sectPr>
          <w:footerReference w:type="default" r:id="rId11"/>
          <w:footerReference w:type="first" r:id="rId12"/>
          <w:footnotePr>
            <w:numFmt w:val="decimal"/>
            <w:numRestart w:val="eachSect"/>
          </w:footnotePr>
          <w:type w:val="nextPage"/>
          <w:pgSz w:w="11906" w:h="16838"/>
          <w:pgMar w:left="1134" w:right="1134" w:gutter="0" w:header="0" w:top="1134" w:footer="1134" w:bottom="16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40" w:before="0" w:after="0"/>
        <w:ind w:hanging="0" w:left="5811" w:right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Приложение № 2.1</w:t>
      </w:r>
    </w:p>
    <w:p>
      <w:pPr>
        <w:pStyle w:val="Normal"/>
        <w:spacing w:lineRule="auto" w:line="240" w:before="0" w:after="0"/>
        <w:ind w:hanging="0" w:left="5811" w:right="0"/>
        <w:jc w:val="righ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к Требованиям к оформлению и </w:t>
      </w:r>
    </w:p>
    <w:p>
      <w:pPr>
        <w:pStyle w:val="Normal"/>
        <w:spacing w:lineRule="auto" w:line="240" w:before="0" w:after="0"/>
        <w:ind w:firstLine="857" w:left="5811" w:right="0"/>
        <w:jc w:val="righ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составлению сметной документации</w:t>
      </w:r>
    </w:p>
    <w:p>
      <w:pPr>
        <w:pStyle w:val="Normal"/>
        <w:spacing w:lineRule="auto" w:line="240" w:before="0" w:after="0"/>
        <w:jc w:val="right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ПОЯСНИТЕЛЬНАЯ ЗАПИСКА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по заполнению формы №3п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  <w:b/>
        </w:rPr>
        <w:t xml:space="preserve">при составлении смет на шеф-монтажные, шеф-наладочные работы </w:t>
      </w:r>
    </w:p>
    <w:p>
      <w:pPr>
        <w:pStyle w:val="Normal"/>
        <w:tabs>
          <w:tab w:val="clear" w:pos="709"/>
          <w:tab w:val="left" w:pos="1080" w:leader="none"/>
        </w:tabs>
        <w:spacing w:lineRule="auto" w:line="240" w:before="0" w:after="0"/>
        <w:ind w:firstLine="540" w:left="0" w:right="0"/>
        <w:jc w:val="both"/>
        <w:rPr/>
      </w:pPr>
      <w:r>
        <w:rPr/>
      </w:r>
    </w:p>
    <w:p>
      <w:pPr>
        <w:pStyle w:val="Normal"/>
        <w:numPr>
          <w:ilvl w:val="0"/>
          <w:numId w:val="12"/>
        </w:numPr>
        <w:tabs>
          <w:tab w:val="clear" w:pos="709"/>
          <w:tab w:val="left" w:pos="993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Сметные расчеты составляются в ценах текущего периода.</w:t>
      </w:r>
    </w:p>
    <w:p>
      <w:pPr>
        <w:pStyle w:val="Normal"/>
        <w:numPr>
          <w:ilvl w:val="0"/>
          <w:numId w:val="12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>
      <w:pPr>
        <w:pStyle w:val="Normal"/>
        <w:numPr>
          <w:ilvl w:val="0"/>
          <w:numId w:val="12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eastAsia="Calibri" w:cs="Times New Roman" w:ascii="Times New Roman" w:hAnsi="Times New Roman"/>
          <w:lang w:eastAsia="en-US"/>
        </w:rPr>
        <w:t>Форма сметы для определения затрат по себестоимости и уровню рентабельности (форма №3п) приведена в образце 3П Приложения 2.</w:t>
      </w:r>
    </w:p>
    <w:p>
      <w:pPr>
        <w:pStyle w:val="Normal"/>
        <w:numPr>
          <w:ilvl w:val="0"/>
          <w:numId w:val="12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cs="Times New Roman" w:ascii="Times New Roman" w:hAnsi="Times New Roman"/>
        </w:rPr>
        <w:t xml:space="preserve">Результаты вычислений и итоговые данные по разделам расчета </w:t>
      </w:r>
      <w:r>
        <w:rPr>
          <w:rFonts w:cs="Times New Roman" w:ascii="Times New Roman" w:hAnsi="Times New Roman"/>
          <w:u w:val="single"/>
        </w:rPr>
        <w:t>округлять до целых рублей.</w:t>
      </w:r>
    </w:p>
    <w:p>
      <w:pPr>
        <w:pStyle w:val="Normal"/>
        <w:numPr>
          <w:ilvl w:val="0"/>
          <w:numId w:val="12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u w:val="single"/>
        </w:rPr>
      </w:pPr>
      <w:r>
        <w:rPr>
          <w:rFonts w:eastAsia="Calibri" w:cs="Times New Roman" w:ascii="Times New Roman" w:hAnsi="Times New Roman"/>
          <w:lang w:eastAsia="en-US"/>
        </w:rPr>
        <w:t>Особенности заполнения формы 3п.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Раздел 1. Расчет заработной платы: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в графе 1 приводится нумерация выполняемых работ;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в графе 2 приводится наименование выполняемых работ;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в графе 3 указывается количество привлекаемых работников;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нормативным временным нормам;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в графе 7 указывается заработная плата в рублях (</w:t>
      </w:r>
      <w:r>
        <w:rPr>
          <w:rFonts w:eastAsia="Calibri" w:cs="Times New Roman" w:ascii="Times New Roman" w:hAnsi="Times New Roman"/>
          <w:b/>
          <w:u w:val="single"/>
          <w:lang w:eastAsia="en-US"/>
        </w:rPr>
        <w:t>результат перемножения граф 5 и 6</w:t>
      </w:r>
      <w:r>
        <w:rPr>
          <w:rFonts w:eastAsia="Calibri" w:cs="Times New Roman" w:ascii="Times New Roman" w:hAnsi="Times New Roman"/>
          <w:lang w:eastAsia="en-US"/>
        </w:rPr>
        <w:t>);</w:t>
      </w:r>
    </w:p>
    <w:p>
      <w:pPr>
        <w:pStyle w:val="Normal"/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или на базе имеющихся в организации проработок, определяющих нормативы их трудоемкости.</w:t>
      </w:r>
    </w:p>
    <w:p>
      <w:pPr>
        <w:pStyle w:val="Normal"/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cs="Times New Roman" w:ascii="Times New Roman" w:hAnsi="Times New Roman"/>
          <w:u w:val="single"/>
        </w:rPr>
        <w:t>Раздел 2. Расчет стоимости выполнения работ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в пункте 2.1 указываются накладные расходы. Данные по оплате труда, накладным расходам,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организации.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в пункте 2.2 производится расчет себестоимости работ на основании выполненного в разделе 1 расчета заработной платы и накладных расходов (сложение итога графы 7 раздела 1 и пункта 2.1);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Calibri" w:cs="Times New Roman"/>
          <w:lang w:eastAsia="en-US"/>
        </w:rPr>
      </w:pPr>
      <w:r>
        <w:rPr>
          <w:rFonts w:eastAsia="Calibri" w:cs="Times New Roman" w:ascii="Times New Roman" w:hAnsi="Times New Roman"/>
          <w:lang w:eastAsia="en-US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eastAsia="Calibri" w:cs="Times New Roman" w:ascii="Times New Roman" w:hAnsi="Times New Roman"/>
          <w:lang w:eastAsia="en-US"/>
        </w:rPr>
        <w:t>уровень рентабельности по отношению к себестоимости может составлять до 15%.</w:t>
      </w:r>
    </w:p>
    <w:p>
      <w:pPr>
        <w:pStyle w:val="Normal"/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(образец в Приложении №1 к пояснительной записке по заполнению формы 3П).</w:t>
      </w:r>
    </w:p>
    <w:p>
      <w:pPr>
        <w:pStyle w:val="Normal"/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u w:val="single"/>
        </w:rPr>
        <w:t>Раздел 3. Расчет командировочных расходов.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3) с расшифровкой затрат на проезд, проживание, суточные расходы. 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Стоимость проезда необходимо указать по каждому виду транспорта отдельно туда и отдельно обратно.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9"/>
          <w:tab w:val="left" w:pos="993" w:leader="none"/>
          <w:tab w:val="left" w:pos="1080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ConsPlusNormal1"/>
        <w:widowControl/>
        <w:tabs>
          <w:tab w:val="clear" w:pos="709"/>
          <w:tab w:val="left" w:pos="567" w:leader="none"/>
          <w:tab w:val="left" w:pos="993" w:leader="none"/>
          <w:tab w:val="left" w:pos="1134" w:leader="none"/>
        </w:tabs>
        <w:spacing w:before="40" w:after="40"/>
        <w:ind w:firstLine="567" w:left="0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2"/>
          <w:szCs w:val="22"/>
        </w:rPr>
        <w:t>Лимиты командировочных расходов принимать в размере не более:</w:t>
      </w:r>
    </w:p>
    <w:p>
      <w:pPr>
        <w:pStyle w:val="ConsPlusNormal1"/>
        <w:numPr>
          <w:ilvl w:val="0"/>
          <w:numId w:val="14"/>
        </w:numPr>
        <w:tabs>
          <w:tab w:val="clear" w:pos="709"/>
          <w:tab w:val="left" w:pos="567" w:leader="none"/>
          <w:tab w:val="left" w:pos="993" w:leader="none"/>
          <w:tab w:val="left" w:pos="1134" w:leader="none"/>
        </w:tabs>
        <w:spacing w:before="40" w:after="40"/>
        <w:ind w:hanging="360" w:left="1713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суточные – 700 руб./сутки;</w:t>
      </w:r>
    </w:p>
    <w:p>
      <w:pPr>
        <w:pStyle w:val="ConsPlusNormal1"/>
        <w:numPr>
          <w:ilvl w:val="0"/>
          <w:numId w:val="14"/>
        </w:numPr>
        <w:tabs>
          <w:tab w:val="clear" w:pos="709"/>
          <w:tab w:val="left" w:pos="567" w:leader="none"/>
          <w:tab w:val="left" w:pos="993" w:leader="none"/>
          <w:tab w:val="left" w:pos="1134" w:leader="none"/>
        </w:tabs>
        <w:spacing w:before="40" w:after="40"/>
        <w:ind w:hanging="360" w:left="1713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проживание – до 5000 руб./сутки;</w:t>
      </w:r>
    </w:p>
    <w:p>
      <w:pPr>
        <w:pStyle w:val="ConsPlusNormal1"/>
        <w:numPr>
          <w:ilvl w:val="0"/>
          <w:numId w:val="14"/>
        </w:numPr>
        <w:tabs>
          <w:tab w:val="clear" w:pos="709"/>
          <w:tab w:val="left" w:pos="567" w:leader="none"/>
          <w:tab w:val="left" w:pos="993" w:leader="none"/>
          <w:tab w:val="left" w:pos="1134" w:leader="none"/>
        </w:tabs>
        <w:spacing w:before="40" w:after="40"/>
        <w:ind w:hanging="360" w:left="1713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проезд: поезд (купе) или самолет (класс–эконом с багажом до 20 (двадцати) кг, ручная кладь до 10 (десяти) кг).</w:t>
      </w:r>
    </w:p>
    <w:p>
      <w:pPr>
        <w:pStyle w:val="Normal"/>
        <w:tabs>
          <w:tab w:val="clear" w:pos="709"/>
          <w:tab w:val="left" w:pos="567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eastAsia="Calibri" w:cs="Times New Roman" w:ascii="Times New Roman" w:hAnsi="Times New Roman"/>
          <w:lang w:eastAsia="en-US"/>
        </w:rPr>
        <w:t xml:space="preserve">При учете командировочных расходов стоимость проезда (авиа-, ж/д, …) и проживания определяется по наиболее экономичному варианту </w:t>
      </w:r>
      <w:r>
        <w:rPr>
          <w:rFonts w:cs="Times New Roman" w:ascii="Times New Roman" w:hAnsi="Times New Roman"/>
        </w:rPr>
        <w:t>Методом анализа ТКП</w:t>
      </w:r>
      <w:r>
        <w:rPr>
          <w:rFonts w:eastAsia="Calibri" w:cs="Times New Roman" w:ascii="Times New Roman" w:hAnsi="Times New Roman"/>
          <w:lang w:eastAsia="en-US"/>
        </w:rPr>
        <w:t>.</w:t>
      </w:r>
    </w:p>
    <w:p>
      <w:pPr>
        <w:sectPr>
          <w:footerReference w:type="default" r:id="rId13"/>
          <w:footerReference w:type="first" r:id="rId14"/>
          <w:footnotePr>
            <w:numFmt w:val="decimal"/>
            <w:numRestart w:val="eachSect"/>
          </w:footnotePr>
          <w:type w:val="nextPage"/>
          <w:pgSz w:w="11906" w:h="16838"/>
          <w:pgMar w:left="1701" w:right="850" w:gutter="0" w:header="0" w:top="567" w:footer="708" w:bottom="993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09"/>
          <w:tab w:val="left" w:pos="567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eastAsia="Calibri" w:cs="Times New Roman" w:ascii="Times New Roman" w:hAnsi="Times New Roman"/>
          <w:lang w:eastAsia="en-US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spacing w:lineRule="auto" w:line="240" w:before="0" w:after="0"/>
        <w:ind w:hanging="0" w:left="5811" w:right="0"/>
        <w:contextualSpacing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0"/>
        </w:rPr>
        <w:t>Приложение №1</w:t>
      </w:r>
    </w:p>
    <w:p>
      <w:pPr>
        <w:pStyle w:val="Normal"/>
        <w:spacing w:lineRule="auto" w:line="240" w:before="0" w:after="0"/>
        <w:ind w:hanging="0" w:left="5811" w:right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0"/>
        </w:rPr>
        <w:t>к пояснительной записке</w:t>
      </w:r>
    </w:p>
    <w:p>
      <w:pPr>
        <w:pStyle w:val="Normal"/>
        <w:spacing w:lineRule="auto" w:line="240" w:before="0" w:after="0"/>
        <w:ind w:hanging="0" w:left="5811" w:right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по заполнению формы 3П</w:t>
      </w:r>
    </w:p>
    <w:p>
      <w:pPr>
        <w:pStyle w:val="Normal"/>
        <w:spacing w:lineRule="auto" w:line="240" w:before="0" w:after="0"/>
        <w:ind w:hanging="0" w:left="5811" w:right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</w:rPr>
        <w:t>СПРАВКА от__________ (указать дату составления справки) (Образец)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tbl>
      <w:tblPr>
        <w:tblW w:w="8793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3942"/>
        <w:gridCol w:w="3104"/>
      </w:tblGrid>
      <w:tr>
        <w:trPr>
          <w:trHeight w:val="325" w:hRule="atLeast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№ </w:t>
            </w:r>
            <w:r>
              <w:rPr>
                <w:rFonts w:cs="Times New Roman" w:ascii="Times New Roman" w:hAnsi="Times New Roman"/>
                <w:color w:val="000000"/>
              </w:rPr>
              <w:t>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Заработная плата в день, в руб.</w:t>
            </w:r>
          </w:p>
        </w:tc>
      </w:tr>
      <w:tr>
        <w:trPr>
          <w:trHeight w:val="630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-</w:t>
            </w:r>
          </w:p>
        </w:tc>
      </w:tr>
      <w:tr>
        <w:trPr>
          <w:trHeight w:val="581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-</w:t>
            </w:r>
          </w:p>
        </w:tc>
      </w:tr>
      <w:tr>
        <w:trPr>
          <w:trHeight w:val="634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</w:rPr>
        <w:tab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</w:rPr>
        <w:t>Накладные расходы _______(%)</w:t>
        <w:tab/>
        <w:tab/>
        <w:tab/>
        <w:tab/>
        <w:tab/>
        <w:tab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</w:rPr>
        <w:t>Рентабельность предприятия_________(%)</w:t>
        <w:tab/>
        <w:tab/>
        <w:tab/>
        <w:tab/>
        <w:tab/>
        <w:tab/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</w:rPr>
        <w:t>Дата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</w:rPr>
        <w:t>(Должность единоличного исполнительного органа контрагента/подрядчика)</w:t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</w:rPr>
        <w:t>(краткое/полное наименование организации) ________________ (ФИО)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</w:rPr>
        <w:t>м.п.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</w:rPr>
        <w:t>(Главный бухгалтер)</w:t>
      </w:r>
      <w:r>
        <w:rPr>
          <w:rStyle w:val="FootnoteReference"/>
          <w:rFonts w:cs="Times New Roman" w:ascii="Times New Roman" w:hAnsi="Times New Roman"/>
        </w:rPr>
        <w:footnoteReference w:id="4"/>
      </w:r>
      <w:r>
        <w:rPr>
          <w:rFonts w:cs="Times New Roman" w:ascii="Times New Roman" w:hAnsi="Times New Roman"/>
        </w:rPr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</w:rPr>
        <w:t>(краткое/полное наименование организации контрагента/подрядчика) _________ (ФИО)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</w:rPr>
        <w:t>м.п.</w:t>
      </w:r>
    </w:p>
    <w:p>
      <w:pPr>
        <w:pStyle w:val="ConsPlusNormal1"/>
        <w:widowControl/>
        <w:ind w:hanging="0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  <w:r>
        <w:br w:type="page"/>
      </w:r>
    </w:p>
    <w:p>
      <w:pPr>
        <w:pStyle w:val="Normal"/>
        <w:spacing w:lineRule="auto" w:line="240" w:before="0" w:after="0"/>
        <w:ind w:hanging="0" w:left="5811" w:right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Приложение №3</w:t>
      </w:r>
    </w:p>
    <w:p>
      <w:pPr>
        <w:pStyle w:val="Normal"/>
        <w:spacing w:lineRule="auto" w:line="240" w:before="0" w:after="0"/>
        <w:ind w:hanging="0" w:left="5811" w:right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к Требованиям к оформлению и составлению сметной документации</w:t>
      </w:r>
    </w:p>
    <w:p>
      <w:pPr>
        <w:pStyle w:val="Normal"/>
        <w:spacing w:lineRule="auto" w:line="240" w:before="0" w:after="0"/>
        <w:ind w:hanging="0" w:left="5811"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</w:rPr>
        <w:t xml:space="preserve">Образец расчета командировочных расходов </w:t>
      </w:r>
    </w:p>
    <w:p>
      <w:pPr>
        <w:pStyle w:val="Normal"/>
        <w:spacing w:lineRule="auto" w:line="240" w:before="0" w:after="0"/>
        <w:ind w:hanging="567" w:left="0" w:right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</w:rPr>
        <w:t>Приложение № __ к смете № __</w:t>
      </w:r>
    </w:p>
    <w:p>
      <w:pPr>
        <w:pStyle w:val="Normal"/>
        <w:spacing w:lineRule="auto" w:line="240" w:before="0" w:after="0"/>
        <w:ind w:hanging="567" w:left="0" w:right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</w:rPr>
        <w:t>Расчет командировочных расходов</w:t>
      </w:r>
    </w:p>
    <w:tbl>
      <w:tblPr>
        <w:tblW w:w="10660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135"/>
        <w:gridCol w:w="998"/>
        <w:gridCol w:w="710"/>
        <w:gridCol w:w="1275"/>
        <w:gridCol w:w="709"/>
        <w:gridCol w:w="1442"/>
        <w:gridCol w:w="1309"/>
        <w:gridCol w:w="935"/>
        <w:gridCol w:w="1133"/>
        <w:gridCol w:w="1558"/>
      </w:tblGrid>
      <w:tr>
        <w:trPr/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 xml:space="preserve">№ </w:t>
            </w:r>
            <w:r>
              <w:rPr>
                <w:rFonts w:cs="Times New Roman" w:ascii="Times New Roman" w:hAnsi="Times New Roman"/>
              </w:rPr>
              <w:t>п</w:t>
            </w:r>
            <w:r>
              <w:rPr>
                <w:rFonts w:cs="Times New Roman" w:ascii="Times New Roman" w:hAnsi="Times New Roman"/>
                <w:lang w:val="en-US"/>
              </w:rPr>
              <w:t>/</w:t>
            </w:r>
            <w:r>
              <w:rPr>
                <w:rFonts w:cs="Times New Roman" w:ascii="Times New Roman" w:hAnsi="Times New Roman"/>
              </w:rPr>
              <w:t>п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Пункт назначения </w:t>
              <w:br/>
              <w:t>(туда / обратно)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Вид транспорта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Кол-во дней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Стоимость суточных, руб./сут. </w:t>
              <w:br/>
              <w:t>(без НДС)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Стоимость проживания, руб./сут.. </w:t>
              <w:br/>
              <w:t>(без НДС)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Кол-во командировок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Кол-во командированных человек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Итого стоимость командировочных расходов, руб. </w:t>
              <w:br/>
              <w:t>(без НДС)</w:t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2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 пункта 1 в пункт 5</w:t>
            </w:r>
          </w:p>
        </w:tc>
      </w:tr>
      <w:tr>
        <w:trPr/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 пункта 1 в пункт 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 пункта 2 в пункт 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…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 пункта 4 в пункт 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Итого стоимость командировочных расходов из пункта 1 в пункт 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17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2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 пункта 5 в пункт 1</w:t>
            </w:r>
          </w:p>
        </w:tc>
      </w:tr>
      <w:tr>
        <w:trPr/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 пункта 5 в пункт 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 пункта 4 в пункт 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…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 пункта 2 в пункт 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Итого стоимость командировочных расходов из пункта 5 в пункт 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стоимость командировочных расходов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sectPr>
          <w:footerReference w:type="default" r:id="rId15"/>
          <w:footerReference w:type="first" r:id="rId16"/>
          <w:footnotePr>
            <w:numFmt w:val="decimal"/>
            <w:numRestart w:val="eachSect"/>
          </w:footnotePr>
          <w:type w:val="nextPage"/>
          <w:pgSz w:w="11906" w:h="16838"/>
          <w:pgMar w:left="1134" w:right="709" w:gutter="0" w:header="0" w:top="709" w:footer="709" w:bottom="766"/>
          <w:pgNumType w:fmt="decimal"/>
          <w:formProt w:val="false"/>
          <w:textDirection w:val="lrTb"/>
          <w:docGrid w:type="default" w:linePitch="360" w:charSpace="0"/>
        </w:sectPr>
      </w:pPr>
      <w:r>
        <w:br w:type="page"/>
      </w:r>
    </w:p>
    <w:p>
      <w:pPr>
        <w:pStyle w:val="Normal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20"/>
          <w:szCs w:val="20"/>
        </w:rPr>
        <w:t xml:space="preserve">Приложение № 4 </w:t>
      </w:r>
    </w:p>
    <w:p>
      <w:pPr>
        <w:pStyle w:val="Normal"/>
        <w:spacing w:lineRule="auto" w:line="240" w:before="0" w:after="0"/>
        <w:ind w:hanging="0" w:left="5811" w:right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40" w:name="_GoBack_Копия_1"/>
      <w:bookmarkEnd w:id="40"/>
      <w:r>
        <w:rPr>
          <w:rFonts w:cs="Times New Roman" w:ascii="Times New Roman" w:hAnsi="Times New Roman"/>
          <w:color w:val="000000"/>
          <w:sz w:val="20"/>
          <w:szCs w:val="20"/>
        </w:rPr>
        <w:t>к Требованиям к оформлению и составлению сметной документации</w:t>
      </w:r>
    </w:p>
    <w:p>
      <w:pPr>
        <w:pStyle w:val="Normal"/>
        <w:spacing w:lineRule="auto" w:line="240" w:before="0" w:after="0"/>
        <w:ind w:hanging="0" w:left="5811" w:right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spacing w:before="120" w:after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Порядок применения индексов инфляции</w:t>
      </w:r>
    </w:p>
    <w:p>
      <w:pPr>
        <w:pStyle w:val="34"/>
        <w:tabs>
          <w:tab w:val="clear" w:pos="709"/>
          <w:tab w:val="left" w:pos="738" w:leader="none"/>
          <w:tab w:val="left" w:pos="1560" w:leader="none"/>
        </w:tabs>
        <w:ind w:hanging="0" w:left="0" w:right="0"/>
        <w:rPr>
          <w:rFonts w:ascii="Times New Roman" w:hAnsi="Times New Roman"/>
          <w:kern w:val="0"/>
          <w:sz w:val="22"/>
          <w:szCs w:val="22"/>
          <w:lang w:val="ru-RU" w:bidi="ar-SA"/>
        </w:rPr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  <w:tab/>
        <w:t>Для пересчета сметной стоимости в прогнозный уровень цен применяются текущие индексы – дефляторы в соответствии с прогнозом Министерства экономического развития РФ (прогноз «базовый», определенные в установленном порядке для Заказчика (в соответствии с планируемым периодом выполнения работ).</w:t>
      </w:r>
    </w:p>
    <w:p>
      <w:pPr>
        <w:pStyle w:val="34"/>
        <w:tabs>
          <w:tab w:val="clear" w:pos="709"/>
          <w:tab w:val="left" w:pos="738" w:leader="none"/>
          <w:tab w:val="left" w:pos="1560" w:leader="none"/>
        </w:tabs>
        <w:ind w:hanging="0"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  <w:tab/>
        <w:t>В случае, если планируемый период выполнения работ составляет до одного календарного года и сметная документация составлена в уровне цен того же года, индекс прогнозной инфляции на один месяц осуществляется извлечением квадратного корня двенадцатой степени из индекса прогнозной инфляции Минэкономразвития России (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ИПЦ базовый, по строке - Показатели инфляции / в среднем за год </w:t>
      </w:r>
      <w:r>
        <w:rPr>
          <w:rFonts w:ascii="Times New Roman" w:hAnsi="Times New Roman"/>
          <w:kern w:val="0"/>
          <w:sz w:val="22"/>
          <w:szCs w:val="22"/>
          <w:lang w:val="ru-RU" w:bidi="ar-SA"/>
        </w:rPr>
        <w:t>) установленного в целом за год:</w:t>
      </w:r>
    </w:p>
    <w:p>
      <w:pPr>
        <w:pStyle w:val="Normal"/>
        <w:widowControl w:val="false"/>
        <w:suppressAutoHyphens w:val="true"/>
        <w:spacing w:before="0" w:after="0"/>
        <w:ind w:firstLine="567" w:left="0" w:right="0"/>
        <w:jc w:val="center"/>
        <w:rPr>
          <w:rFonts w:ascii="Times New Roman" w:hAnsi="Times New Roman"/>
          <w:sz w:val="22"/>
          <w:szCs w:val="22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И</m:t>
            </m:r>
          </m:e>
          <m:sub>
            <m:r>
              <w:rPr>
                <w:rFonts w:ascii="Cambria Math" w:hAnsi="Cambria Math"/>
              </w:rPr>
              <m:t xml:space="preserve">инфл</m:t>
            </m:r>
            <m:r>
              <w:rPr>
                <w:rFonts w:ascii="Cambria Math" w:hAnsi="Cambria Math"/>
              </w:rPr>
              <m:t xml:space="preserve">.</m:t>
            </m:r>
            <m:r>
              <w:rPr>
                <w:rFonts w:ascii="Cambria Math" w:hAnsi="Cambria Math"/>
              </w:rPr>
              <m:t xml:space="preserve">мес</m:t>
            </m:r>
          </m:sub>
        </m:sSub>
        <m:r>
          <w:rPr>
            <w:rFonts w:ascii="Cambria Math" w:hAnsi="Cambria Math"/>
          </w:rPr>
          <m:t xml:space="preserve">=</m:t>
        </m:r>
        <m:rad>
          <m:deg>
            <m:r>
              <w:rPr>
                <w:rFonts w:ascii="Cambria Math" w:hAnsi="Cambria Math"/>
              </w:rPr>
              <m:t xml:space="preserve">12</m:t>
            </m:r>
          </m:deg>
          <m:e>
            <m:sSub>
              <m:e>
                <m:r>
                  <w:rPr>
                    <w:rFonts w:ascii="Cambria Math" w:hAnsi="Cambria Math"/>
                  </w:rPr>
                  <m:t xml:space="preserve">И</m:t>
                </m:r>
              </m:e>
              <m:sub>
                <m:r>
                  <w:rPr>
                    <w:rFonts w:ascii="Cambria Math" w:hAnsi="Cambria Math"/>
                  </w:rPr>
                  <m:t xml:space="preserve">инфл</m:t>
                </m:r>
                <m:r>
                  <w:rPr>
                    <w:rFonts w:ascii="Cambria Math" w:hAnsi="Cambria Math"/>
                  </w:rPr>
                  <m:t xml:space="preserve">год</m:t>
                </m:r>
              </m:sub>
            </m:sSub>
          </m:e>
        </m:rad>
      </m:oMath>
      <w:r>
        <w:rPr>
          <w:rFonts w:eastAsia="Calibri" w:cs="Times New Roman" w:ascii="Times New Roman" w:hAnsi="Times New Roman"/>
          <w:kern w:val="0"/>
          <w:sz w:val="22"/>
          <w:szCs w:val="22"/>
          <w:lang w:val="ru-RU" w:eastAsia="en-US" w:bidi="ar-SA"/>
        </w:rPr>
        <w:t xml:space="preserve">          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kern w:val="0"/>
          <w:sz w:val="22"/>
          <w:szCs w:val="22"/>
          <w:lang w:val="ru-RU" w:bidi="ar-SA"/>
        </w:rPr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kern w:val="0"/>
          <w:sz w:val="22"/>
          <w:szCs w:val="22"/>
          <w:lang w:val="ru-RU" w:bidi="ar-SA"/>
        </w:rPr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  <w:t xml:space="preserve">где  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>И инфл мес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– индекс прогнозной инфляции на один месяц, полученное значение округляется до 4 знаков после запятой;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>И инфл год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– индекс-дефлятор Министерства экономического развития Российской Федерации </w:t>
      </w:r>
      <w:r>
        <w:rPr>
          <w:rFonts w:ascii="Times New Roman" w:hAnsi="Times New Roman"/>
          <w:kern w:val="0"/>
          <w:sz w:val="22"/>
          <w:szCs w:val="22"/>
          <w:lang w:val="ru-RU" w:bidi="ar-SA"/>
        </w:rPr>
        <w:t>(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ИПЦ базовый, по строке - Показатели инфляции / в среднем за год).</w:t>
      </w:r>
    </w:p>
    <w:p>
      <w:pPr>
        <w:pStyle w:val="Style35"/>
        <w:widowControl w:val="false"/>
        <w:numPr>
          <w:ilvl w:val="0"/>
          <w:numId w:val="0"/>
        </w:numPr>
        <w:tabs>
          <w:tab w:val="clear" w:pos="709"/>
          <w:tab w:val="left" w:pos="738" w:leader="none"/>
        </w:tabs>
        <w:suppressAutoHyphens w:val="true"/>
        <w:bidi w:val="0"/>
        <w:spacing w:lineRule="auto" w:line="240" w:before="0" w:after="0"/>
        <w:ind w:firstLine="737" w:left="0" w:right="0"/>
        <w:contextualSpacing/>
        <w:jc w:val="both"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ab/>
        <w:t>Для определения размера индекса прогнозной инфляции периодом в несколько месяцев, величина индекса прогнозной инфляции на один месяц возводится в степень размер которой соответствует количеству месяцев от даты определения стоимости работ до даты окончания работ, принимается среднее значение индекса-дефлятора, между индексом прогнозной инфляции на месяц начала производства работ и индексом на месяц окончания производства работ: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jc w:val="center"/>
        <w:rPr>
          <w:rFonts w:ascii="Times New Roman" w:hAnsi="Times New Roman"/>
          <w:sz w:val="22"/>
          <w:szCs w:val="22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И</m:t>
            </m:r>
          </m:e>
          <m:sub>
            <m:r>
              <w:rPr>
                <w:rFonts w:ascii="Cambria Math" w:hAnsi="Cambria Math"/>
              </w:rPr>
              <m:t xml:space="preserve">инфл</m:t>
            </m:r>
            <m:r>
              <w:rPr>
                <w:rFonts w:ascii="Cambria Math" w:hAnsi="Cambria Math"/>
              </w:rPr>
              <m:t xml:space="preserve">.</m:t>
            </m:r>
            <m:r>
              <w:rPr>
                <w:rFonts w:ascii="Cambria Math" w:hAnsi="Cambria Math"/>
              </w:rPr>
              <m:t xml:space="preserve">пер</m:t>
            </m:r>
            <m:r>
              <w:rPr>
                <w:rFonts w:ascii="Cambria Math" w:hAnsi="Cambria Math"/>
              </w:rPr>
              <m:t xml:space="preserve">.</m:t>
            </m:r>
          </m:sub>
        </m:sSub>
        <m:r>
          <w:rPr>
            <w:rFonts w:ascii="Cambria Math" w:hAnsi="Cambria Math"/>
          </w:rPr>
          <m:t xml:space="preserve">=</m:t>
        </m:r>
        <m:d>
          <m:dPr>
            <m:begChr m:val="("/>
            <m:endChr m:val=")"/>
          </m:dPr>
          <m:e>
            <m:f>
              <m:num>
                <m:sSub>
                  <m:e>
                    <m:r>
                      <w:rPr>
                        <w:rFonts w:ascii="Cambria Math" w:hAnsi="Cambria Math"/>
                      </w:rPr>
                      <m:t xml:space="preserve">И</m:t>
                    </m:r>
                  </m:e>
                  <m:sub>
                    <m:sSup>
                      <m:e>
                        <m:r>
                          <w:rPr>
                            <w:rFonts w:ascii="Cambria Math" w:hAnsi="Cambria Math"/>
                          </w:rPr>
                          <m:t xml:space="preserve">инфл</m:t>
                        </m:r>
                        <m:r>
                          <w:rPr>
                            <w:rFonts w:ascii="Cambria Math" w:hAnsi="Cambria Math"/>
                          </w:rPr>
                          <m:t xml:space="preserve">.</m:t>
                        </m:r>
                        <m:r>
                          <w:rPr>
                            <w:rFonts w:ascii="Cambria Math" w:hAnsi="Cambria Math"/>
                          </w:rPr>
                          <m:t xml:space="preserve">мес</m:t>
                        </m:r>
                        <m:r>
                          <w:rPr>
                            <w:rFonts w:ascii="Cambria Math" w:hAnsi="Cambria Math"/>
                          </w:rPr>
                          <m:t xml:space="preserve">.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 xml:space="preserve">n</m:t>
                        </m:r>
                      </m:sup>
                    </m:sSup>
                  </m:sub>
                </m:sSub>
                <m:r>
                  <w:rPr>
                    <w:rFonts w:ascii="Cambria Math" w:hAnsi="Cambria Math"/>
                  </w:rPr>
                  <m:t xml:space="preserve">−</m:t>
                </m:r>
                <m:r>
                  <w:rPr>
                    <w:rFonts w:ascii="Cambria Math" w:hAnsi="Cambria Math"/>
                  </w:rPr>
                  <m:t xml:space="preserve">1</m:t>
                </m:r>
              </m:num>
              <m:den>
                <m:r>
                  <w:rPr>
                    <w:rFonts w:ascii="Cambria Math" w:hAnsi="Cambria Math"/>
                  </w:rPr>
                  <m:t xml:space="preserve">2</m:t>
                </m:r>
              </m:den>
            </m:f>
          </m:e>
        </m:d>
        <m:r>
          <w:rPr>
            <w:rFonts w:ascii="Cambria Math" w:hAnsi="Cambria Math"/>
          </w:rPr>
          <m:t xml:space="preserve">+</m:t>
        </m:r>
        <m:r>
          <w:rPr>
            <w:rFonts w:ascii="Cambria Math" w:hAnsi="Cambria Math"/>
          </w:rPr>
          <m:t xml:space="preserve">1</m:t>
        </m:r>
      </m:oMath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     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(1)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где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>И инф пер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– индекс прогнозной инфляции для периода выполнения работ, полученное значение округляется до 4 знаков после запятой.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ab/>
        <w:t xml:space="preserve">В случае если срок выполнения работ превышает календарный год, то индекс прогнозной инфляции для второго и последующих годов, определяется с учетом установленных договором сроков строительства по формуле: 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     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Цд=С * Иинфл     (2)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где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 xml:space="preserve">Цд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– стоимость договора (этапа);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>С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- сметная стоимость подрядных работ, подлежащих выполнению подрядчиком; 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cs="Times New Roman"/>
          <w:i/>
          <w:i/>
          <w:iCs/>
          <w:kern w:val="0"/>
          <w:lang w:val="ru-RU" w:bidi="ar-SA"/>
        </w:rPr>
      </w:pPr>
      <w:r>
        <w:rPr>
          <w:rFonts w:cs="Times New Roman"/>
          <w:i/>
          <w:iCs/>
          <w:kern w:val="0"/>
          <w:lang w:val="ru-RU" w:bidi="ar-SA"/>
        </w:rPr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 xml:space="preserve">Иинф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– индекс инфляции, рассчитываемый по формуле: 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    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И инф = Д1*К1+Д2*К2+...+Дi*Кi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где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 xml:space="preserve">Д1, Д2, Дi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- доля сметной стоимости работ соответственно в 1-й, 2-й, 3-й, i-ый годы строительства;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>i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 - год завершения строительства объекта;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 xml:space="preserve">К1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- индекс прогнозной инфляции за первый год строительства объекта, определяемый как среднее арифметическое между индексом прогнозной инфляции на дату начала строительства объекта и индексом прогнозной инфляции на декабрь первого года строительства объекта;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 xml:space="preserve">К2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-индекс прогнозной инфляции, учитывающий инфляцию за первый и второй годы строительства объекта. Рассчитывается как произведение индекса прогнозной инфляции, устанавливаемого нарастающим итогом на декабрь первого года строительства объекта, и индекса прогнозной инфляции на второй год строительства объекта, определенного как среднее арифметическое между индексом прогнозной инфляции на январь второго года строительства объекта и индекса прогнозной инфляции на декабрь второго года строительства объекта;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i/>
          <w:iCs/>
          <w:kern w:val="0"/>
          <w:sz w:val="22"/>
          <w:szCs w:val="22"/>
          <w:lang w:val="ru-RU" w:bidi="ar-SA"/>
        </w:rPr>
        <w:t xml:space="preserve">Кi 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 xml:space="preserve">- индекс прогнозной инфляции, учитывающий инфляцию за весь период строительства объекта. </w:t>
        <w:tab/>
        <w:t>Указанный индекс рассчитывается как произведение индекса прогнозной инфляции, устанавливаемого нарастающим итогом на декабрь предшествующего года строительства объекта, и индекса прогнозной инфляции на последний год строительства объекта, определенного как среднее арифметическое между индексом прогнозной инфляции на январь последнего года строительства объекта и индексом прогнозной инфляции на дату окончания строительства объекта в последнем году</w:t>
      </w:r>
      <w:r>
        <w:rPr>
          <w:rFonts w:ascii="Times New Roman" w:hAnsi="Times New Roman"/>
          <w:kern w:val="0"/>
          <w:sz w:val="22"/>
          <w:szCs w:val="22"/>
          <w:lang w:val="ru-RU" w:bidi="ar-SA"/>
        </w:rPr>
        <w:t xml:space="preserve"> (пример расчета индекса-дефлятора приведен ниже)</w:t>
      </w: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.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ab/>
        <w:t>При этом: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 w:cs="Times New Roman"/>
          <w:kern w:val="0"/>
          <w:sz w:val="22"/>
          <w:szCs w:val="22"/>
          <w:lang w:val="ru-RU"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val="ru-RU" w:bidi="ar-SA"/>
        </w:rPr>
        <w:t>1) если срок выполнения работ указан в целом по договору (дата начала работ – дата окончание работ), применяется единый дефлятор, в соответствии с формулой (2).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kern w:val="0"/>
          <w:sz w:val="22"/>
          <w:szCs w:val="22"/>
          <w:lang w:val="ru-RU" w:bidi="ar-SA"/>
        </w:rPr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  <w:t>2) если договором предусмотрен график выполнения работ с разбивкой на этапы (дата начала работ по этапу – дата окончания работ по этапу), дефлятор применяется в соответствии с таким графиком, и рассчитывается на каждый этап, в соответствии с формулой (2).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kern w:val="0"/>
          <w:sz w:val="22"/>
          <w:szCs w:val="22"/>
          <w:lang w:val="ru-RU" w:bidi="ar-SA"/>
        </w:rPr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  <w:tab/>
        <w:t xml:space="preserve">Если для определения ПЦ используется сметная документация, разработанная на основании СНБ применяемой на дату формирования ПЦ, то пересчет сметной стоимости работ в уровень цен на дату определения ПЦ осуществляется с использованием индексов изменения сметной стоимости, размещенных Минстроем России в ФРСН, действующих на дату определения ПЦ. </w:t>
      </w:r>
    </w:p>
    <w:p>
      <w:pPr>
        <w:pStyle w:val="Style35"/>
        <w:widowControl w:val="false"/>
        <w:numPr>
          <w:ilvl w:val="0"/>
          <w:numId w:val="0"/>
        </w:numPr>
        <w:suppressAutoHyphens w:val="true"/>
        <w:spacing w:before="0" w:after="0"/>
        <w:ind w:hanging="0" w:left="0" w:right="0"/>
        <w:contextualSpacing/>
        <w:rPr>
          <w:rFonts w:ascii="Times New Roman" w:hAnsi="Times New Roman"/>
          <w:kern w:val="0"/>
          <w:sz w:val="22"/>
          <w:szCs w:val="22"/>
          <w:lang w:val="ru-RU" w:bidi="ar-SA"/>
        </w:rPr>
      </w:pPr>
      <w:r>
        <w:rPr>
          <w:rFonts w:ascii="Times New Roman" w:hAnsi="Times New Roman"/>
          <w:kern w:val="0"/>
          <w:sz w:val="22"/>
          <w:szCs w:val="22"/>
          <w:lang w:val="ru-RU" w:bidi="ar-SA"/>
        </w:rPr>
        <w:tab/>
        <w:t>В случае если сметная документация разработана в СНБ не применяемой на дату определения ПЦ, то пересчет сметной стоимости работ в уровень цен на дату определения ПЦ осуществляется с использованием индекса фактической инфляции (опубликованный на сайте https://www.fedstat.ru/, индексы цен на продукцию (затраты, услуги) инвестиционного назначения с 2017г., по Российской Федерации в целом, с учетом вида экономической деятельности). Пример расчета индекса фактической инфляции приведен ниже.</w:t>
      </w:r>
    </w:p>
    <w:p>
      <w:pPr>
        <w:pStyle w:val="Normal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Dt-p"/>
        <w:shd w:val="clear" w:fill="FFFFFF"/>
        <w:spacing w:before="0" w:after="0"/>
        <w:ind w:firstLine="567" w:left="720" w:right="0"/>
        <w:contextualSpacing/>
        <w:jc w:val="center"/>
        <w:textAlignment w:val="baseline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Пример расчета единого индекса-дефлятора к  договору</w:t>
      </w:r>
    </w:p>
    <w:p>
      <w:pPr>
        <w:pStyle w:val="Dt-p"/>
        <w:shd w:val="clear" w:fill="FFFFFF"/>
        <w:spacing w:before="0" w:after="0"/>
        <w:ind w:firstLine="567" w:left="720" w:right="0"/>
        <w:contextualSpacing/>
        <w:jc w:val="center"/>
        <w:textAlignment w:val="baseline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9"/>
          <w:tab w:val="left" w:pos="1134" w:leader="none"/>
        </w:tabs>
        <w:suppressAutoHyphens w:val="true"/>
        <w:bidi w:val="0"/>
        <w:spacing w:lineRule="auto" w:line="276" w:before="0" w:after="200"/>
        <w:ind w:firstLine="567" w:left="0" w:righ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соответствии с условиями Договора начало строительства – сентябрь 2024г, окончание декабрь 2025 г. Продолжительность реконструкции / строительства составляет– 16 месяцев.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>Сметная документация составлена с применением СНБ – ГЭСН-2020, ФЕР – 2020 (с изм 1-9).</w:t>
      </w:r>
    </w:p>
    <w:p>
      <w:pPr>
        <w:pStyle w:val="Normal"/>
        <w:tabs>
          <w:tab w:val="clear" w:pos="709"/>
          <w:tab w:val="left" w:pos="1134" w:leader="none"/>
        </w:tabs>
        <w:ind w:firstLine="567" w:left="720" w:right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Доля сметной стоимости в 2024 году – 0,25 (4 мес. из 16) </w:t>
      </w:r>
    </w:p>
    <w:p>
      <w:pPr>
        <w:pStyle w:val="Normal"/>
        <w:tabs>
          <w:tab w:val="clear" w:pos="709"/>
          <w:tab w:val="left" w:pos="1134" w:leader="none"/>
        </w:tabs>
        <w:ind w:firstLine="567" w:left="720" w:right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Доля сметной стоимости в 2025 году - 0,75 (12 мес. из 16).</w:t>
      </w:r>
    </w:p>
    <w:p>
      <w:pPr>
        <w:pStyle w:val="Normal"/>
        <w:tabs>
          <w:tab w:val="clear" w:pos="709"/>
          <w:tab w:val="left" w:pos="1134" w:leader="none"/>
        </w:tabs>
        <w:ind w:firstLine="567" w:left="720" w:right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Годовой индекс инфляции по данным Министерства экономического развития (письмо от __.__.20__г №_____ «__________________»): </w:t>
      </w:r>
    </w:p>
    <w:p>
      <w:pPr>
        <w:pStyle w:val="Normal"/>
        <w:tabs>
          <w:tab w:val="clear" w:pos="709"/>
          <w:tab w:val="left" w:pos="1134" w:leader="none"/>
        </w:tabs>
        <w:ind w:firstLine="567" w:left="720" w:right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на 2024г. - 114,6%, </w:t>
      </w:r>
    </w:p>
    <w:p>
      <w:pPr>
        <w:pStyle w:val="Normal"/>
        <w:tabs>
          <w:tab w:val="clear" w:pos="709"/>
          <w:tab w:val="left" w:pos="1134" w:leader="none"/>
        </w:tabs>
        <w:ind w:firstLine="567" w:left="720" w:right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на 2025г. – 107,0%:</w:t>
      </w:r>
    </w:p>
    <w:p>
      <w:pPr>
        <w:pStyle w:val="Normal"/>
        <w:tabs>
          <w:tab w:val="clear" w:pos="709"/>
          <w:tab w:val="left" w:pos="1134" w:leader="none"/>
        </w:tabs>
        <w:ind w:firstLine="567" w:left="720" w:right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Ежемесячный индекс-инфляции:</w:t>
      </w:r>
    </w:p>
    <w:p>
      <w:pPr>
        <w:pStyle w:val="ConsPlusNormal1"/>
        <w:tabs>
          <w:tab w:val="clear" w:pos="709"/>
          <w:tab w:val="left" w:pos="1134" w:leader="none"/>
        </w:tabs>
        <w:jc w:val="both"/>
        <w:rPr>
          <w:rFonts w:ascii="Times New Roman" w:hAnsi="Times New Roman"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2303780" cy="228600"/>
                <wp:effectExtent l="0" t="0" r="0" b="0"/>
                <wp:docPr id="1" name="Text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3640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="0" w:after="0"/>
                              <w:rPr/>
                            </w:pPr>
                            <w:r>
                              <w:rPr/>
                            </w:r>
                            <m:oMath xmlns:m="http://schemas.openxmlformats.org/officeDocument/2006/math">
                              <m:r>
                                <w:rPr>
                                  <w:rFonts w:ascii="Cambria Math" w:hAnsi="Cambria Math"/>
                                </w:rPr>
                                <m:t xml:space="preserve">И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инф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мес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2024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=</m:t>
                              </m:r>
                              <m:rad>
                                <m:deg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12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1.146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/>
                                </w:rPr>
                                <m:t xml:space="preserve">=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1,0114</m:t>
                              </m:r>
                            </m:oMath>
                            <w:r>
                              <w:rPr>
                                <w:iCs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,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3" path="m0,0l-2147483645,0l-2147483645,-2147483646l0,-2147483646xe" stroked="f" o:allowincell="f" style="position:absolute;margin-left:0pt;margin-top:-18.05pt;width:181.35pt;height:17.95pt;mso-wrap-style:square;v-text-anchor:top;mso-position-vertical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spacing w:before="0" w:after="0"/>
                        <w:rPr/>
                      </w:pPr>
                      <w:r>
                        <w:rPr/>
                      </w:r>
                      <m:oMath xmlns:m="http://schemas.openxmlformats.org/officeDocument/2006/math">
                        <m:r>
                          <w:rPr>
                            <w:rFonts w:ascii="Cambria Math" w:hAnsi="Cambria Math"/>
                          </w:rPr>
                          <m:t xml:space="preserve">И</m:t>
                        </m:r>
                        <m:r>
                          <w:rPr>
                            <w:rFonts w:ascii="Cambria Math" w:hAnsi="Cambria Math"/>
                          </w:rPr>
                          <m:t xml:space="preserve">инф</m:t>
                        </m:r>
                        <m:r>
                          <w:rPr>
                            <w:rFonts w:ascii="Cambria Math" w:hAnsi="Cambria Math"/>
                          </w:rPr>
                          <m:t xml:space="preserve">мес</m:t>
                        </m:r>
                        <m:r>
                          <w:rPr>
                            <w:rFonts w:ascii="Cambria Math" w:hAnsi="Cambria Math"/>
                          </w:rPr>
                          <m:t xml:space="preserve">2024</m:t>
                        </m:r>
                        <m:r>
                          <w:rPr>
                            <w:rFonts w:ascii="Cambria Math" w:hAnsi="Cambria Math"/>
                          </w:rPr>
                          <m:t xml:space="preserve">=</m:t>
                        </m:r>
                        <m:rad>
                          <m:deg>
                            <m:r>
                              <w:rPr>
                                <w:rFonts w:ascii="Cambria Math" w:hAnsi="Cambria Math"/>
                              </w:rPr>
                              <m:t xml:space="preserve">12</m:t>
                            </m:r>
                          </m:deg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1.146</m:t>
                            </m:r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 xml:space="preserve">=</m:t>
                        </m:r>
                        <m:r>
                          <w:rPr>
                            <w:rFonts w:ascii="Cambria Math" w:hAnsi="Cambria Math"/>
                          </w:rPr>
                          <m:t xml:space="preserve">1,0114</m:t>
                        </m:r>
                      </m:oMath>
                      <w:r>
                        <w:rPr>
                          <w:iCs/>
                          <w:color w:val="000000"/>
                        </w:rPr>
                        <w:t xml:space="preserve"> </w:t>
                      </w:r>
                      <w:r>
                        <w:rPr>
                          <w:iCs/>
                          <w:color w:val="000000"/>
                          <w:sz w:val="28"/>
                          <w:szCs w:val="28"/>
                        </w:rPr>
                        <w:t xml:space="preserve">,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Web"/>
        <w:spacing w:before="0" w:after="0"/>
        <w:contextualSpacing/>
        <w:rPr>
          <w:rFonts w:ascii="Times New Roman" w:hAnsi="Times New Roman"/>
          <w:sz w:val="22"/>
          <w:szCs w:val="22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И</m:t>
        </m:r>
        <m:r>
          <w:rPr>
            <w:rFonts w:ascii="Cambria Math" w:hAnsi="Cambria Math"/>
          </w:rPr>
          <m:t xml:space="preserve">инф</m:t>
        </m:r>
        <m:r>
          <w:rPr>
            <w:rFonts w:ascii="Cambria Math" w:hAnsi="Cambria Math"/>
          </w:rPr>
          <m:t xml:space="preserve">мес</m:t>
        </m:r>
        <m:r>
          <w:rPr>
            <w:rFonts w:ascii="Cambria Math" w:hAnsi="Cambria Math"/>
          </w:rPr>
          <m:t xml:space="preserve">2025</m:t>
        </m:r>
        <m:r>
          <w:rPr>
            <w:rFonts w:ascii="Cambria Math" w:hAnsi="Cambria Math"/>
          </w:rPr>
          <m:t xml:space="preserve">=</m:t>
        </m:r>
        <m:rad>
          <m:deg>
            <m:r>
              <w:rPr>
                <w:rFonts w:ascii="Cambria Math" w:hAnsi="Cambria Math"/>
              </w:rPr>
              <m:t xml:space="preserve">12</m:t>
            </m:r>
          </m:deg>
          <m:e>
            <m:r>
              <w:rPr>
                <w:rFonts w:ascii="Cambria Math" w:hAnsi="Cambria Math"/>
              </w:rPr>
              <m:t xml:space="preserve">1.07</m:t>
            </m:r>
          </m:e>
        </m:rad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1,0057</m:t>
        </m:r>
      </m:oMath>
      <w:r>
        <w:rPr>
          <w:rFonts w:ascii="Times New Roman" w:hAnsi="Times New Roman"/>
          <w:iCs/>
          <w:color w:val="000000"/>
          <w:sz w:val="22"/>
          <w:szCs w:val="22"/>
        </w:rPr>
        <w:t xml:space="preserve">, </w:t>
      </w:r>
    </w:p>
    <w:p>
      <w:pPr>
        <w:pStyle w:val="ConsPlusNormal1"/>
        <w:widowControl/>
        <w:tabs>
          <w:tab w:val="clear" w:pos="709"/>
          <w:tab w:val="left" w:pos="1134" w:leader="none"/>
        </w:tabs>
        <w:spacing w:before="0" w:after="40"/>
        <w:ind w:firstLine="567" w:left="720" w:right="0"/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Индекс-инфляции на период исполнения договора</w:t>
      </w:r>
    </w:p>
    <w:p>
      <w:pPr>
        <w:pStyle w:val="Normal"/>
        <w:tabs>
          <w:tab w:val="clear" w:pos="709"/>
          <w:tab w:val="left" w:pos="0" w:leader="none"/>
        </w:tabs>
        <w:rPr>
          <w:rFonts w:ascii="Times New Roman" w:hAnsi="Times New Roman"/>
          <w:i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41910</wp:posOffset>
                </wp:positionH>
                <wp:positionV relativeFrom="paragraph">
                  <wp:posOffset>8890</wp:posOffset>
                </wp:positionV>
                <wp:extent cx="3253740" cy="403860"/>
                <wp:effectExtent l="0" t="0" r="0" b="0"/>
                <wp:wrapNone/>
                <wp:docPr id="3" name="Text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680" cy="403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="0" w:after="0"/>
                              <w:ind w:hanging="0" w:left="-567" w:right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  <m:oMathPara xmlns:m="http://schemas.openxmlformats.org/officeDocument/2006/math">
                              <m:oMathParaPr>
                                <m:jc m:val="center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И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инфл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пер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2024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=</m:t>
                                </m:r>
                                <m:d>
                                  <m:dPr>
                                    <m:begChr m:val="("/>
                                    <m:endChr m:val=")"/>
                                  </m:dPr>
                                  <m:e>
                                    <m:f>
                                      <m:num>
                                        <m:sSup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 xml:space="preserve">1,0114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 xml:space="preserve">3</m:t>
                                            </m:r>
                                          </m:sup>
                                        </m:s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−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2</m:t>
                                        </m:r>
                                      </m:den>
                                    </m:f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 xml:space="preserve">+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1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=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1,0173</m:t>
                                </m:r>
                              </m:oMath>
                            </m:oMathPara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4" path="m0,0l-2147483645,0l-2147483645,-2147483646l0,-2147483646xe" stroked="f" o:allowincell="f" style="position:absolute;margin-left:3.3pt;margin-top:0.7pt;width:256.15pt;height:31.7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spacing w:before="0" w:after="0"/>
                        <w:ind w:hanging="0" w:left="-567" w:right="0"/>
                        <w:jc w:val="center"/>
                        <w:rPr>
                          <w:color w:val="000000"/>
                        </w:rPr>
                      </w:pPr>
                      <w:r>
                        <w:rPr/>
                      </w:r>
                      <m:oMathPara xmlns:m="http://schemas.openxmlformats.org/officeDocument/2006/math">
                        <m:oMathParaPr>
                          <m:jc m:val="center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И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инфл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пер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2024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=</m:t>
                          </m:r>
                          <m:d>
                            <m:dPr>
                              <m:begChr m:val="("/>
                              <m:endChr m:val=")"/>
                            </m:dPr>
                            <m:e>
                              <m:f>
                                <m:num>
                                  <m:sSup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1,0114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3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−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2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 xml:space="preserve">+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1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=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1,0173</m:t>
                          </m:r>
                        </m:oMath>
                      </m:oMathPara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ConsPlusNormal1"/>
        <w:widowControl/>
        <w:tabs>
          <w:tab w:val="clear" w:pos="709"/>
          <w:tab w:val="left" w:pos="0" w:leader="none"/>
        </w:tabs>
        <w:spacing w:before="0" w:after="40"/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1134" w:leader="none"/>
        </w:tabs>
        <w:ind w:firstLine="567" w:left="720" w:right="0"/>
        <w:rPr>
          <w:rFonts w:ascii="Times New Roman" w:hAnsi="Times New Roman"/>
          <w:i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3680460" cy="373380"/>
                <wp:effectExtent l="0" t="0" r="0" b="0"/>
                <wp:wrapNone/>
                <wp:docPr id="5" name="Text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0640" cy="373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  <m:oMathPara xmlns:m="http://schemas.openxmlformats.org/officeDocument/2006/math">
                              <m:oMathParaPr>
                                <m:jc m:val="center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И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инфл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пер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2025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=</m:t>
                                </m:r>
                                <m:sSup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1,0114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3</m:t>
                                    </m:r>
                                  </m:sup>
                                </m:sSup>
                                <m:d>
                                  <m:dPr>
                                    <m:begChr m:val="("/>
                                    <m:endChr m:val=")"/>
                                  </m:dPr>
                                  <m:e>
                                    <m:f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1,0057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+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1,07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2</m:t>
                                        </m:r>
                                      </m:den>
                                    </m:f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 xml:space="preserve">=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1,0738</m:t>
                                </m:r>
                              </m:oMath>
                            </m:oMathPara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" path="m0,0l-2147483645,0l-2147483645,-2147483646l0,-2147483646xe" stroked="f" o:allowincell="f" style="position:absolute;margin-left:0pt;margin-top:0.45pt;width:289.75pt;height:29.35pt;mso-wrap-style:none;v-text-anchor:middle;mso-position-horizontal:left;mso-position-horizontal-relative:margin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spacing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/>
                      </w:r>
                      <m:oMathPara xmlns:m="http://schemas.openxmlformats.org/officeDocument/2006/math">
                        <m:oMathParaPr>
                          <m:jc m:val="center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И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инфл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пер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2025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=</m:t>
                          </m:r>
                          <m:sSup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 xml:space="preserve">1,0114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 xml:space="preserve">3</m:t>
                              </m:r>
                            </m:sup>
                          </m:sSup>
                          <m:d>
                            <m:dPr>
                              <m:begChr m:val="("/>
                              <m:endChr m:val=")"/>
                            </m:dPr>
                            <m:e>
                              <m:f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1,0057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+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1,07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2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 xml:space="preserve">=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1,0738</m:t>
                          </m:r>
                        </m:oMath>
                      </m:oMathPara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709"/>
          <w:tab w:val="left" w:pos="1134" w:leader="none"/>
        </w:tabs>
        <w:ind w:firstLine="567" w:left="720" w:right="0"/>
        <w:rPr>
          <w:rFonts w:ascii="Times New Roman" w:hAnsi="Times New Roman"/>
          <w:i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</w:r>
    </w:p>
    <w:p>
      <w:pPr>
        <w:pStyle w:val="Normal"/>
        <w:tabs>
          <w:tab w:val="clear" w:pos="709"/>
          <w:tab w:val="left" w:pos="1134" w:leader="none"/>
        </w:tabs>
        <w:ind w:firstLine="567" w:left="720" w:right="0"/>
        <w:rPr>
          <w:rFonts w:ascii="Times New Roman" w:hAnsi="Times New Roman"/>
          <w:i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</w:r>
    </w:p>
    <w:p>
      <w:pPr>
        <w:pStyle w:val="Normal"/>
        <w:tabs>
          <w:tab w:val="clear" w:pos="709"/>
          <w:tab w:val="left" w:pos="1134" w:leader="none"/>
        </w:tabs>
        <w:ind w:firstLine="567" w:left="720" w:right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Итого индекс-инфляции на 2024-2025гг. 0,25*1,0173+0,75*1,0738=1,0597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/>
        <w:drawing>
          <wp:inline distT="0" distB="0" distL="0" distR="0">
            <wp:extent cx="5930900" cy="3149600"/>
            <wp:effectExtent l="0" t="0" r="0" b="0"/>
            <wp:docPr id="7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0" t="8380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eastAsia="Calibri" w:cs="Book Antiqua" w:ascii="Times New Roman" w:hAnsi="Times New Roman"/>
          <w:sz w:val="22"/>
          <w:szCs w:val="22"/>
          <w:lang w:eastAsia="en-US"/>
        </w:rPr>
        <w:tab/>
        <w:t>Если договором предусмотрен график выполнения работ с разбивкой на этапы</w:t>
      </w:r>
      <w:r>
        <w:rPr>
          <w:rFonts w:cs="Book Antiqua" w:ascii="Times New Roman" w:hAnsi="Times New Roman"/>
          <w:sz w:val="22"/>
          <w:szCs w:val="22"/>
        </w:rPr>
        <w:t>, индекс-дефлятор рассчитывается индивидуально для каждого этапа в соответствии с формулой 2 (аналогично примеру расчета единого индекса-дефлятора к договору).</w:t>
      </w:r>
    </w:p>
    <w:p>
      <w:pPr>
        <w:pStyle w:val="Dt-p"/>
        <w:shd w:val="clear" w:fill="FFFFFF"/>
        <w:spacing w:before="0" w:after="0"/>
        <w:ind w:firstLine="567" w:left="720" w:right="0"/>
        <w:contextualSpacing/>
        <w:jc w:val="center"/>
        <w:textAlignment w:val="baseline"/>
        <w:rPr>
          <w:b/>
          <w:color w:val="000000"/>
        </w:rPr>
      </w:pPr>
      <w:r>
        <w:rPr>
          <w:b/>
          <w:color w:val="000000"/>
        </w:rPr>
      </w:r>
    </w:p>
    <w:p>
      <w:pPr>
        <w:pStyle w:val="Dt-p"/>
        <w:shd w:val="clear" w:fill="FFFFFF"/>
        <w:spacing w:before="0" w:after="0"/>
        <w:ind w:firstLine="567" w:left="720" w:right="0"/>
        <w:contextualSpacing/>
        <w:jc w:val="center"/>
        <w:textAlignment w:val="baseline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Пример расчета индекса фактической инфляции</w:t>
      </w:r>
    </w:p>
    <w:p>
      <w:pPr>
        <w:pStyle w:val="Dt-p"/>
        <w:shd w:val="clear" w:fill="FFFFFF"/>
        <w:spacing w:before="0" w:after="0"/>
        <w:ind w:firstLine="567" w:left="720" w:right="0"/>
        <w:contextualSpacing/>
        <w:jc w:val="center"/>
        <w:textAlignment w:val="baseline"/>
        <w:rPr>
          <w:b/>
          <w:color w:val="000000"/>
        </w:rPr>
      </w:pPr>
      <w:r>
        <w:rPr>
          <w:b/>
          <w:color w:val="000000"/>
        </w:rPr>
      </w:r>
    </w:p>
    <w:p>
      <w:pPr>
        <w:pStyle w:val="Dt-p"/>
        <w:widowControl/>
        <w:shd w:val="clear" w:fill="FFFFFF"/>
        <w:suppressAutoHyphens w:val="true"/>
        <w:bidi w:val="0"/>
        <w:spacing w:lineRule="auto" w:line="276" w:before="0" w:after="0"/>
        <w:ind w:firstLine="567" w:left="0" w:right="0"/>
        <w:contextualSpacing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 соответствии с условиями Договора начало строительства – декабрь 2023г, окончание май 2024 г. Продолжительность реконструкции / строительства составляет–6 месяцев. Уровень цен – </w:t>
      </w:r>
      <w:r>
        <w:rPr>
          <w:rFonts w:ascii="Times New Roman" w:hAnsi="Times New Roman"/>
          <w:iCs/>
          <w:sz w:val="22"/>
          <w:szCs w:val="22"/>
          <w:u w:val="single"/>
        </w:rPr>
        <w:t>3 квартал 2022</w:t>
      </w:r>
      <w:r>
        <w:rPr>
          <w:rFonts w:ascii="Times New Roman" w:hAnsi="Times New Roman"/>
          <w:iCs/>
          <w:sz w:val="22"/>
          <w:szCs w:val="22"/>
        </w:rPr>
        <w:t xml:space="preserve"> г. Сметная документация составлена с применением СНБ – ГЭСН-2020, ФЕР-2020 (с изм 1-7). </w:t>
      </w:r>
    </w:p>
    <w:p>
      <w:pPr>
        <w:pStyle w:val="Dt-p"/>
        <w:widowControl/>
        <w:shd w:val="clear" w:fill="FFFFFF"/>
        <w:suppressAutoHyphens w:val="true"/>
        <w:bidi w:val="0"/>
        <w:spacing w:lineRule="auto" w:line="276" w:before="0" w:after="0"/>
        <w:ind w:firstLine="567" w:left="0" w:right="0"/>
        <w:contextualSpacing/>
        <w:jc w:val="both"/>
        <w:textAlignment w:val="baseline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Т.к. сметная документация разработана с применением СНБ не действующей на дату определения ПЦ, то расчет сметной стоимости работ в уровень цен на дату определения ПЦ осуществляется с использованием индекса фактической инфляции.</w:t>
      </w:r>
    </w:p>
    <w:p>
      <w:pPr>
        <w:pStyle w:val="Dt-p"/>
        <w:widowControl/>
        <w:shd w:val="clear" w:fill="FFFFFF"/>
        <w:suppressAutoHyphens w:val="true"/>
        <w:bidi w:val="0"/>
        <w:spacing w:lineRule="auto" w:line="276" w:before="0" w:after="0"/>
        <w:ind w:firstLine="567" w:left="0" w:right="0"/>
        <w:contextualSpacing/>
        <w:jc w:val="both"/>
        <w:textAlignment w:val="baseline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Normal"/>
        <w:spacing w:before="0" w:after="200"/>
        <w:rPr/>
      </w:pPr>
      <w:r>
        <w:rPr/>
        <w:drawing>
          <wp:inline distT="0" distB="0" distL="0" distR="0">
            <wp:extent cx="5931535" cy="4460875"/>
            <wp:effectExtent l="0" t="0" r="0" b="0"/>
            <wp:docPr id="8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object>
          <v:shapetype id="_x0000_tole_rId19" coordsize="21600,21600" o:spt="ole_rId19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9" type="_x0000_tole_rId19" style="width:77pt;height:49.4pt;mso-wrap-distance-right:0pt;mso-wrap-distance-bottom:10pt" filled="f" o:ole="">
            <v:imagedata r:id="rId20" o:title=""/>
          </v:shape>
          <o:OLEObject Type="Embed" ProgID="Excel.Sheet.12" ShapeID="ole_rId19" DrawAspect="Icon" ObjectID="_1452010245" r:id="rId19"/>
        </w:objec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sectPr>
      <w:footerReference w:type="default" r:id="rId21"/>
      <w:footerReference w:type="first" r:id="rId22"/>
      <w:footnotePr>
        <w:numFmt w:val="decimal"/>
        <w:numRestart w:val="eachSect"/>
      </w:footnotePr>
      <w:type w:val="nextPage"/>
      <w:pgSz w:w="11906" w:h="16838"/>
      <w:pgMar w:left="924" w:right="877" w:gutter="0" w:header="0" w:top="709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Book Antiqua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64495337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75398548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  <w:p>
        <w:pPr>
          <w:pStyle w:val="Footer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5199374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10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  <w:p>
        <w:pPr>
          <w:pStyle w:val="Footer"/>
          <w:rPr/>
        </w:pPr>
        <w:r>
          <w:rPr/>
        </w:r>
      </w:p>
    </w:sdtContent>
  </w:sdt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97904313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12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15</w:t>
    </w:r>
    <w:r>
      <w:rPr/>
      <w:fldChar w:fldCharType="end"/>
    </w:r>
  </w:p>
  <w:p>
    <w:pPr>
      <w:pStyle w:val="Footer"/>
      <w:rPr/>
    </w:pPr>
    <w:r>
      <w:rPr/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17</w:t>
    </w:r>
    <w:r>
      <w:rPr/>
      <w:fldChar w:fldCharType="end"/>
    </w:r>
  </w:p>
  <w:p>
    <w:pPr>
      <w:pStyle w:val="Footer"/>
      <w:rPr/>
    </w:pPr>
    <w:r>
      <w:rPr/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21</w:t>
    </w:r>
    <w:r>
      <w:rPr/>
      <w:fldChar w:fldCharType="end"/>
    </w:r>
  </w:p>
  <w:p>
    <w:pPr>
      <w:pStyle w:val="Footer"/>
      <w:rPr/>
    </w:pPr>
    <w:r>
      <w:rPr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Style3"/>
        </w:rPr>
        <w:footnoteRef/>
      </w:r>
      <w:r>
        <w:rPr/>
      </w:r>
    </w:p>
  </w:footnote>
  <w:footnote w:id="3">
    <w:p>
      <w:pPr>
        <w:pStyle w:val="FootnoteText"/>
        <w:rPr/>
      </w:pPr>
      <w:r>
        <w:rPr>
          <w:rStyle w:val="Style3"/>
        </w:rPr>
        <w:footnoteRef/>
      </w:r>
      <w:r>
        <w:rPr/>
      </w:r>
    </w:p>
  </w:footnote>
  <w:footnote w:id="4">
    <w:p>
      <w:pPr>
        <w:pStyle w:val="FootnoteText"/>
        <w:rPr/>
      </w:pPr>
      <w:r>
        <w:rPr>
          <w:rStyle w:val="Style3"/>
        </w:rPr>
        <w:footnoteRef/>
      </w:r>
      <w:r>
        <w:rPr/>
        <w:t xml:space="preserve"> </w:t>
      </w:r>
      <w:r>
        <w:rPr/>
        <w:t>Если в организации функции главного бухгалтера выполняет генеральный директор–ставится только его виза.</w:t>
      </w:r>
    </w:p>
    <w:p>
      <w:pPr>
        <w:pStyle w:val="FootnoteText"/>
        <w:rPr/>
      </w:pPr>
      <w:r>
        <w:rPr/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/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/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/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i w:val="false"/>
        <w:rFonts w:ascii="Garamond" w:hAnsi="Garamond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center"/>
      <w:pPr>
        <w:tabs>
          <w:tab w:val="num" w:pos="1272"/>
        </w:tabs>
        <w:ind w:left="1272" w:hanging="279"/>
      </w:pPr>
      <w:rPr>
        <w:sz w:val="22"/>
        <w:i w:val="false"/>
        <w:u w:val="none"/>
        <w:b w:val="false"/>
        <w:szCs w:val="22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u w:val="none"/>
        <w:b w:val="fals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Symbo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rFonts w:cs="Courier New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>
        <w:rFonts w:cs="Wingding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>
        <w:rFonts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Courier New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>
        <w:rFonts w:cs="Wingding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>
        <w:rFonts w:cs="Symbo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>
        <w:rFonts w:cs="Courier New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>
        <w:rFonts w:cs="Wingdings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13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1069" w:hanging="360"/>
        </w:pPr>
        <w:rPr>
          <w:rFonts w:cs="Symbol"/>
        </w:rPr>
      </w:lvl>
      <w:startOverride w:val="1"/>
    </w:lvlOverride>
    <w:lvlOverride w:ilvl="0">
      <w:startOverride w:val="1"/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0"/>
          </w:tabs>
          <w:ind w:left="1146" w:hanging="360"/>
        </w:pPr>
        <w:rPr>
          <w:rFonts w:cs="Courier New"/>
        </w:rPr>
      </w:lvl>
    </w:lvlOverride>
    <w:lvlOverride w:ilvl="1">
      <w:startOverride w:val="1"/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0"/>
          </w:tabs>
          <w:ind w:left="1724" w:hanging="720"/>
        </w:pPr>
        <w:rPr>
          <w:rFonts w:cs="Wingdings"/>
        </w:rPr>
      </w:lvl>
    </w:lvlOverride>
    <w:lvlOverride w:ilvl="2">
      <w:startOverride w:val="1"/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0"/>
          </w:tabs>
          <w:ind w:left="1942" w:hanging="720"/>
        </w:pPr>
        <w:rPr>
          <w:rFonts w:cs="Symbol"/>
        </w:rPr>
      </w:lvl>
    </w:lvlOverride>
    <w:lvlOverride w:ilvl="3">
      <w:startOverride w:val="1"/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0"/>
          </w:tabs>
          <w:ind w:left="2520" w:hanging="1080"/>
        </w:pPr>
        <w:rPr>
          <w:rFonts w:cs="Courier New"/>
        </w:rPr>
      </w:lvl>
    </w:lvlOverride>
    <w:lvlOverride w:ilvl="4">
      <w:startOverride w:val="1"/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0"/>
          </w:tabs>
          <w:ind w:left="2738" w:hanging="1080"/>
        </w:pPr>
        <w:rPr>
          <w:rFonts w:cs="Wingdings"/>
        </w:rPr>
      </w:lvl>
    </w:lvlOverride>
    <w:lvlOverride w:ilvl="5">
      <w:startOverride w:val="1"/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0"/>
          </w:tabs>
          <w:ind w:left="3316" w:hanging="1440"/>
        </w:pPr>
        <w:rPr>
          <w:rFonts w:cs="Symbol"/>
        </w:rPr>
      </w:lvl>
    </w:lvlOverride>
    <w:lvlOverride w:ilvl="6">
      <w:startOverride w:val="1"/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0"/>
          </w:tabs>
          <w:ind w:left="3534" w:hanging="1440"/>
        </w:pPr>
        <w:rPr>
          <w:rFonts w:cs="Courier New"/>
        </w:rPr>
      </w:lvl>
    </w:lvlOverride>
    <w:lvlOverride w:ilvl="7">
      <w:startOverride w:val="1"/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0"/>
          </w:tabs>
          <w:ind w:left="3752" w:hanging="1440"/>
        </w:pPr>
        <w:rPr>
          <w:rFonts w:cs="Wingdings"/>
        </w:rPr>
      </w:lvl>
    </w:lvlOverride>
  </w:num>
  <w:num w:numId="20">
    <w:abstractNumId w:val="9"/>
    <w:lvlOverride w:ilvl="0">
      <w:lvl w:ilvl="0">
        <w:start w:val="1"/>
        <w:numFmt w:val="bullet"/>
        <w:lvlText w:val=""/>
        <w:lvlJc w:val="left"/>
        <w:pPr>
          <w:tabs>
            <w:tab w:val="num" w:pos="0"/>
          </w:tabs>
          <w:ind w:left="1320" w:hanging="360"/>
        </w:pPr>
        <w:rPr>
          <w:rFonts w:ascii="Symbol" w:hAnsi="Symbol" w:cs="Symbol" w:hint="default"/>
        </w:rPr>
      </w:lvl>
      <w:startOverride w:val="1"/>
    </w:lvlOverride>
    <w:lvlOverride w:ilvl="0">
      <w:startOverride w:val="1"/>
    </w:lvlOverride>
    <w:lvlOverride w:ilvl="1">
      <w:lvl w:ilvl="1">
        <w:start w:val="1"/>
        <w:numFmt w:val="bullet"/>
        <w:lvlText w:val="o"/>
        <w:lvlJc w:val="left"/>
        <w:pPr>
          <w:tabs>
            <w:tab w:val="num" w:pos="0"/>
          </w:tabs>
          <w:ind w:left="2040" w:hanging="360"/>
        </w:pPr>
        <w:rPr>
          <w:rFonts w:ascii="Courier New" w:hAnsi="Courier New" w:cs="Courier New" w:hint="default"/>
        </w:rPr>
      </w:lvl>
    </w:lvlOverride>
    <w:lvlOverride w:ilvl="1">
      <w:startOverride w:val="1"/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0"/>
          </w:tabs>
          <w:ind w:left="2760" w:hanging="360"/>
        </w:pPr>
        <w:rPr>
          <w:rFonts w:ascii="Wingdings" w:hAnsi="Wingdings" w:cs="Wingdings" w:hint="default"/>
        </w:rPr>
      </w:lvl>
    </w:lvlOverride>
    <w:lvlOverride w:ilvl="2">
      <w:startOverride w:val="1"/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0"/>
          </w:tabs>
          <w:ind w:left="3480" w:hanging="360"/>
        </w:pPr>
        <w:rPr>
          <w:rFonts w:ascii="Symbol" w:hAnsi="Symbol" w:cs="Symbol" w:hint="default"/>
        </w:rPr>
      </w:lvl>
    </w:lvlOverride>
    <w:lvlOverride w:ilvl="3">
      <w:startOverride w:val="1"/>
    </w:lvlOverride>
    <w:lvlOverride w:ilvl="4">
      <w:lvl w:ilvl="4">
        <w:start w:val="1"/>
        <w:numFmt w:val="bullet"/>
        <w:lvlText w:val="o"/>
        <w:lvlJc w:val="left"/>
        <w:pPr>
          <w:tabs>
            <w:tab w:val="num" w:pos="0"/>
          </w:tabs>
          <w:ind w:left="4200" w:hanging="360"/>
        </w:pPr>
        <w:rPr>
          <w:rFonts w:ascii="Courier New" w:hAnsi="Courier New" w:cs="Courier New" w:hint="default"/>
        </w:rPr>
      </w:lvl>
    </w:lvlOverride>
    <w:lvlOverride w:ilvl="4">
      <w:startOverride w:val="1"/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0"/>
          </w:tabs>
          <w:ind w:left="4920" w:hanging="360"/>
        </w:pPr>
        <w:rPr>
          <w:rFonts w:ascii="Wingdings" w:hAnsi="Wingdings" w:cs="Wingdings" w:hint="default"/>
        </w:rPr>
      </w:lvl>
    </w:lvlOverride>
    <w:lvlOverride w:ilvl="5">
      <w:startOverride w:val="1"/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0"/>
          </w:tabs>
          <w:ind w:left="5640" w:hanging="360"/>
        </w:pPr>
        <w:rPr>
          <w:rFonts w:ascii="Symbol" w:hAnsi="Symbol" w:cs="Symbol" w:hint="default"/>
        </w:rPr>
      </w:lvl>
    </w:lvlOverride>
    <w:lvlOverride w:ilvl="6">
      <w:startOverride w:val="1"/>
    </w:lvlOverride>
    <w:lvlOverride w:ilvl="7">
      <w:lvl w:ilvl="7">
        <w:start w:val="1"/>
        <w:numFmt w:val="bullet"/>
        <w:lvlText w:val="o"/>
        <w:lvlJc w:val="left"/>
        <w:pPr>
          <w:tabs>
            <w:tab w:val="num" w:pos="0"/>
          </w:tabs>
          <w:ind w:left="6360" w:hanging="360"/>
        </w:pPr>
        <w:rPr>
          <w:rFonts w:ascii="Courier New" w:hAnsi="Courier New" w:cs="Courier New" w:hint="default"/>
        </w:rPr>
      </w:lvl>
    </w:lvlOverride>
    <w:lvlOverride w:ilvl="7">
      <w:startOverride w:val="1"/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0"/>
          </w:tabs>
          <w:ind w:left="7080" w:hanging="360"/>
        </w:pPr>
        <w:rPr>
          <w:rFonts w:ascii="Wingdings" w:hAnsi="Wingdings" w:cs="Wingdings" w:hint="default"/>
        </w:rPr>
      </w:lvl>
    </w:lvlOverride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footnotePr>
    <w:numFmt w:val="decimal"/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1"/>
    <w:uiPriority w:val="9"/>
    <w:qFormat/>
    <w:rsid w:val="00bb18d9"/>
    <w:pPr>
      <w:keepNext w:val="true"/>
      <w:keepLines/>
      <w:spacing w:lineRule="auto" w:line="240"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4745f"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qFormat/>
    <w:rsid w:val="00bb18d9"/>
    <w:pPr>
      <w:keepNext w:val="true"/>
      <w:keepLines/>
      <w:spacing w:lineRule="auto" w:line="240"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bb18d9"/>
    <w:pPr>
      <w:keepNext w:val="true"/>
      <w:keepLines/>
      <w:spacing w:lineRule="auto" w:line="240"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bb18d9"/>
    <w:pPr>
      <w:keepNext w:val="true"/>
      <w:keepLines/>
      <w:spacing w:lineRule="auto" w:line="240" w:before="200" w:after="0"/>
      <w:outlineLvl w:val="4"/>
    </w:pPr>
    <w:rPr>
      <w:rFonts w:ascii="Cambria" w:hAnsi="Cambria"/>
      <w:color w:val="243F60"/>
      <w:sz w:val="20"/>
      <w:szCs w:val="20"/>
    </w:rPr>
  </w:style>
  <w:style w:type="paragraph" w:styleId="Heading6">
    <w:name w:val="Heading 6"/>
    <w:basedOn w:val="Normal"/>
    <w:next w:val="Normal"/>
    <w:link w:val="6"/>
    <w:uiPriority w:val="9"/>
    <w:qFormat/>
    <w:rsid w:val="00bb18d9"/>
    <w:pPr>
      <w:keepNext w:val="true"/>
      <w:keepLines/>
      <w:spacing w:lineRule="auto" w:line="240"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bb18d9"/>
    <w:pPr>
      <w:keepNext w:val="true"/>
      <w:keepLines/>
      <w:spacing w:lineRule="auto" w:line="240"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bb18d9"/>
    <w:pPr>
      <w:keepNext w:val="true"/>
      <w:keepLines/>
      <w:spacing w:lineRule="auto" w:line="240"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bb18d9"/>
    <w:pPr>
      <w:keepNext w:val="true"/>
      <w:keepLines/>
      <w:spacing w:lineRule="auto" w:line="240"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qFormat/>
    <w:rsid w:val="00cb04da"/>
    <w:rPr>
      <w:sz w:val="16"/>
      <w:szCs w:val="16"/>
    </w:rPr>
  </w:style>
  <w:style w:type="character" w:styleId="Style" w:customStyle="1">
    <w:name w:val="Текст примечания Знак"/>
    <w:link w:val="Annotationtext"/>
    <w:qFormat/>
    <w:rsid w:val="00cb04d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Текст выноски Знак"/>
    <w:link w:val="BalloonText"/>
    <w:uiPriority w:val="99"/>
    <w:semiHidden/>
    <w:qFormat/>
    <w:rsid w:val="00cb04da"/>
    <w:rPr>
      <w:rFonts w:ascii="Tahoma" w:hAnsi="Tahoma" w:cs="Tahoma"/>
      <w:sz w:val="16"/>
      <w:szCs w:val="16"/>
    </w:rPr>
  </w:style>
  <w:style w:type="character" w:styleId="2" w:customStyle="1">
    <w:name w:val="Заголовок 2 Знак"/>
    <w:uiPriority w:val="9"/>
    <w:qFormat/>
    <w:rsid w:val="00d4745f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Hyperlink">
    <w:name w:val="Hyperlink"/>
    <w:uiPriority w:val="99"/>
    <w:rsid w:val="00d4745f"/>
    <w:rPr>
      <w:color w:val="0000FF"/>
      <w:u w:val="single"/>
    </w:rPr>
  </w:style>
  <w:style w:type="character" w:styleId="Apple-style-span" w:customStyle="1">
    <w:name w:val="apple-style-span"/>
    <w:basedOn w:val="DefaultParagraphFont"/>
    <w:qFormat/>
    <w:rsid w:val="00b4339d"/>
    <w:rPr/>
  </w:style>
  <w:style w:type="character" w:styleId="Apple-converted-space" w:customStyle="1">
    <w:name w:val="apple-converted-space"/>
    <w:basedOn w:val="DefaultParagraphFont"/>
    <w:qFormat/>
    <w:rsid w:val="00b4339d"/>
    <w:rPr/>
  </w:style>
  <w:style w:type="character" w:styleId="Style2" w:customStyle="1">
    <w:name w:val="Текст сноски Знак"/>
    <w:uiPriority w:val="99"/>
    <w:qFormat/>
    <w:rsid w:val="0080406e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3" w:customStyle="1">
    <w:name w:val="Символ сноски"/>
    <w:uiPriority w:val="99"/>
    <w:unhideWhenUsed/>
    <w:qFormat/>
    <w:rsid w:val="0080406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Подпункт Знак1"/>
    <w:link w:val="Style23"/>
    <w:qFormat/>
    <w:locked/>
    <w:rsid w:val="00192f26"/>
    <w:rPr>
      <w:rFonts w:ascii="Times New Roman" w:hAnsi="Times New Roman"/>
      <w:b/>
      <w:sz w:val="28"/>
    </w:rPr>
  </w:style>
  <w:style w:type="character" w:styleId="Style4" w:customStyle="1">
    <w:name w:val="Верхний колонтитул Знак"/>
    <w:basedOn w:val="DefaultParagraphFont"/>
    <w:uiPriority w:val="99"/>
    <w:qFormat/>
    <w:rsid w:val="00ff6229"/>
    <w:rPr/>
  </w:style>
  <w:style w:type="character" w:styleId="Style5" w:customStyle="1">
    <w:name w:val="Нижний колонтитул Знак"/>
    <w:basedOn w:val="DefaultParagraphFont"/>
    <w:uiPriority w:val="99"/>
    <w:qFormat/>
    <w:rsid w:val="00ff6229"/>
    <w:rPr/>
  </w:style>
  <w:style w:type="character" w:styleId="Linenumber1" w:customStyle="1">
    <w:name w:val="line number1"/>
    <w:basedOn w:val="DefaultParagraphFont"/>
    <w:uiPriority w:val="99"/>
    <w:semiHidden/>
    <w:unhideWhenUsed/>
    <w:qFormat/>
    <w:rsid w:val="00ff6229"/>
    <w:rPr/>
  </w:style>
  <w:style w:type="character" w:styleId="Style6" w:customStyle="1">
    <w:name w:val="Схема документа Знак"/>
    <w:link w:val="DocumentMap"/>
    <w:uiPriority w:val="99"/>
    <w:semiHidden/>
    <w:qFormat/>
    <w:rsid w:val="0040689f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uiPriority w:val="9"/>
    <w:qFormat/>
    <w:rsid w:val="00bb18d9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3" w:customStyle="1">
    <w:name w:val="Заголовок 3 Знак"/>
    <w:uiPriority w:val="9"/>
    <w:qFormat/>
    <w:rsid w:val="00bb18d9"/>
    <w:rPr>
      <w:rFonts w:ascii="Cambria" w:hAnsi="Cambria" w:eastAsia="Times New Roman" w:cs="Times New Roman"/>
      <w:b/>
      <w:bCs/>
      <w:color w:val="4F81BD"/>
      <w:sz w:val="20"/>
      <w:szCs w:val="20"/>
    </w:rPr>
  </w:style>
  <w:style w:type="character" w:styleId="4" w:customStyle="1">
    <w:name w:val="Заголовок 4 Знак"/>
    <w:uiPriority w:val="9"/>
    <w:qFormat/>
    <w:rsid w:val="00bb18d9"/>
    <w:rPr>
      <w:rFonts w:ascii="Cambria" w:hAnsi="Cambria" w:eastAsia="Times New Roman" w:cs="Times New Roman"/>
      <w:b/>
      <w:bCs/>
      <w:i/>
      <w:iCs/>
      <w:color w:val="4F81BD"/>
      <w:sz w:val="20"/>
      <w:szCs w:val="20"/>
    </w:rPr>
  </w:style>
  <w:style w:type="character" w:styleId="5" w:customStyle="1">
    <w:name w:val="Заголовок 5 Знак"/>
    <w:uiPriority w:val="9"/>
    <w:qFormat/>
    <w:rsid w:val="00bb18d9"/>
    <w:rPr>
      <w:rFonts w:ascii="Cambria" w:hAnsi="Cambria" w:eastAsia="Times New Roman" w:cs="Times New Roman"/>
      <w:color w:val="243F60"/>
      <w:sz w:val="20"/>
      <w:szCs w:val="20"/>
    </w:rPr>
  </w:style>
  <w:style w:type="character" w:styleId="6" w:customStyle="1">
    <w:name w:val="Заголовок 6 Знак"/>
    <w:uiPriority w:val="9"/>
    <w:qFormat/>
    <w:rsid w:val="00bb18d9"/>
    <w:rPr>
      <w:rFonts w:ascii="Cambria" w:hAnsi="Cambria" w:eastAsia="Times New Roman" w:cs="Times New Roman"/>
      <w:i/>
      <w:iCs/>
      <w:color w:val="243F60"/>
      <w:sz w:val="20"/>
      <w:szCs w:val="20"/>
    </w:rPr>
  </w:style>
  <w:style w:type="character" w:styleId="7" w:customStyle="1">
    <w:name w:val="Заголовок 7 Знак"/>
    <w:uiPriority w:val="9"/>
    <w:qFormat/>
    <w:rsid w:val="00bb18d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styleId="8" w:customStyle="1">
    <w:name w:val="Заголовок 8 Знак"/>
    <w:uiPriority w:val="9"/>
    <w:qFormat/>
    <w:rsid w:val="00bb18d9"/>
    <w:rPr>
      <w:rFonts w:ascii="Cambria" w:hAnsi="Cambria" w:eastAsia="Times New Roman" w:cs="Times New Roman"/>
      <w:color w:val="4F81BD"/>
      <w:sz w:val="20"/>
      <w:szCs w:val="20"/>
    </w:rPr>
  </w:style>
  <w:style w:type="character" w:styleId="9" w:customStyle="1">
    <w:name w:val="Заголовок 9 Знак"/>
    <w:uiPriority w:val="9"/>
    <w:qFormat/>
    <w:rsid w:val="00bb18d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styleId="Style7" w:customStyle="1">
    <w:name w:val="Название Знак"/>
    <w:link w:val="15"/>
    <w:uiPriority w:val="10"/>
    <w:qFormat/>
    <w:rsid w:val="00bb18d9"/>
    <w:rPr>
      <w:rFonts w:ascii="Cambria" w:hAnsi="Cambria" w:eastAsia="Times New Roman" w:cs="Times New Roman"/>
      <w:color w:val="17365D"/>
      <w:spacing w:val="5"/>
      <w:kern w:val="2"/>
      <w:sz w:val="52"/>
      <w:szCs w:val="52"/>
    </w:rPr>
  </w:style>
  <w:style w:type="character" w:styleId="Style8" w:customStyle="1">
    <w:name w:val="Подзаголовок Знак"/>
    <w:uiPriority w:val="11"/>
    <w:qFormat/>
    <w:rsid w:val="00bb18d9"/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bb18d9"/>
    <w:rPr>
      <w:b/>
      <w:bCs/>
    </w:rPr>
  </w:style>
  <w:style w:type="character" w:styleId="Emphasis">
    <w:name w:val="Emphasis"/>
    <w:uiPriority w:val="20"/>
    <w:qFormat/>
    <w:rsid w:val="00bb18d9"/>
    <w:rPr>
      <w:i/>
      <w:iCs/>
    </w:rPr>
  </w:style>
  <w:style w:type="character" w:styleId="21" w:customStyle="1">
    <w:name w:val="Цитата 2 Знак"/>
    <w:link w:val="Quote"/>
    <w:uiPriority w:val="29"/>
    <w:qFormat/>
    <w:rsid w:val="00bb18d9"/>
    <w:rPr>
      <w:rFonts w:ascii="Calibri" w:hAnsi="Calibri" w:eastAsia="Calibri" w:cs="Times New Roman"/>
      <w:i/>
      <w:iCs/>
      <w:color w:val="000000"/>
      <w:sz w:val="20"/>
      <w:szCs w:val="20"/>
    </w:rPr>
  </w:style>
  <w:style w:type="character" w:styleId="Style9" w:customStyle="1">
    <w:name w:val="Выделенная цитата Знак"/>
    <w:link w:val="IntenseQuote"/>
    <w:uiPriority w:val="30"/>
    <w:qFormat/>
    <w:rsid w:val="00bb18d9"/>
    <w:rPr>
      <w:rFonts w:ascii="Calibri" w:hAnsi="Calibri" w:eastAsia="Calibri" w:cs="Times New Roman"/>
      <w:b/>
      <w:bCs/>
      <w:i/>
      <w:iCs/>
      <w:color w:val="4F81BD"/>
      <w:sz w:val="20"/>
      <w:szCs w:val="20"/>
    </w:rPr>
  </w:style>
  <w:style w:type="character" w:styleId="SubtleEmphasis">
    <w:name w:val="Subtle Emphasis"/>
    <w:uiPriority w:val="19"/>
    <w:qFormat/>
    <w:rsid w:val="00bb18d9"/>
    <w:rPr>
      <w:i/>
      <w:iCs/>
      <w:color w:val="808080"/>
    </w:rPr>
  </w:style>
  <w:style w:type="character" w:styleId="IntenseEmphasis">
    <w:name w:val="Intense Emphasis"/>
    <w:uiPriority w:val="21"/>
    <w:qFormat/>
    <w:rsid w:val="00bb18d9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bb18d9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bb18d9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bb18d9"/>
    <w:rPr>
      <w:b/>
      <w:bCs/>
      <w:smallCaps/>
      <w:spacing w:val="5"/>
    </w:rPr>
  </w:style>
  <w:style w:type="character" w:styleId="Style10" w:customStyle="1">
    <w:name w:val="Электронная подпись Знак"/>
    <w:link w:val="E-mailSignature"/>
    <w:uiPriority w:val="99"/>
    <w:semiHidden/>
    <w:qFormat/>
    <w:rsid w:val="00bb18d9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1" w:customStyle="1">
    <w:name w:val="Тема примечания Знак"/>
    <w:link w:val="Annotationsubject"/>
    <w:semiHidden/>
    <w:qFormat/>
    <w:rsid w:val="00bb18d9"/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character" w:styleId="Style12" w:customStyle="1">
    <w:name w:val="Основной текст с отступом Знак"/>
    <w:qFormat/>
    <w:rsid w:val="008757e8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FollowedHyperlink">
    <w:name w:val="FollowedHyperlink"/>
    <w:uiPriority w:val="99"/>
    <w:semiHidden/>
    <w:unhideWhenUsed/>
    <w:rsid w:val="00b211e3"/>
    <w:rPr>
      <w:color w:val="954F72"/>
      <w:u w:val="single"/>
    </w:rPr>
  </w:style>
  <w:style w:type="character" w:styleId="Style13" w:customStyle="1">
    <w:name w:val="Абзац списка Знак"/>
    <w:link w:val="ListParagraph"/>
    <w:uiPriority w:val="34"/>
    <w:qFormat/>
    <w:rsid w:val="00253374"/>
    <w:rPr>
      <w:sz w:val="22"/>
      <w:szCs w:val="22"/>
    </w:rPr>
  </w:style>
  <w:style w:type="character" w:styleId="61" w:customStyle="1">
    <w:name w:val="Основной текст (6)_"/>
    <w:basedOn w:val="DefaultParagraphFont"/>
    <w:link w:val="62"/>
    <w:qFormat/>
    <w:rsid w:val="00310980"/>
    <w:rPr>
      <w:rFonts w:ascii="Times New Roman" w:hAnsi="Times New Roman"/>
      <w:shd w:fill="FFFFFF" w:val="clear"/>
    </w:rPr>
  </w:style>
  <w:style w:type="character" w:styleId="Style14" w:customStyle="1">
    <w:name w:val="Колонтитул_"/>
    <w:basedOn w:val="DefaultParagraphFont"/>
    <w:link w:val="Style27"/>
    <w:qFormat/>
    <w:rsid w:val="006d08bc"/>
    <w:rPr>
      <w:rFonts w:ascii="Times New Roman" w:hAnsi="Times New Roman"/>
      <w:shd w:fill="FFFFFF" w:val="clear"/>
    </w:rPr>
  </w:style>
  <w:style w:type="character" w:styleId="Style15" w:customStyle="1">
    <w:name w:val="комментарий"/>
    <w:qFormat/>
    <w:rsid w:val="008d2ec1"/>
    <w:rPr>
      <w:b/>
      <w:i/>
      <w:shd w:fill="FFFF99" w:val="clear"/>
    </w:rPr>
  </w:style>
  <w:style w:type="character" w:styleId="ConsPlusNormal" w:customStyle="1">
    <w:name w:val="ConsPlusNormal Знак"/>
    <w:link w:val="ConsPlusNormal1"/>
    <w:qFormat/>
    <w:rsid w:val="00170c47"/>
    <w:rPr>
      <w:rFonts w:ascii="Arial" w:hAnsi="Arial" w:cs="Arial"/>
    </w:rPr>
  </w:style>
  <w:style w:type="character" w:styleId="12" w:customStyle="1">
    <w:name w:val="Абзац списка Знак1"/>
    <w:basedOn w:val="DefaultParagraphFont"/>
    <w:uiPriority w:val="34"/>
    <w:qFormat/>
    <w:rsid w:val="00a270f3"/>
    <w:rPr>
      <w:rFonts w:ascii="Calibri" w:hAnsi="Calibri"/>
      <w:sz w:val="22"/>
    </w:rPr>
  </w:style>
  <w:style w:type="character" w:styleId="Linenumber">
    <w:name w:val="line number"/>
    <w:qFormat/>
    <w:rPr/>
  </w:style>
  <w:style w:type="character" w:styleId="Style16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ListParagraph">
    <w:name w:val="List Paragraph"/>
    <w:basedOn w:val="Normal"/>
    <w:link w:val="Style13"/>
    <w:uiPriority w:val="34"/>
    <w:qFormat/>
    <w:rsid w:val="00141d91"/>
    <w:pPr>
      <w:spacing w:before="0" w:after="200"/>
      <w:ind w:hanging="0" w:left="720"/>
      <w:contextualSpacing/>
    </w:pPr>
    <w:rPr/>
  </w:style>
  <w:style w:type="paragraph" w:styleId="Annotationtext">
    <w:name w:val="annotation text"/>
    <w:basedOn w:val="Normal"/>
    <w:link w:val="Style"/>
    <w:qFormat/>
    <w:rsid w:val="00cb04d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Style1"/>
    <w:semiHidden/>
    <w:unhideWhenUsed/>
    <w:qFormat/>
    <w:rsid w:val="00cb04d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9" w:customStyle="1">
    <w:name w:val="Обычный+ без отступа"/>
    <w:basedOn w:val="Normal"/>
    <w:qFormat/>
    <w:rsid w:val="000a41f8"/>
    <w:pPr>
      <w:spacing w:lineRule="auto" w:line="360" w:before="120" w:after="0"/>
      <w:jc w:val="both"/>
    </w:pPr>
    <w:rPr>
      <w:rFonts w:ascii="Times New Roman" w:hAnsi="Times New Roman" w:eastAsia="MS Mincho"/>
      <w:sz w:val="28"/>
      <w:szCs w:val="28"/>
    </w:rPr>
  </w:style>
  <w:style w:type="paragraph" w:styleId="Style20" w:customStyle="1">
    <w:name w:val="Таблица шапка"/>
    <w:basedOn w:val="Normal"/>
    <w:qFormat/>
    <w:rsid w:val="008b7e3f"/>
    <w:pPr>
      <w:keepNext w:val="true"/>
      <w:spacing w:lineRule="auto" w:line="240" w:before="40" w:after="40"/>
      <w:ind w:hanging="0" w:left="57" w:right="57"/>
    </w:pPr>
    <w:rPr>
      <w:rFonts w:ascii="Times New Roman" w:hAnsi="Times New Roman"/>
      <w:sz w:val="18"/>
      <w:szCs w:val="18"/>
    </w:rPr>
  </w:style>
  <w:style w:type="paragraph" w:styleId="Style21" w:customStyle="1">
    <w:name w:val="Текст таблицы"/>
    <w:basedOn w:val="Normal"/>
    <w:qFormat/>
    <w:rsid w:val="008b7e3f"/>
    <w:pPr>
      <w:spacing w:lineRule="auto" w:line="240" w:before="40" w:after="40"/>
      <w:ind w:hanging="0" w:left="57" w:right="57"/>
    </w:pPr>
    <w:rPr>
      <w:rFonts w:ascii="Times New Roman" w:hAnsi="Times New Roman"/>
      <w:sz w:val="24"/>
      <w:szCs w:val="24"/>
    </w:rPr>
  </w:style>
  <w:style w:type="paragraph" w:styleId="Style22" w:customStyle="1">
    <w:name w:val="Пункт Знак"/>
    <w:basedOn w:val="Normal"/>
    <w:qFormat/>
    <w:rsid w:val="00112ebd"/>
    <w:pPr>
      <w:numPr>
        <w:ilvl w:val="1"/>
        <w:numId w:val="1"/>
      </w:numPr>
      <w:tabs>
        <w:tab w:val="clear" w:pos="709"/>
        <w:tab w:val="left" w:pos="851" w:leader="none"/>
        <w:tab w:val="left" w:pos="1134" w:leader="none"/>
      </w:tabs>
      <w:spacing w:lineRule="auto" w:line="360" w:before="0" w:after="0"/>
      <w:jc w:val="both"/>
    </w:pPr>
    <w:rPr>
      <w:rFonts w:ascii="Times New Roman" w:hAnsi="Times New Roman"/>
      <w:b/>
      <w:sz w:val="28"/>
      <w:szCs w:val="20"/>
    </w:rPr>
  </w:style>
  <w:style w:type="paragraph" w:styleId="Style23" w:customStyle="1">
    <w:name w:val="Подпункт"/>
    <w:basedOn w:val="Style22"/>
    <w:link w:val="1"/>
    <w:qFormat/>
    <w:rsid w:val="00b5006b"/>
    <w:pPr>
      <w:numPr>
        <w:ilvl w:val="2"/>
      </w:numPr>
      <w:tabs>
        <w:tab w:val="clear" w:pos="1134"/>
        <w:tab w:val="left" w:pos="851" w:leader="none"/>
      </w:tabs>
    </w:pPr>
    <w:rPr/>
  </w:style>
  <w:style w:type="paragraph" w:styleId="Style24" w:customStyle="1">
    <w:name w:val="Подподпункт"/>
    <w:basedOn w:val="Style23"/>
    <w:qFormat/>
    <w:rsid w:val="00b5006b"/>
    <w:pPr>
      <w:numPr>
        <w:ilvl w:val="3"/>
      </w:numPr>
      <w:tabs>
        <w:tab w:val="left" w:pos="851" w:leader="none"/>
        <w:tab w:val="left" w:pos="1134" w:leader="none"/>
        <w:tab w:val="left" w:pos="1418" w:leader="none"/>
      </w:tabs>
    </w:pPr>
    <w:rPr/>
  </w:style>
  <w:style w:type="paragraph" w:styleId="Style25" w:customStyle="1">
    <w:name w:val="Подподподпункт"/>
    <w:basedOn w:val="Normal"/>
    <w:qFormat/>
    <w:rsid w:val="00112ebd"/>
    <w:pPr>
      <w:numPr>
        <w:ilvl w:val="4"/>
        <w:numId w:val="1"/>
      </w:numPr>
      <w:tabs>
        <w:tab w:val="clear" w:pos="709"/>
        <w:tab w:val="left" w:pos="1134" w:leader="none"/>
        <w:tab w:val="left" w:pos="1701" w:leader="none"/>
      </w:tabs>
      <w:spacing w:lineRule="auto" w:line="360" w:before="0" w:after="0"/>
      <w:jc w:val="both"/>
    </w:pPr>
    <w:rPr>
      <w:rFonts w:ascii="Times New Roman" w:hAnsi="Times New Roman"/>
      <w:sz w:val="28"/>
      <w:szCs w:val="20"/>
    </w:rPr>
  </w:style>
  <w:style w:type="paragraph" w:styleId="13" w:customStyle="1">
    <w:name w:val="Пункт1"/>
    <w:basedOn w:val="Normal"/>
    <w:qFormat/>
    <w:rsid w:val="00b5006b"/>
    <w:pPr>
      <w:numPr>
        <w:ilvl w:val="0"/>
        <w:numId w:val="1"/>
      </w:numPr>
      <w:spacing w:lineRule="auto" w:line="360" w:before="240" w:after="0"/>
      <w:jc w:val="center"/>
    </w:pPr>
    <w:rPr>
      <w:rFonts w:ascii="Arial" w:hAnsi="Arial"/>
      <w:b/>
      <w:sz w:val="28"/>
      <w:szCs w:val="28"/>
    </w:rPr>
  </w:style>
  <w:style w:type="paragraph" w:styleId="31" w:customStyle="1">
    <w:name w:val="Пункт_3"/>
    <w:basedOn w:val="Normal"/>
    <w:uiPriority w:val="99"/>
    <w:qFormat/>
    <w:rsid w:val="00112ebd"/>
    <w:pPr>
      <w:tabs>
        <w:tab w:val="clear" w:pos="709"/>
        <w:tab w:val="left" w:pos="1134" w:leader="none"/>
      </w:tabs>
      <w:spacing w:lineRule="auto" w:line="360" w:before="0" w:after="0"/>
      <w:ind w:hanging="1133" w:left="1134"/>
      <w:jc w:val="both"/>
    </w:pPr>
    <w:rPr>
      <w:rFonts w:ascii="Times New Roman" w:hAnsi="Times New Roman"/>
      <w:sz w:val="28"/>
      <w:szCs w:val="20"/>
    </w:rPr>
  </w:style>
  <w:style w:type="paragraph" w:styleId="TOC1">
    <w:name w:val="TOC 1"/>
    <w:basedOn w:val="Normal"/>
    <w:next w:val="Normal"/>
    <w:autoRedefine/>
    <w:uiPriority w:val="39"/>
    <w:rsid w:val="00b17e73"/>
    <w:pPr>
      <w:tabs>
        <w:tab w:val="clear" w:pos="709"/>
        <w:tab w:val="right" w:pos="9344" w:leader="dot"/>
      </w:tabs>
      <w:spacing w:lineRule="auto" w:line="240" w:before="0" w:after="0"/>
      <w:jc w:val="center"/>
    </w:pPr>
    <w:rPr>
      <w:rFonts w:ascii="Times New Roman" w:hAnsi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87d05"/>
    <w:pPr>
      <w:tabs>
        <w:tab w:val="clear" w:pos="709"/>
        <w:tab w:val="left" w:pos="426" w:leader="none"/>
        <w:tab w:val="left" w:pos="1680" w:leader="none"/>
        <w:tab w:val="right" w:pos="9344" w:leader="dot"/>
        <w:tab w:val="right" w:pos="9639" w:leader="dot"/>
      </w:tabs>
      <w:spacing w:before="0" w:after="0"/>
      <w:ind w:hanging="0" w:left="220"/>
    </w:pPr>
    <w:rPr/>
  </w:style>
  <w:style w:type="paragraph" w:styleId="FootnoteText">
    <w:name w:val="Footnote Text"/>
    <w:basedOn w:val="Normal"/>
    <w:link w:val="Style2"/>
    <w:uiPriority w:val="99"/>
    <w:unhideWhenUsed/>
    <w:rsid w:val="0080406e"/>
    <w:pPr>
      <w:spacing w:lineRule="auto" w:line="240" w:before="0" w:after="0"/>
    </w:pPr>
    <w:rPr>
      <w:rFonts w:ascii="Times New Roman" w:hAnsi="Times New Roman" w:eastAsia="Calibri"/>
      <w:sz w:val="20"/>
      <w:szCs w:val="20"/>
    </w:rPr>
  </w:style>
  <w:style w:type="paragraph" w:styleId="ConsPlusNormal1" w:customStyle="1">
    <w:name w:val="ConsPlusNormal"/>
    <w:link w:val="ConsPlusNormal"/>
    <w:qFormat/>
    <w:rsid w:val="00192f26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6" w:customStyle="1">
    <w:name w:val="Таблица"/>
    <w:basedOn w:val="Normal"/>
    <w:qFormat/>
    <w:rsid w:val="00192f26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14" w:customStyle="1">
    <w:name w:val="Абзац списка1"/>
    <w:basedOn w:val="Normal"/>
    <w:qFormat/>
    <w:rsid w:val="00192f26"/>
    <w:pPr>
      <w:spacing w:before="0" w:after="200"/>
      <w:ind w:hanging="0" w:left="720"/>
      <w:contextualSpacing/>
    </w:pPr>
    <w:rPr/>
  </w:style>
  <w:style w:type="paragraph" w:styleId="Style27" w:customStyle="1">
    <w:name w:val="Колонтитул"/>
    <w:basedOn w:val="Normal"/>
    <w:link w:val="Style14"/>
    <w:qFormat/>
    <w:rsid w:val="006d08bc"/>
    <w:pPr>
      <w:widowControl w:val="false"/>
      <w:shd w:val="clear" w:color="auto" w:fill="FFFFFF"/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Style4"/>
    <w:uiPriority w:val="99"/>
    <w:unhideWhenUsed/>
    <w:rsid w:val="00ff622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5"/>
    <w:uiPriority w:val="99"/>
    <w:unhideWhenUsed/>
    <w:rsid w:val="00ff622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link w:val="Style6"/>
    <w:uiPriority w:val="99"/>
    <w:semiHidden/>
    <w:unhideWhenUsed/>
    <w:qFormat/>
    <w:rsid w:val="0040689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8" w:customStyle="1">
    <w:name w:val="Знак Знак Знак Знак Знак Знак Знак Знак Знак"/>
    <w:basedOn w:val="Normal"/>
    <w:qFormat/>
    <w:rsid w:val="00bb18d9"/>
    <w:pPr>
      <w:spacing w:lineRule="exact" w:line="240" w:before="0" w:after="160"/>
      <w:jc w:val="both"/>
    </w:pPr>
    <w:rPr>
      <w:rFonts w:ascii="Verdana" w:hAnsi="Verdana" w:cs="Verdana"/>
      <w:lang w:val="en-US"/>
    </w:rPr>
  </w:style>
  <w:style w:type="paragraph" w:styleId="NoSpacing">
    <w:name w:val="No Spacing"/>
    <w:basedOn w:val="Normal"/>
    <w:uiPriority w:val="1"/>
    <w:qFormat/>
    <w:rsid w:val="00bb18d9"/>
    <w:pPr>
      <w:spacing w:lineRule="auto" w:line="360" w:before="0" w:after="0"/>
    </w:pPr>
    <w:rPr>
      <w:rFonts w:ascii="Times New Roman" w:hAnsi="Times New Roman"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bb18d9"/>
    <w:pPr>
      <w:spacing w:lineRule="auto" w:line="240" w:before="0" w:after="0"/>
    </w:pPr>
    <w:rPr>
      <w:rFonts w:ascii="Times New Roman" w:hAnsi="Times New Roman" w:eastAsia="Calibri"/>
      <w:b/>
      <w:bCs/>
      <w:color w:val="4F81BD"/>
      <w:sz w:val="18"/>
      <w:szCs w:val="18"/>
    </w:rPr>
  </w:style>
  <w:style w:type="paragraph" w:styleId="15" w:customStyle="1">
    <w:name w:val="Название1"/>
    <w:basedOn w:val="Normal"/>
    <w:next w:val="Normal"/>
    <w:link w:val="Style7"/>
    <w:uiPriority w:val="10"/>
    <w:qFormat/>
    <w:rsid w:val="00bb18d9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tyle8"/>
    <w:uiPriority w:val="11"/>
    <w:qFormat/>
    <w:rsid w:val="00bb18d9"/>
    <w:pPr>
      <w:numPr>
        <w:ilvl w:val="1"/>
      </w:numPr>
      <w:spacing w:lineRule="auto" w:line="240" w:before="0" w:after="0"/>
      <w:ind w:firstLine="709" w:left="106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bb18d9"/>
    <w:pPr>
      <w:spacing w:lineRule="auto" w:line="240" w:before="0" w:after="0"/>
    </w:pPr>
    <w:rPr>
      <w:rFonts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9"/>
    <w:uiPriority w:val="30"/>
    <w:qFormat/>
    <w:rsid w:val="00bb18d9"/>
    <w:pPr>
      <w:pBdr>
        <w:bottom w:val="single" w:sz="4" w:space="4" w:color="4F81BD"/>
      </w:pBdr>
      <w:spacing w:lineRule="auto" w:line="240" w:before="200" w:after="280"/>
      <w:ind w:hanging="0" w:left="936" w:right="936"/>
    </w:pPr>
    <w:rPr>
      <w:rFonts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bb18d9"/>
    <w:pPr>
      <w:outlineLvl w:val="9"/>
    </w:pPr>
    <w:rPr/>
  </w:style>
  <w:style w:type="paragraph" w:styleId="E-mailSignature">
    <w:name w:val="E-mail Signature"/>
    <w:basedOn w:val="Normal"/>
    <w:link w:val="Style10"/>
    <w:uiPriority w:val="99"/>
    <w:semiHidden/>
    <w:unhideWhenUsed/>
    <w:qFormat/>
    <w:rsid w:val="00bb18d9"/>
    <w:pPr>
      <w:spacing w:lineRule="auto" w:line="240" w:before="0" w:after="0"/>
    </w:pPr>
    <w:rPr>
      <w:rFonts w:ascii="Times New Roman" w:hAnsi="Times New Roman" w:eastAsia="Calibri"/>
      <w:sz w:val="24"/>
      <w:szCs w:val="24"/>
    </w:rPr>
  </w:style>
  <w:style w:type="paragraph" w:styleId="Style29" w:customStyle="1">
    <w:name w:val="Знак"/>
    <w:basedOn w:val="Normal"/>
    <w:qFormat/>
    <w:rsid w:val="00bb18d9"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Annotationsubject">
    <w:name w:val="annotation subject"/>
    <w:basedOn w:val="Annotationtext"/>
    <w:next w:val="Annotationtext"/>
    <w:link w:val="Style11"/>
    <w:semiHidden/>
    <w:qFormat/>
    <w:rsid w:val="00bb18d9"/>
    <w:pPr/>
    <w:rPr>
      <w:rFonts w:eastAsia="Calibri"/>
      <w:b/>
      <w:bCs/>
    </w:rPr>
  </w:style>
  <w:style w:type="paragraph" w:styleId="32" w:customStyle="1">
    <w:name w:val="Нумерованный список ур3"/>
    <w:basedOn w:val="Normal"/>
    <w:qFormat/>
    <w:rsid w:val="00bb18d9"/>
    <w:pPr>
      <w:numPr>
        <w:ilvl w:val="2"/>
        <w:numId w:val="3"/>
      </w:numPr>
      <w:spacing w:lineRule="auto" w:line="240" w:before="0" w:after="0"/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b5006b"/>
    <w:pPr>
      <w:numPr>
        <w:ilvl w:val="0"/>
        <w:numId w:val="3"/>
      </w:numPr>
      <w:spacing w:lineRule="auto" w:line="240" w:before="120" w:after="0"/>
      <w:jc w:val="both"/>
    </w:pPr>
    <w:rPr>
      <w:rFonts w:ascii="Garamond" w:hAnsi="Garamond"/>
      <w:sz w:val="24"/>
      <w:szCs w:val="20"/>
    </w:rPr>
  </w:style>
  <w:style w:type="paragraph" w:styleId="22" w:customStyle="1">
    <w:name w:val="Нумерованный список ур2"/>
    <w:basedOn w:val="Normal"/>
    <w:qFormat/>
    <w:rsid w:val="00bb18d9"/>
    <w:pPr>
      <w:numPr>
        <w:ilvl w:val="1"/>
        <w:numId w:val="3"/>
      </w:numPr>
      <w:spacing w:lineRule="auto" w:line="240" w:before="120" w:after="0"/>
      <w:jc w:val="both"/>
    </w:pPr>
    <w:rPr>
      <w:rFonts w:ascii="Garamond" w:hAnsi="Garamond"/>
      <w:sz w:val="24"/>
      <w:szCs w:val="20"/>
    </w:rPr>
  </w:style>
  <w:style w:type="paragraph" w:styleId="NormalWeb">
    <w:name w:val="Normal (Web)"/>
    <w:basedOn w:val="Normal"/>
    <w:uiPriority w:val="99"/>
    <w:qFormat/>
    <w:rsid w:val="00bb18d9"/>
    <w:pPr>
      <w:spacing w:lineRule="auto" w:line="240" w:before="30" w:after="30"/>
    </w:pPr>
    <w:rPr>
      <w:rFonts w:ascii="Arial" w:hAnsi="Arial" w:eastAsia="Arial Unicode MS" w:cs="Arial"/>
      <w:color w:val="332E2D"/>
      <w:spacing w:val="2"/>
      <w:sz w:val="24"/>
      <w:szCs w:val="24"/>
    </w:rPr>
  </w:style>
  <w:style w:type="paragraph" w:styleId="Revision">
    <w:name w:val="Revision"/>
    <w:uiPriority w:val="99"/>
    <w:semiHidden/>
    <w:qFormat/>
    <w:rsid w:val="00bb18d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33" w:customStyle="1">
    <w:name w:val="Знак Знак3 Знак Знак"/>
    <w:basedOn w:val="Normal"/>
    <w:qFormat/>
    <w:rsid w:val="00bb18d9"/>
    <w:pPr>
      <w:spacing w:lineRule="exact" w:line="240" w:before="0" w:after="160"/>
      <w:jc w:val="both"/>
    </w:pPr>
    <w:rPr>
      <w:rFonts w:ascii="Verdana" w:hAnsi="Verdana" w:cs="Verdana"/>
      <w:lang w:val="en-US"/>
    </w:rPr>
  </w:style>
  <w:style w:type="paragraph" w:styleId="Style30" w:customStyle="1">
    <w:name w:val="Пункт"/>
    <w:basedOn w:val="Normal"/>
    <w:qFormat/>
    <w:rsid w:val="00bb18d9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 w:val="28"/>
      <w:szCs w:val="20"/>
    </w:rPr>
  </w:style>
  <w:style w:type="paragraph" w:styleId="23" w:customStyle="1">
    <w:name w:val="Абзац списка2"/>
    <w:basedOn w:val="Normal"/>
    <w:qFormat/>
    <w:rsid w:val="00bb18d9"/>
    <w:pPr>
      <w:spacing w:before="0" w:after="200"/>
      <w:ind w:hanging="0" w:left="720"/>
      <w:contextualSpacing/>
    </w:pPr>
    <w:rPr/>
  </w:style>
  <w:style w:type="paragraph" w:styleId="BodyTextIndent">
    <w:name w:val="Body Text Indent"/>
    <w:basedOn w:val="Normal"/>
    <w:link w:val="Style12"/>
    <w:rsid w:val="008757e8"/>
    <w:pPr>
      <w:spacing w:lineRule="auto" w:line="240" w:before="0" w:after="120"/>
      <w:ind w:hanging="0" w:left="283"/>
    </w:pPr>
    <w:rPr>
      <w:rFonts w:ascii="Times New Roman" w:hAnsi="Times New Roman"/>
      <w:sz w:val="28"/>
      <w:szCs w:val="28"/>
    </w:rPr>
  </w:style>
  <w:style w:type="paragraph" w:styleId="Style31" w:customStyle="1">
    <w:name w:val="Знак Знак"/>
    <w:basedOn w:val="Normal"/>
    <w:qFormat/>
    <w:rsid w:val="00d30377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bb55ba"/>
    <w:pPr>
      <w:spacing w:before="0" w:after="100"/>
      <w:ind w:hanging="0" w:left="440"/>
    </w:pPr>
    <w:rPr/>
  </w:style>
  <w:style w:type="paragraph" w:styleId="62" w:customStyle="1">
    <w:name w:val="Основной текст (6)"/>
    <w:basedOn w:val="Normal"/>
    <w:link w:val="61"/>
    <w:qFormat/>
    <w:rsid w:val="00310980"/>
    <w:pPr>
      <w:widowControl w:val="false"/>
      <w:shd w:val="clear" w:color="auto" w:fill="FFFFFF"/>
      <w:spacing w:lineRule="auto" w:line="240" w:before="0" w:after="0"/>
      <w:ind w:firstLine="720"/>
      <w:jc w:val="both"/>
    </w:pPr>
    <w:rPr>
      <w:rFonts w:ascii="Times New Roman" w:hAnsi="Times New Roman"/>
      <w:sz w:val="20"/>
      <w:szCs w:val="20"/>
    </w:rPr>
  </w:style>
  <w:style w:type="paragraph" w:styleId="TableListParagraph" w:customStyle="1">
    <w:name w:val="Table List Paragraph"/>
    <w:basedOn w:val="Normal"/>
    <w:qFormat/>
    <w:rsid w:val="00a270f3"/>
    <w:pPr>
      <w:numPr>
        <w:ilvl w:val="0"/>
        <w:numId w:val="15"/>
      </w:numPr>
      <w:tabs>
        <w:tab w:val="clear" w:pos="709"/>
        <w:tab w:val="left" w:pos="360" w:leader="none"/>
      </w:tabs>
      <w:spacing w:lineRule="auto" w:line="240" w:before="0" w:after="0"/>
      <w:jc w:val="both"/>
    </w:pPr>
    <w:rPr>
      <w:rFonts w:ascii="Times New Roman" w:hAnsi="Times New Roman"/>
      <w:sz w:val="24"/>
      <w:szCs w:val="24"/>
    </w:rPr>
  </w:style>
  <w:style w:type="paragraph" w:styleId="Style3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3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Style34">
    <w:name w:val="Содержимое врезки"/>
    <w:basedOn w:val="Normal"/>
    <w:qFormat/>
    <w:pPr/>
    <w:rPr/>
  </w:style>
  <w:style w:type="paragraph" w:styleId="34">
    <w:name w:val="РГ_текст3"/>
    <w:basedOn w:val="Normal"/>
    <w:qFormat/>
    <w:pPr>
      <w:ind w:hanging="0" w:left="851" w:right="0"/>
    </w:pPr>
    <w:rPr>
      <w:sz w:val="28"/>
      <w:szCs w:val="28"/>
    </w:rPr>
  </w:style>
  <w:style w:type="paragraph" w:styleId="Style35">
    <w:name w:val="РГ_номер текста табл"/>
    <w:basedOn w:val="ListParagraph"/>
    <w:qFormat/>
    <w:pPr>
      <w:numPr>
        <w:ilvl w:val="0"/>
        <w:numId w:val="9"/>
      </w:numPr>
      <w:spacing w:lineRule="auto" w:line="240" w:before="0" w:after="0"/>
      <w:contextualSpacing/>
      <w:jc w:val="both"/>
    </w:pPr>
    <w:rPr>
      <w:rFonts w:ascii="Book Antiqua" w:hAnsi="Book Antiqua" w:eastAsia="Calibri" w:cs="Book Antiqua"/>
      <w:sz w:val="24"/>
      <w:szCs w:val="22"/>
      <w:lang w:eastAsia="en-US"/>
    </w:rPr>
  </w:style>
  <w:style w:type="paragraph" w:styleId="Dt-p">
    <w:name w:val="dt-p"/>
    <w:basedOn w:val="Normal"/>
    <w:qFormat/>
    <w:pPr>
      <w:spacing w:before="280" w:after="280"/>
      <w:jc w:val="left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b918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Календарь 2"/>
    <w:basedOn w:val="a5"/>
    <w:uiPriority w:val="99"/>
    <w:qFormat/>
    <w:rsid w:val="000e517c"/>
    <w:pPr>
      <w:jc w:val="center"/>
    </w:pPr>
    <w:rPr>
      <w:rFonts w:asciiTheme="minorHAnsi" w:hAnsiTheme="minorHAnsi" w:eastAsiaTheme="minorEastAsia" w:cstheme="minorBidi"/>
      <w:sz w:val="28"/>
      <w:szCs w:val="28"/>
    </w:rPr>
    <w:tblPr>
      <w:tblBorders>
        <w:insideV w:val="single" w:color="9CC2E5" w:themeColor="accent1" w:themeTint="99" w:sz="4" w:space="0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5B9BD5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footer" Target="footer13.xml"/><Relationship Id="rId15" Type="http://schemas.openxmlformats.org/officeDocument/2006/relationships/footer" Target="footer14.xml"/><Relationship Id="rId16" Type="http://schemas.openxmlformats.org/officeDocument/2006/relationships/footer" Target="footer15.xml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package" Target="embeddings/oleObject1.xlsx"/><Relationship Id="rId20" Type="http://schemas.openxmlformats.org/officeDocument/2006/relationships/image" Target="media/image3.wmf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notes" Target="footnotes.xm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<Relationship Id="rId2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1B3CC-2803-4058-B303-0683EE5F3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AlterOffice/2026.2.0.0$Linux_X86_64 LibreOffice_project/bc4ef1adf80b36c7a6365f8ed6cbf29021361edd</Application>
  <AppVersion>15.0000</AppVersion>
  <Pages>11</Pages>
  <Words>4363</Words>
  <Characters>29962</Characters>
  <CharactersWithSpaces>35130</CharactersWithSpaces>
  <Paragraphs>487</Paragraphs>
  <Company>####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2024-09-25T11:57:00Z</dcterms:created>
  <dc:creator>Шиловская Елена Николаевна</dc:creator>
  <dc:description/>
  <dc:language>ru-RU</dc:language>
  <cp:lastModifiedBy>amirhanovai@corp.gidroogk.com</cp:lastModifiedBy>
  <cp:lastPrinted>2021-07-09T09:18:00Z</cp:lastPrinted>
  <dcterms:modified xsi:type="dcterms:W3CDTF">2026-10-13T13:31:56Z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