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header9.xml" ContentType="application/vnd.openxmlformats-officedocument.wordprocessingml.header+xml"/>
  <Override PartName="/word/header8.xml" ContentType="application/vnd.openxmlformats-officedocument.wordprocessingml.header+xml"/>
  <Override PartName="/word/header11.xml" ContentType="application/vnd.openxmlformats-officedocument.wordprocessingml.header+xml"/>
  <Override PartName="/word/header10.xml" ContentType="application/vnd.openxmlformats-officedocument.wordprocessingml.header+xml"/>
  <Override PartName="/word/header7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 w:right="284"/>
        <w:jc w:val="right"/>
        <w:rPr>
          <w:spacing w:val="20"/>
          <w:szCs w:val="24"/>
        </w:rPr>
      </w:pPr>
      <w:r>
        <w:rPr>
          <w:spacing w:val="20"/>
          <w:szCs w:val="24"/>
        </w:rPr>
      </w:r>
    </w:p>
    <w:p>
      <w:pPr>
        <w:pStyle w:val="Normal"/>
        <w:ind w:hanging="0" w:right="284"/>
        <w:jc w:val="right"/>
        <w:rPr>
          <w:spacing w:val="20"/>
          <w:szCs w:val="24"/>
        </w:rPr>
      </w:pPr>
      <w:r>
        <w:rPr>
          <w:spacing w:val="20"/>
          <w:szCs w:val="24"/>
        </w:rPr>
      </w:r>
    </w:p>
    <w:p>
      <w:pPr>
        <w:pStyle w:val="Normal"/>
        <w:ind w:hanging="0" w:right="284"/>
        <w:jc w:val="right"/>
        <w:rPr>
          <w:spacing w:val="20"/>
          <w:szCs w:val="24"/>
        </w:rPr>
      </w:pPr>
      <w:r>
        <w:rPr>
          <w:spacing w:val="20"/>
          <w:szCs w:val="24"/>
        </w:rPr>
      </w:r>
    </w:p>
    <w:p>
      <w:pPr>
        <w:pStyle w:val="Normal"/>
        <w:ind w:hanging="0" w:right="284"/>
        <w:jc w:val="right"/>
        <w:rPr>
          <w:spacing w:val="20"/>
          <w:szCs w:val="24"/>
        </w:rPr>
      </w:pPr>
      <w:r>
        <w:rPr>
          <w:spacing w:val="20"/>
          <w:szCs w:val="24"/>
        </w:rPr>
      </w:r>
    </w:p>
    <w:p>
      <w:pPr>
        <w:pStyle w:val="Normal"/>
        <w:ind w:hanging="0" w:right="283"/>
        <w:jc w:val="center"/>
        <w:rPr>
          <w:spacing w:val="20"/>
          <w:szCs w:val="24"/>
        </w:rPr>
      </w:pPr>
      <w:r>
        <w:rPr>
          <w:spacing w:val="20"/>
          <w:szCs w:val="24"/>
        </w:rPr>
      </w:r>
    </w:p>
    <w:p>
      <w:pPr>
        <w:pStyle w:val="Normal"/>
        <w:ind w:hanging="0" w:right="283"/>
        <w:rPr>
          <w:spacing w:val="20"/>
          <w:szCs w:val="24"/>
        </w:rPr>
      </w:pPr>
      <w:r>
        <w:rPr>
          <w:spacing w:val="20"/>
          <w:szCs w:val="24"/>
        </w:rPr>
      </w:r>
    </w:p>
    <w:p>
      <w:pPr>
        <w:pStyle w:val="Normal"/>
        <w:ind w:hanging="0" w:right="283"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</w:r>
    </w:p>
    <w:p>
      <w:pPr>
        <w:pStyle w:val="Normal"/>
        <w:ind w:hanging="0" w:right="283"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</w:r>
    </w:p>
    <w:p>
      <w:pPr>
        <w:pStyle w:val="Normal"/>
        <w:ind w:hanging="0" w:right="283"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</w:r>
    </w:p>
    <w:p>
      <w:pPr>
        <w:pStyle w:val="Normal"/>
        <w:ind w:hanging="0" w:right="283"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</w:r>
    </w:p>
    <w:p>
      <w:pPr>
        <w:pStyle w:val="Normal"/>
        <w:ind w:hanging="0" w:right="283"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</w:r>
    </w:p>
    <w:p>
      <w:pPr>
        <w:pStyle w:val="Normal"/>
        <w:ind w:hanging="0" w:right="283"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</w:r>
    </w:p>
    <w:p>
      <w:pPr>
        <w:pStyle w:val="Normal"/>
        <w:ind w:hanging="0" w:right="283"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</w:r>
    </w:p>
    <w:p>
      <w:pPr>
        <w:pStyle w:val="Normal"/>
        <w:ind w:hanging="0" w:right="283"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</w:r>
    </w:p>
    <w:p>
      <w:pPr>
        <w:pStyle w:val="Normal"/>
        <w:ind w:hanging="0" w:right="283"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</w:r>
    </w:p>
    <w:p>
      <w:pPr>
        <w:pStyle w:val="Normal"/>
        <w:ind w:hanging="0" w:right="283"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</w:r>
    </w:p>
    <w:p>
      <w:pPr>
        <w:pStyle w:val="Normal"/>
        <w:ind w:hanging="0" w:right="283"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</w:r>
    </w:p>
    <w:p>
      <w:pPr>
        <w:pStyle w:val="Normal"/>
        <w:ind w:hanging="0" w:right="283"/>
        <w:jc w:val="center"/>
        <w:rPr>
          <w:sz w:val="28"/>
        </w:rPr>
      </w:pPr>
      <w:r>
        <w:rPr>
          <w:rFonts w:eastAsia="Calibri"/>
          <w:b/>
          <w:sz w:val="28"/>
        </w:rPr>
        <w:t>Технические требования на выполнение работ</w:t>
      </w:r>
    </w:p>
    <w:p>
      <w:pPr>
        <w:pStyle w:val="Normal"/>
        <w:ind w:hanging="0" w:right="283"/>
        <w:jc w:val="center"/>
        <w:rPr>
          <w:sz w:val="28"/>
        </w:rPr>
      </w:pPr>
      <w:r>
        <w:rPr>
          <w:rFonts w:eastAsia="Calibri"/>
          <w:b/>
          <w:sz w:val="28"/>
        </w:rPr>
        <w:t>«ОКПД2 33.12.19.000 Выполнение работ по текущему ремонту подшипников газотурбинной установки для нужд филиала Якутская ГРЭС в рамках ремонтной программы».</w:t>
      </w:r>
    </w:p>
    <w:p>
      <w:pPr>
        <w:pStyle w:val="Normal"/>
        <w:ind w:hanging="0" w:right="283"/>
        <w:jc w:val="center"/>
        <w:rPr>
          <w:rFonts w:eastAsia="Calibri"/>
          <w:b/>
          <w:sz w:val="28"/>
        </w:rPr>
      </w:pPr>
      <w:r>
        <w:rPr>
          <w:rFonts w:eastAsia="Calibri"/>
          <w:b/>
          <w:sz w:val="28"/>
        </w:rPr>
        <w:t>15001-РЕМ ПРОД-2027-ЯЭ</w:t>
      </w:r>
      <w:r>
        <w:br w:type="page"/>
      </w:r>
    </w:p>
    <w:p>
      <w:pPr>
        <w:pStyle w:val="Normal"/>
        <w:jc w:val="center"/>
        <w:rPr>
          <w:szCs w:val="24"/>
        </w:rPr>
      </w:pPr>
      <w:r>
        <w:rPr>
          <w:b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6"/>
            </w:rPr>
            <w:instrText xml:space="preserve"> TOC \o "1-4" \h</w:instrText>
          </w:r>
          <w:r>
            <w:rPr>
              <w:rStyle w:val="Style16"/>
            </w:rPr>
            <w:fldChar w:fldCharType="separate"/>
          </w:r>
          <w:hyperlink w:anchor="__RefHeading___Toc12236_2593447515">
            <w:r>
              <w:rPr>
                <w:rStyle w:val="Style16"/>
              </w:rPr>
              <w:t>1. Общие сведения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2248_2593447515">
            <w:r>
              <w:rPr>
                <w:rStyle w:val="Style16"/>
              </w:rPr>
              <w:t xml:space="preserve">2. </w:t>
            </w:r>
            <w:r>
              <w:rPr>
                <w:rStyle w:val="Style16"/>
                <w:iCs/>
              </w:rPr>
              <w:t>Требования к продукции</w:t>
            </w:r>
            <w:r>
              <w:rPr>
                <w:rStyle w:val="Style16"/>
              </w:rPr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2266_2593447515">
            <w:r>
              <w:rPr>
                <w:rStyle w:val="Style16"/>
              </w:rPr>
              <w:t>3. Требования к документации по ценообразованию на этапе закупки</w:t>
              <w:tab/>
              <w:t>14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2268_2593447515">
            <w:r>
              <w:rPr>
                <w:rStyle w:val="Style16"/>
              </w:rPr>
              <w:t>4. Требования к документации по ценообразованию на этапе заключения (исполнения) договора</w:t>
              <w:tab/>
              <w:t>14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2278_2593447515">
            <w:r>
              <w:rPr>
                <w:rStyle w:val="Style16"/>
              </w:rPr>
              <w:t xml:space="preserve">5. </w:t>
            </w:r>
            <w:r>
              <w:rPr>
                <w:rStyle w:val="Style16"/>
                <w:iCs/>
              </w:rPr>
              <w:t>Приложения</w:t>
            </w:r>
            <w:r>
              <w:rPr>
                <w:rStyle w:val="Style16"/>
              </w:rPr>
              <w:tab/>
              <w:t>14</w:t>
            </w:r>
          </w:hyperlink>
          <w:r>
            <w:rPr>
              <w:rStyle w:val="Style16"/>
            </w:rPr>
            <w:fldChar w:fldCharType="end"/>
          </w:r>
        </w:p>
      </w:sdtContent>
    </w:sdt>
    <w:p>
      <w:pPr>
        <w:pStyle w:val="Heading2"/>
        <w:numPr>
          <w:ilvl w:val="0"/>
        </w:numPr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Cs w:val="24"/>
        </w:rPr>
      </w:pPr>
      <w:r>
        <w:rPr>
          <w:rFonts w:eastAsia="Calibri"/>
          <w:b/>
          <w:i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sz w:val="24"/>
          <w:szCs w:val="24"/>
        </w:rPr>
      </w:pPr>
      <w:bookmarkStart w:id="0" w:name="__RefHeading___Toc12236_2593447515"/>
      <w:bookmarkStart w:id="1" w:name="_Toc124950346"/>
      <w:bookmarkStart w:id="2" w:name="_Toc51339692"/>
      <w:bookmarkEnd w:id="0"/>
      <w:r>
        <w:rPr>
          <w:sz w:val="24"/>
          <w:szCs w:val="24"/>
          <w:lang w:val="ru-RU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jc w:val="center"/>
        <w:rPr/>
      </w:pPr>
      <w:bookmarkStart w:id="3" w:name="__RefHeading___Toc12238_2593447515"/>
      <w:bookmarkStart w:id="4" w:name="_Toc124950347"/>
      <w:bookmarkStart w:id="5" w:name="_Toc46743505"/>
      <w:bookmarkEnd w:id="3"/>
      <w:r>
        <w:rPr/>
        <w:t>Обозначения и сокращения</w:t>
      </w:r>
      <w:bookmarkEnd w:id="4"/>
      <w:bookmarkEnd w:id="5"/>
    </w:p>
    <w:p>
      <w:pPr>
        <w:pStyle w:val="Normal"/>
        <w:rPr>
          <w:szCs w:val="24"/>
          <w:lang w:val="x-none" w:eastAsia="x-none"/>
        </w:rPr>
      </w:pPr>
      <w:r>
        <w:rPr>
          <w:szCs w:val="24"/>
          <w:lang w:val="x-none" w:eastAsia="x-none"/>
        </w:rPr>
      </w:r>
    </w:p>
    <w:p>
      <w:pPr>
        <w:pStyle w:val="Normal"/>
        <w:rPr>
          <w:szCs w:val="24"/>
          <w:lang w:val="x-none" w:eastAsia="x-none"/>
        </w:rPr>
      </w:pPr>
      <w:r>
        <w:rPr>
          <w:szCs w:val="24"/>
          <w:lang w:val="x-none" w:eastAsia="x-none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i/>
                <w:szCs w:val="24"/>
              </w:rPr>
              <w:t>Технические требования</w:t>
            </w:r>
            <w:r>
              <w:rPr>
                <w:szCs w:val="24"/>
              </w:rPr>
              <w:t>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>ЯГРЭС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Cs w:val="24"/>
              </w:rPr>
            </w:pPr>
            <w:r>
              <w:rPr>
                <w:i/>
                <w:szCs w:val="24"/>
              </w:rPr>
              <w:t>Якутская государственная районная электрическая станция</w:t>
            </w:r>
            <w:r>
              <w:rPr>
                <w:szCs w:val="24"/>
              </w:rPr>
              <w:t>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>ППР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Cs w:val="24"/>
              </w:rPr>
            </w:pPr>
            <w:r>
              <w:rPr>
                <w:i/>
                <w:szCs w:val="24"/>
              </w:rPr>
              <w:t>Проект производства работ</w:t>
            </w:r>
            <w:r>
              <w:rPr>
                <w:szCs w:val="24"/>
              </w:rPr>
              <w:t>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>ОППР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Cs w:val="24"/>
              </w:rPr>
            </w:pPr>
            <w:r>
              <w:rPr>
                <w:i/>
                <w:szCs w:val="24"/>
              </w:rPr>
              <w:t>Отдел планирования и подготовки ремонта</w:t>
            </w:r>
            <w:r>
              <w:rPr>
                <w:szCs w:val="24"/>
              </w:rPr>
              <w:t>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>ВОР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Cs w:val="24"/>
              </w:rPr>
            </w:pPr>
            <w:r>
              <w:rPr>
                <w:i/>
                <w:szCs w:val="24"/>
              </w:rPr>
              <w:t>Ведомость объемов работ;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>ГТУ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Cs w:val="24"/>
              </w:rPr>
            </w:pPr>
            <w:r>
              <w:rPr>
                <w:i/>
                <w:szCs w:val="24"/>
              </w:rPr>
              <w:t>Газотурбинная установка.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i/>
                <w:i/>
                <w:szCs w:val="24"/>
              </w:rPr>
            </w:pPr>
            <w:r>
              <w:rPr>
                <w:i/>
                <w:szCs w:val="24"/>
              </w:rPr>
            </w:r>
          </w:p>
        </w:tc>
      </w:tr>
    </w:tbl>
    <w:p>
      <w:pPr>
        <w:pStyle w:val="Normal"/>
        <w:rPr>
          <w:bCs/>
          <w:iCs/>
          <w:szCs w:val="24"/>
        </w:rPr>
      </w:pPr>
      <w:r>
        <w:rPr>
          <w:bCs/>
          <w:iCs/>
          <w:szCs w:val="24"/>
        </w:rPr>
      </w:r>
    </w:p>
    <w:p>
      <w:pPr>
        <w:pStyle w:val="Normal"/>
        <w:rPr>
          <w:bCs/>
          <w:i/>
          <w:i/>
          <w:iCs/>
          <w:szCs w:val="24"/>
          <w:shd w:fill="FFFF99" w:val="clear"/>
        </w:rPr>
      </w:pPr>
      <w:r>
        <w:rPr>
          <w:bCs/>
          <w:i/>
          <w:iCs/>
          <w:szCs w:val="24"/>
          <w:shd w:fill="FFFF99" w:val="clear"/>
        </w:rPr>
      </w:r>
    </w:p>
    <w:p>
      <w:pPr>
        <w:pStyle w:val="Heading4"/>
        <w:numPr>
          <w:ilvl w:val="1"/>
          <w:numId w:val="3"/>
        </w:numPr>
        <w:rPr/>
      </w:pPr>
      <w:bookmarkStart w:id="6" w:name="__RefHeading___Toc12240_2593447515"/>
      <w:bookmarkStart w:id="7" w:name="_Toc46743506"/>
      <w:bookmarkStart w:id="8" w:name="_Toc124950348"/>
      <w:bookmarkEnd w:id="6"/>
      <w:r>
        <w:rPr/>
        <w:t>Наименование закупаемой продукции</w:t>
      </w:r>
      <w:bookmarkEnd w:id="7"/>
      <w:bookmarkEnd w:id="8"/>
    </w:p>
    <w:p>
      <w:pPr>
        <w:pStyle w:val="Normal"/>
        <w:jc w:val="both"/>
        <w:rPr>
          <w:szCs w:val="24"/>
        </w:rPr>
      </w:pPr>
      <w:r>
        <w:rPr>
          <w:szCs w:val="24"/>
        </w:rPr>
        <w:t>Выполнение работ по ремонту подшипников газотурбинных установок для нужд филиала Якутская ГРЭС в рамках ремонтной программы.</w:t>
      </w:r>
      <w:bookmarkStart w:id="9" w:name="_Toc124950349"/>
    </w:p>
    <w:p>
      <w:pPr>
        <w:pStyle w:val="Normal"/>
        <w:jc w:val="both"/>
        <w:rPr>
          <w:szCs w:val="24"/>
        </w:rPr>
      </w:pPr>
      <w:r>
        <w:rPr>
          <w:szCs w:val="24"/>
        </w:rPr>
        <w:t xml:space="preserve">ОКПД-2: 33.12.19.000. 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>ОКВЭД-2: 33.12.</w:t>
      </w:r>
    </w:p>
    <w:p>
      <w:pPr>
        <w:pStyle w:val="Heading4"/>
        <w:numPr>
          <w:ilvl w:val="1"/>
          <w:numId w:val="3"/>
        </w:numPr>
        <w:rPr/>
      </w:pPr>
      <w:bookmarkStart w:id="10" w:name="__RefHeading___Toc12242_2593447515"/>
      <w:bookmarkStart w:id="11" w:name="_Toc46743507"/>
      <w:bookmarkEnd w:id="10"/>
      <w:r>
        <w:rPr/>
        <w:t xml:space="preserve">Цель </w:t>
      </w:r>
      <w:bookmarkEnd w:id="11"/>
      <w:r>
        <w:rPr/>
        <w:t>выполнения работ</w:t>
      </w:r>
      <w:bookmarkEnd w:id="9"/>
      <w:r>
        <w:rPr/>
        <w:t xml:space="preserve"> 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>Ремонт подшипников газотурбинных установок для нужд филиала Якутская ГРЭС.</w:t>
      </w:r>
    </w:p>
    <w:p>
      <w:pPr>
        <w:pStyle w:val="Heading4"/>
        <w:numPr>
          <w:ilvl w:val="1"/>
          <w:numId w:val="3"/>
        </w:numPr>
        <w:rPr/>
      </w:pPr>
      <w:bookmarkStart w:id="12" w:name="__RefHeading___Toc12244_2593447515"/>
      <w:bookmarkStart w:id="13" w:name="_Toc124950350"/>
      <w:bookmarkStart w:id="14" w:name="_Toc46743508"/>
      <w:bookmarkEnd w:id="12"/>
      <w:r>
        <w:rPr/>
        <w:t>Существующее положение</w:t>
      </w:r>
      <w:bookmarkEnd w:id="13"/>
      <w:bookmarkEnd w:id="14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</w:rPr>
      </w:pPr>
      <w:bookmarkStart w:id="15" w:name="__RefHeading___Toc12246_2593447515"/>
      <w:bookmarkStart w:id="16" w:name="_Toc124950351"/>
      <w:bookmarkEnd w:id="15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6"/>
    </w:p>
    <w:p>
      <w:pPr>
        <w:pStyle w:val="Normal"/>
        <w:rPr>
          <w:szCs w:val="24"/>
          <w:lang w:eastAsia="x-none"/>
        </w:rPr>
      </w:pPr>
      <w:r>
        <w:rPr>
          <w:szCs w:val="24"/>
          <w:lang w:eastAsia="x-none"/>
        </w:rPr>
      </w:r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17"/>
        <w:gridCol w:w="2297"/>
        <w:gridCol w:w="2410"/>
        <w:gridCol w:w="2821"/>
        <w:gridCol w:w="1573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объекта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Cs w:val="24"/>
              </w:rPr>
              <w:t>(место производства работ)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Наименование основного средства </w:t>
              <w:br/>
              <w:t>(в отношении которого выполняются работы)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Примечания</w:t>
            </w:r>
          </w:p>
        </w:tc>
      </w:tr>
      <w:tr>
        <w:trPr>
          <w:trHeight w:val="567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4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5</w:t>
            </w:r>
          </w:p>
        </w:tc>
      </w:tr>
      <w:tr>
        <w:trPr>
          <w:trHeight w:val="213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Якутская ГРЭС</w:t>
            </w:r>
          </w:p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ПАО «Якутскэнерго»;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677004, Республика Саха (Якутия), г. Якутск, Кржижановского, 2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ГТЭ-45-3 ст.№4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Cs w:val="24"/>
              </w:rPr>
            </w:pPr>
            <w:r>
              <w:rPr>
                <w:i/>
                <w:szCs w:val="24"/>
              </w:rPr>
            </w:r>
          </w:p>
        </w:tc>
      </w:tr>
    </w:tbl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Heading1"/>
        <w:keepLines/>
        <w:numPr>
          <w:ilvl w:val="0"/>
          <w:numId w:val="3"/>
        </w:numPr>
        <w:spacing w:before="240" w:after="240"/>
        <w:ind w:hanging="357" w:left="357"/>
        <w:jc w:val="center"/>
        <w:rPr>
          <w:sz w:val="24"/>
          <w:szCs w:val="24"/>
        </w:rPr>
      </w:pPr>
      <w:bookmarkStart w:id="17" w:name="__RefHeading___Toc12248_2593447515"/>
      <w:bookmarkEnd w:id="17"/>
      <w:r>
        <w:rPr>
          <w:iCs/>
          <w:sz w:val="24"/>
          <w:szCs w:val="24"/>
        </w:rPr>
        <w:t>Требования к продукции</w:t>
      </w:r>
    </w:p>
    <w:p>
      <w:pPr>
        <w:pStyle w:val="Heading4"/>
        <w:numPr>
          <w:ilvl w:val="1"/>
          <w:numId w:val="3"/>
        </w:numPr>
        <w:rPr/>
      </w:pPr>
      <w:bookmarkStart w:id="18" w:name="__RefHeading___Toc12250_2593447515"/>
      <w:bookmarkStart w:id="19" w:name="_Toc124950353"/>
      <w:bookmarkEnd w:id="18"/>
      <w:r>
        <w:rPr/>
        <w:t xml:space="preserve">Требования к объемам и срокам </w:t>
      </w:r>
      <w:r>
        <w:rPr>
          <w:lang w:val="ru-RU"/>
        </w:rPr>
        <w:t>выполнения работ</w:t>
      </w:r>
      <w:bookmarkEnd w:id="19"/>
    </w:p>
    <w:p>
      <w:pPr>
        <w:pStyle w:val="Heading3"/>
        <w:numPr>
          <w:ilvl w:val="2"/>
          <w:numId w:val="3"/>
        </w:numPr>
        <w:rPr/>
      </w:pPr>
      <w:bookmarkStart w:id="20" w:name="__RefHeading___Toc12252_2593447515"/>
      <w:bookmarkStart w:id="21" w:name="_Toc124950354"/>
      <w:bookmarkEnd w:id="20"/>
      <w:r>
        <w:rPr>
          <w:lang w:val="ru-RU"/>
        </w:rPr>
        <w:t>Требования к видам и объемам работ</w:t>
      </w:r>
      <w:bookmarkEnd w:id="21"/>
    </w:p>
    <w:p>
      <w:pPr>
        <w:pStyle w:val="Heading1"/>
        <w:keepLines/>
        <w:numPr>
          <w:ilvl w:val="0"/>
          <w:numId w:val="0"/>
        </w:numPr>
        <w:spacing w:before="240" w:after="240"/>
        <w:ind w:hanging="0" w:left="0"/>
        <w:rPr>
          <w:sz w:val="24"/>
          <w:szCs w:val="24"/>
        </w:rPr>
      </w:pPr>
      <w:bookmarkStart w:id="22" w:name="__RefHeading___Toc12254_2593447515"/>
      <w:bookmarkStart w:id="23" w:name="_Toc124950355"/>
      <w:bookmarkStart w:id="24" w:name="_Toc51339695"/>
      <w:bookmarkEnd w:id="2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4"/>
      <w:r>
        <w:rPr>
          <w:sz w:val="24"/>
          <w:szCs w:val="24"/>
          <w:lang w:val="ru-RU"/>
        </w:rPr>
        <w:t>и объем выполняемых работ</w:t>
      </w:r>
      <w:bookmarkEnd w:id="23"/>
    </w:p>
    <w:p>
      <w:pPr>
        <w:pStyle w:val="Normal"/>
        <w:spacing w:before="0" w:after="120"/>
        <w:jc w:val="both"/>
        <w:rPr>
          <w:szCs w:val="24"/>
        </w:rPr>
      </w:pPr>
      <w:r>
        <w:rPr>
          <w:szCs w:val="24"/>
        </w:rPr>
      </w:r>
    </w:p>
    <w:tbl>
      <w:tblPr>
        <w:tblW w:w="980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23"/>
        <w:gridCol w:w="5446"/>
        <w:gridCol w:w="1426"/>
        <w:gridCol w:w="2112"/>
      </w:tblGrid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работ /этапа работ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Единица измерения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4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Транспортировка до завода подрядчика</w:t>
            </w:r>
          </w:p>
        </w:tc>
        <w:tc>
          <w:tcPr>
            <w:tcW w:w="35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iCs/>
                <w:szCs w:val="24"/>
              </w:rPr>
              <w:t>В соответствии с Техническими требованиями, с ведомостью объемов работ</w:t>
            </w:r>
          </w:p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iCs/>
                <w:szCs w:val="24"/>
              </w:rPr>
              <w:t>(Приложение №1 к Техническим требованиям)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5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Ремонт подшипников ГТУ</w:t>
            </w:r>
          </w:p>
        </w:tc>
        <w:tc>
          <w:tcPr>
            <w:tcW w:w="353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5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Транспортировка до Якутской ГРЭС</w:t>
            </w:r>
          </w:p>
        </w:tc>
        <w:tc>
          <w:tcPr>
            <w:tcW w:w="353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</w:tbl>
    <w:p>
      <w:pPr>
        <w:pStyle w:val="Normal"/>
        <w:spacing w:before="0" w:after="120"/>
        <w:jc w:val="both"/>
        <w:rPr>
          <w:szCs w:val="24"/>
        </w:rPr>
      </w:pPr>
      <w:r>
        <w:rPr>
          <w:szCs w:val="24"/>
        </w:rPr>
      </w:r>
    </w:p>
    <w:p>
      <w:pPr>
        <w:pStyle w:val="Heading3"/>
        <w:numPr>
          <w:ilvl w:val="2"/>
          <w:numId w:val="3"/>
        </w:numPr>
        <w:rPr/>
      </w:pPr>
      <w:bookmarkStart w:id="25" w:name="__RefHeading___Toc12256_2593447515"/>
      <w:bookmarkStart w:id="26" w:name="_Toc124950356"/>
      <w:bookmarkStart w:id="27" w:name="_Toc51339696"/>
      <w:bookmarkEnd w:id="25"/>
      <w:r>
        <w:rPr>
          <w:lang w:val="ru-RU"/>
        </w:rPr>
        <w:t xml:space="preserve">Требования </w:t>
      </w:r>
      <w:bookmarkEnd w:id="27"/>
      <w:r>
        <w:rPr>
          <w:lang w:val="ru-RU"/>
        </w:rPr>
        <w:t>к срокам выполнения работ</w:t>
      </w:r>
      <w:bookmarkEnd w:id="26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</w:rPr>
      </w:pPr>
      <w:bookmarkStart w:id="28" w:name="__RefHeading___Toc12258_2593447515"/>
      <w:bookmarkStart w:id="29" w:name="_Toc124950357"/>
      <w:bookmarkStart w:id="30" w:name="_Toc51339697"/>
      <w:bookmarkStart w:id="31" w:name="_Toc50125127"/>
      <w:bookmarkEnd w:id="28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2" w:name="_Hlk50465284"/>
      <w:r>
        <w:rPr>
          <w:sz w:val="24"/>
          <w:szCs w:val="24"/>
        </w:rPr>
        <w:t xml:space="preserve">Требования по срокам </w:t>
      </w:r>
      <w:bookmarkEnd w:id="30"/>
      <w:bookmarkEnd w:id="31"/>
      <w:bookmarkEnd w:id="32"/>
      <w:r>
        <w:rPr>
          <w:sz w:val="24"/>
          <w:szCs w:val="24"/>
          <w:lang w:val="ru-RU"/>
        </w:rPr>
        <w:t>выполнения работ</w:t>
      </w:r>
      <w:bookmarkEnd w:id="29"/>
    </w:p>
    <w:p>
      <w:pPr>
        <w:pStyle w:val="Normal"/>
        <w:keepNext w:val="true"/>
        <w:keepLines/>
        <w:numPr>
          <w:ilvl w:val="0"/>
          <w:numId w:val="0"/>
        </w:numPr>
        <w:spacing w:before="240" w:after="60"/>
        <w:ind w:hanging="0" w:left="0"/>
        <w:outlineLvl w:val="0"/>
        <w:rPr>
          <w:rFonts w:eastAsia="Calibri"/>
          <w:b/>
          <w:szCs w:val="24"/>
          <w:lang w:eastAsia="x-none"/>
        </w:rPr>
      </w:pPr>
      <w:r>
        <w:rPr>
          <w:rFonts w:eastAsia="Calibri"/>
          <w:b/>
          <w:szCs w:val="24"/>
          <w:lang w:eastAsia="x-none"/>
        </w:rPr>
      </w:r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4"/>
        <w:gridCol w:w="2546"/>
        <w:gridCol w:w="2984"/>
        <w:gridCol w:w="3111"/>
      </w:tblGrid>
      <w:tr>
        <w:trPr>
          <w:trHeight w:val="1011" w:hRule="atLeast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r>
              <w:rPr>
                <w:szCs w:val="24"/>
              </w:rPr>
              <w:t>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этапа работ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Требования к началу срока выполнения этапа работ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Требования к окончанию срока выполнения этапа работ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1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1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761" w:hRule="atLeast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hanging="277" w:left="310"/>
              <w:jc w:val="center"/>
              <w:rPr/>
            </w:pPr>
            <w:r>
              <w:rPr/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Отправка подшипников ГТУ №1,2,3,4,5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/>
              <w:t>С даты подписания Договора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не позднее 17.05.2027</w:t>
            </w:r>
          </w:p>
        </w:tc>
      </w:tr>
      <w:tr>
        <w:trPr>
          <w:trHeight w:val="761" w:hRule="atLeast"/>
        </w:trPr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hanging="277" w:left="310"/>
              <w:jc w:val="center"/>
              <w:rPr/>
            </w:pPr>
            <w:r>
              <w:rPr/>
            </w:r>
          </w:p>
        </w:tc>
        <w:tc>
          <w:tcPr>
            <w:tcW w:w="2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Ремонт и отправка подшипников до заказчика №1,2,3,4,5</w:t>
            </w:r>
          </w:p>
        </w:tc>
        <w:tc>
          <w:tcPr>
            <w:tcW w:w="2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С даты завершения 1 этапа</w:t>
            </w:r>
          </w:p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но не позднее 17.05.2027</w:t>
            </w:r>
          </w:p>
        </w:tc>
        <w:tc>
          <w:tcPr>
            <w:tcW w:w="3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не позднее 10.08.2027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33" w:name="__RefHeading___Toc12260_2593447515"/>
      <w:bookmarkStart w:id="34" w:name="_Toc124950358"/>
      <w:bookmarkEnd w:id="33"/>
      <w:r>
        <w:rPr/>
        <w:t xml:space="preserve">Требования к </w:t>
      </w:r>
      <w:r>
        <w:rPr>
          <w:lang w:val="ru-RU"/>
        </w:rPr>
        <w:t>качеству работ</w:t>
      </w:r>
      <w:bookmarkEnd w:id="34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</w:rPr>
      </w:pPr>
      <w:bookmarkStart w:id="35" w:name="__RefHeading___Toc12262_2593447515"/>
      <w:bookmarkStart w:id="36" w:name="_Toc124950359"/>
      <w:bookmarkStart w:id="37" w:name="_Toc51339698"/>
      <w:bookmarkStart w:id="38" w:name="_Toc50125131"/>
      <w:bookmarkEnd w:id="35"/>
      <w:r>
        <w:rPr>
          <w:sz w:val="24"/>
          <w:szCs w:val="24"/>
        </w:rPr>
        <w:t xml:space="preserve">Таблица 4. Требования к </w:t>
      </w:r>
      <w:bookmarkEnd w:id="37"/>
      <w:bookmarkEnd w:id="38"/>
      <w:r>
        <w:rPr>
          <w:sz w:val="24"/>
          <w:szCs w:val="24"/>
          <w:lang w:val="ru-RU"/>
        </w:rPr>
        <w:t>качеству работ</w:t>
      </w:r>
      <w:bookmarkEnd w:id="36"/>
      <w:r>
        <w:rPr>
          <w:sz w:val="24"/>
          <w:szCs w:val="24"/>
        </w:rPr>
        <w:t xml:space="preserve"> </w:t>
      </w:r>
    </w:p>
    <w:p>
      <w:pPr>
        <w:pStyle w:val="Normal"/>
        <w:jc w:val="both"/>
        <w:rPr>
          <w:szCs w:val="24"/>
        </w:rPr>
      </w:pPr>
      <w:r>
        <w:rPr>
          <w:b/>
          <w:bCs/>
          <w:szCs w:val="24"/>
        </w:rPr>
        <w:t>Наименование работ/этапа работ (Таблицы 2):</w:t>
      </w:r>
      <w:r>
        <w:rPr>
          <w:szCs w:val="24"/>
        </w:rPr>
        <w:t xml:space="preserve"> Ремонт подшипников газотурбинных установок для нужд филиала Якутская ГРЭС.</w:t>
      </w:r>
    </w:p>
    <w:p>
      <w:pPr>
        <w:pStyle w:val="Normal"/>
        <w:snapToGrid w:val="false"/>
        <w:spacing w:before="0" w:after="120"/>
        <w:rPr>
          <w:iCs/>
          <w:szCs w:val="24"/>
        </w:rPr>
      </w:pPr>
      <w:r>
        <w:rPr>
          <w:iCs/>
          <w:szCs w:val="24"/>
        </w:rPr>
      </w:r>
    </w:p>
    <w:tbl>
      <w:tblPr>
        <w:tblStyle w:val="affffb"/>
        <w:tblW w:w="15593" w:type="dxa"/>
        <w:jc w:val="left"/>
        <w:tblInd w:w="-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3"/>
        <w:gridCol w:w="3825"/>
        <w:gridCol w:w="6806"/>
        <w:gridCol w:w="1984"/>
        <w:gridCol w:w="1985"/>
      </w:tblGrid>
      <w:tr>
        <w:trPr/>
        <w:tc>
          <w:tcPr>
            <w:tcW w:w="99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0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82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80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96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1285" w:hRule="atLeast"/>
        </w:trPr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Cs w:val="24"/>
              </w:rPr>
            </w:pPr>
            <w:r>
              <w:rPr>
                <w:b/>
                <w:bCs/>
                <w:sz w:val="20"/>
                <w:szCs w:val="24"/>
              </w:rPr>
            </w:r>
          </w:p>
        </w:tc>
        <w:tc>
          <w:tcPr>
            <w:tcW w:w="382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Cs w:val="24"/>
              </w:rPr>
            </w:pPr>
            <w:r>
              <w:rPr>
                <w:b/>
                <w:bCs/>
                <w:sz w:val="20"/>
                <w:szCs w:val="24"/>
              </w:rPr>
            </w:r>
          </w:p>
        </w:tc>
        <w:tc>
          <w:tcPr>
            <w:tcW w:w="68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Cs w:val="24"/>
              </w:rPr>
            </w:pPr>
            <w:r>
              <w:rPr>
                <w:b/>
                <w:bCs/>
                <w:sz w:val="20"/>
                <w:szCs w:val="24"/>
              </w:rPr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1</w:t>
            </w:r>
          </w:p>
        </w:tc>
        <w:tc>
          <w:tcPr>
            <w:tcW w:w="38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2</w:t>
            </w:r>
          </w:p>
        </w:tc>
        <w:tc>
          <w:tcPr>
            <w:tcW w:w="68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3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4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1063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Требования к выполнению работ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063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Общие требования к выполнению работ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Cs w:val="24"/>
              </w:rPr>
            </w:pPr>
            <w:r>
              <w:rPr>
                <w:b/>
                <w:sz w:val="20"/>
                <w:szCs w:val="24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Cs w:val="24"/>
              </w:rPr>
            </w:pPr>
            <w:r>
              <w:rPr>
                <w:b/>
                <w:sz w:val="20"/>
                <w:szCs w:val="24"/>
              </w:rPr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80" w:left="27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1.1.1</w:t>
            </w:r>
          </w:p>
        </w:tc>
        <w:tc>
          <w:tcPr>
            <w:tcW w:w="38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Перечень выполняемых работ</w:t>
            </w:r>
          </w:p>
        </w:tc>
        <w:tc>
          <w:tcPr>
            <w:tcW w:w="6806" w:type="dxa"/>
            <w:tcBorders/>
            <w:shd w:color="auto" w:fill="auto" w:val="clear"/>
            <w:vAlign w:val="center"/>
          </w:tcPr>
          <w:p>
            <w:pPr>
              <w:pStyle w:val="NoSpacing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Упаковка подшипников;</w:t>
            </w:r>
          </w:p>
          <w:p>
            <w:pPr>
              <w:pStyle w:val="NoSpacing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Транспортировка до завода подрядчика с Якутской ГРЭС;</w:t>
            </w:r>
          </w:p>
          <w:p>
            <w:pPr>
              <w:pStyle w:val="NoSpacing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Подготовительные работы;</w:t>
            </w:r>
          </w:p>
          <w:p>
            <w:pPr>
              <w:pStyle w:val="NoSpacing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Выполнение ремонтных работ (Приложение №1 и 4 к Техническим требованиям).;</w:t>
            </w:r>
          </w:p>
          <w:p>
            <w:pPr>
              <w:pStyle w:val="NoSpacing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Упаковка подшипников;</w:t>
            </w:r>
          </w:p>
          <w:p>
            <w:pPr>
              <w:pStyle w:val="NoSpacing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Транспортировка до Якутской ГРЭС;</w:t>
            </w:r>
          </w:p>
          <w:p>
            <w:pPr>
              <w:pStyle w:val="NoSpacing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Сдача исполнительной документации.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Транспортировочные расходы и расходы по упаковке подшипников включены в стоимость сметы.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310"/>
              <w:contextualSpacing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/>
                <w:iCs/>
              </w:rPr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Согласие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/>
                <w:szCs w:val="24"/>
                <w:lang w:eastAsia="x-none"/>
              </w:rPr>
            </w:pPr>
            <w:r>
              <w:rPr>
                <w:rFonts w:eastAsia="Calibri"/>
                <w:b/>
                <w:sz w:val="20"/>
                <w:szCs w:val="24"/>
                <w:lang w:eastAsia="x-none"/>
              </w:rPr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80" w:left="27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1.1.2.</w:t>
            </w:r>
          </w:p>
        </w:tc>
        <w:tc>
          <w:tcPr>
            <w:tcW w:w="38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680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При оказании работ исполнитель должен руководствоваться следующими национальными, отраслевыми и корпоративными нормативно-техническими документами (НТД):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hanging="283" w:left="31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Федеральный закон от 21.12.94 №69-ФЗ «О пожарной безопасности»;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hanging="283" w:left="31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Федеральный закон от 22.07.08 № 123-ФЗ «Технический регламент о требованиях пожарной безопасности»;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hanging="283" w:left="31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Правилами технической эксплуатации электрических станций и сетей Российской Федерации. (утв. приказом Минэнерго РФ от 19.06.2003 №229);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hanging="283" w:left="31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Arial Unicode MS" w:cs="Times New Roman"/>
                <w:kern w:val="0"/>
                <w:lang w:val="ru-RU" w:eastAsia="ru-RU" w:bidi="ar-SA"/>
              </w:rPr>
              <w:t>Правилами организации технического обслуживания и ремонта оборудования, зданий и сооружений электростанций и сетей» СО 34.04.181-2003;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Arial Unicode MS" w:cs="Times New Roman"/>
                <w:kern w:val="0"/>
                <w:sz w:val="20"/>
                <w:szCs w:val="24"/>
                <w:lang w:val="ru-RU" w:eastAsia="ru-RU" w:bidi="ar-SA"/>
              </w:rPr>
              <w:t>Регламентом «Допуска подрядных организаций и командированного персонала на объекты ПАО «Якутскэнерго».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sz w:val="20"/>
                <w:szCs w:val="24"/>
              </w:rPr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sz w:val="20"/>
                <w:szCs w:val="24"/>
              </w:rPr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80" w:left="27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1.1.3.</w:t>
            </w:r>
          </w:p>
        </w:tc>
        <w:tc>
          <w:tcPr>
            <w:tcW w:w="38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Контроль и качество работ</w:t>
            </w:r>
          </w:p>
        </w:tc>
        <w:tc>
          <w:tcPr>
            <w:tcW w:w="68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Контроль за ходом работ и их качеством осуществляется Подрядчиком и Заказчиком. Заказчик обязуется назначить куратора и обеспечить допуск персонала подрядчика на объект согласно «Правилам по охране труда при эксплуатации электроустановок» (Приказ Министерства труда и социальной защиты РФ от 15.12.2020 г. № 903н).</w:t>
            </w:r>
          </w:p>
          <w:p>
            <w:pPr>
              <w:pStyle w:val="NoSpacing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Недостатки работ, обнаруженные в ходе сдачи или выявленные в период гарантийной эксплуатации объекта, фиксируются в соответствующем акте, подписываемом представителями Заказчика и Подрядчик, с указанием срока и порядка их устранения.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Согласие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/>
                <w:szCs w:val="24"/>
                <w:lang w:eastAsia="x-none"/>
              </w:rPr>
            </w:pPr>
            <w:r>
              <w:rPr>
                <w:rFonts w:eastAsia="Calibri"/>
                <w:b/>
                <w:sz w:val="20"/>
                <w:szCs w:val="24"/>
                <w:lang w:eastAsia="x-none"/>
              </w:rPr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1063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Требования к организации работ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8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Организационно-технические мероприятия по допуску персонала подрядчика</w:t>
            </w:r>
          </w:p>
        </w:tc>
        <w:tc>
          <w:tcPr>
            <w:tcW w:w="6806" w:type="dxa"/>
            <w:tcBorders/>
          </w:tcPr>
          <w:p>
            <w:pPr>
              <w:pStyle w:val="NoSpacing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Cs/>
                <w:kern w:val="0"/>
                <w:lang w:val="ru-RU" w:eastAsia="ru-RU" w:bidi="ar-SA"/>
              </w:rPr>
              <w:t>Работа будет производиться на территории Подрядчика в заводских условиях.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Согласие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/>
                <w:szCs w:val="24"/>
                <w:lang w:eastAsia="x-none"/>
              </w:rPr>
            </w:pPr>
            <w:r>
              <w:rPr>
                <w:rFonts w:eastAsia="Calibri"/>
                <w:b/>
                <w:sz w:val="20"/>
                <w:szCs w:val="24"/>
                <w:lang w:eastAsia="x-none"/>
              </w:rPr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8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Требование пропускному режиму</w:t>
            </w:r>
          </w:p>
        </w:tc>
        <w:tc>
          <w:tcPr>
            <w:tcW w:w="6806" w:type="dxa"/>
            <w:tcBorders/>
          </w:tcPr>
          <w:p>
            <w:pPr>
              <w:pStyle w:val="NoSpacing"/>
              <w:widowControl w:val="false"/>
              <w:suppressAutoHyphens w:val="true"/>
              <w:spacing w:lineRule="auto" w:line="240" w:before="0" w:after="0"/>
              <w:jc w:val="both"/>
              <w:rPr/>
            </w:pPr>
            <w:r>
              <w:rPr>
                <w:rStyle w:val="Hyperlink"/>
                <w:rFonts w:cs="Times New Roman"/>
                <w:iCs/>
                <w:color w:val="000000"/>
                <w:kern w:val="0"/>
                <w:u w:val="none"/>
                <w:lang w:val="ru-RU" w:eastAsia="ru-RU" w:bidi="ar-SA"/>
              </w:rPr>
              <w:t>Работа будет производиться на территории Подрядчика в заводских условиях.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sz w:val="20"/>
                <w:szCs w:val="24"/>
              </w:rPr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8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Требование к информационной безопасности</w:t>
            </w:r>
          </w:p>
        </w:tc>
        <w:tc>
          <w:tcPr>
            <w:tcW w:w="68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Hyperlink"/>
                <w:rFonts w:eastAsia="Times New Roman" w:cs="Times New Roman"/>
                <w:iCs/>
                <w:color w:val="auto"/>
                <w:kern w:val="0"/>
                <w:sz w:val="20"/>
                <w:szCs w:val="24"/>
                <w:u w:val="none"/>
                <w:lang w:val="ru-RU" w:eastAsia="ru-RU" w:bidi="ar-SA"/>
              </w:rPr>
              <w:t xml:space="preserve">СТО-00-022.01-22 ПАО «Якутскэнерго» «Политика информационной безопасности ПАО «Якутскэнерго» </w:t>
            </w:r>
            <w:r>
              <w:rPr>
                <w:rStyle w:val="Hyperlink"/>
                <w:rFonts w:eastAsia="Times New Roman" w:cs="Times New Roman"/>
                <w:b w:val="false"/>
                <w:iCs/>
                <w:color w:val="auto"/>
                <w:kern w:val="0"/>
                <w:sz w:val="20"/>
                <w:szCs w:val="24"/>
                <w:u w:val="none"/>
                <w:lang w:val="ru-RU" w:eastAsia="ru-RU" w:bidi="ar-SA"/>
              </w:rPr>
              <w:t>(Приложение №6 к ТТ)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Согласие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sz w:val="20"/>
                <w:szCs w:val="24"/>
              </w:rPr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1063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8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Требования к используемым материалам оборудованиям и устройствам</w:t>
            </w:r>
          </w:p>
        </w:tc>
        <w:tc>
          <w:tcPr>
            <w:tcW w:w="6806" w:type="dxa"/>
            <w:tcBorders/>
          </w:tcPr>
          <w:p>
            <w:pPr>
              <w:pStyle w:val="NoSpacing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Заказчик передает подрядчику  материалы и запасные части согласно п</w:t>
            </w:r>
            <w:r>
              <w:rPr>
                <w:rFonts w:eastAsia="Times New Roman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еречень передаваемых б/у материалов и запасных частей (Приложение №5)</w:t>
            </w:r>
          </w:p>
          <w:p>
            <w:pPr>
              <w:pStyle w:val="NoSpacing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Поставку материалов и оборудования для ремонта в полном объёме осуществляет Подрядчик.</w:t>
            </w:r>
          </w:p>
          <w:p>
            <w:pPr>
              <w:pStyle w:val="NoSpacing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Подрядчик  </w:t>
            </w:r>
            <w:r>
              <w:rPr>
                <w:rFonts w:eastAsia="Times New Roman" w:cs="Times New Roman"/>
                <w:iCs/>
                <w:kern w:val="0"/>
                <w:szCs w:val="24"/>
                <w:lang w:val="ru-RU" w:eastAsia="ru-RU" w:bidi="ar-SA"/>
              </w:rPr>
              <w:t>должен обеспечить после ремонта отправку материалов и запасных частей на площадку ЯГРЭС согласно  Приложения №5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Согласие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/>
                <w:szCs w:val="24"/>
                <w:lang w:eastAsia="x-none"/>
              </w:rPr>
            </w:pPr>
            <w:r>
              <w:rPr>
                <w:rFonts w:eastAsia="Calibri"/>
                <w:b/>
                <w:sz w:val="20"/>
                <w:szCs w:val="24"/>
                <w:lang w:eastAsia="x-none"/>
              </w:rPr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1063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Требования к контролю качества работ и материалов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8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Контроль качества используемых запасных частей и материалов</w:t>
            </w:r>
          </w:p>
        </w:tc>
        <w:tc>
          <w:tcPr>
            <w:tcW w:w="68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Подрядчик входной контроль поступающих материалов и запасных частей, включающий в себя проверку: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hanging="170" w:left="170"/>
              <w:contextualSpacing w:val="false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наличия соответствующих сертификатов в соответствии с требованиями постановления Правительства Российской Федерации от 01.12.2009 N 982 (ред. от 21.02.2018) «Об утверждении единого перечня продукции, подлежащей обязательной сертификации»;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hanging="170" w:left="170"/>
              <w:contextualSpacing w:val="false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наличия и надлежащего заполнения документа о качестве и соответствии приведенных в нем данных характеристикам, установленным в нормативном документе, регламентирующем технические требования к данной продукции;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hanging="170" w:left="170"/>
              <w:contextualSpacing w:val="false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наличия маркировки, сохранности упаковки, наличия и сохранности защитных и окрасочных покрытий и т.п.;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hanging="170" w:left="170"/>
              <w:contextualSpacing w:val="false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комплектности поставляемых материалов.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Согласие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/>
                <w:szCs w:val="24"/>
                <w:lang w:eastAsia="x-none"/>
              </w:rPr>
            </w:pPr>
            <w:r>
              <w:rPr>
                <w:rFonts w:eastAsia="Calibri"/>
                <w:b/>
                <w:sz w:val="20"/>
                <w:szCs w:val="24"/>
                <w:lang w:eastAsia="x-none"/>
              </w:rPr>
            </w:r>
          </w:p>
        </w:tc>
      </w:tr>
      <w:tr>
        <w:trPr/>
        <w:tc>
          <w:tcPr>
            <w:tcW w:w="993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825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Контроль качества работ</w:t>
            </w:r>
          </w:p>
        </w:tc>
        <w:tc>
          <w:tcPr>
            <w:tcW w:w="68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6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 xml:space="preserve">Подрядчик гарантирует высокое качество и надежную последующую эксплуатацию объекта в соответствии с положениями технических регламентов, действующих на территории Российской Федерации и </w:t>
            </w:r>
            <w:r>
              <w:rPr>
                <w:rFonts w:eastAsia="Lucida Sans Unicode" w:cs="Times New Roman"/>
                <w:kern w:val="2"/>
                <w:sz w:val="20"/>
                <w:szCs w:val="24"/>
                <w:lang w:val="ru-RU" w:eastAsia="hi-IN" w:bidi="hi-IN"/>
              </w:rPr>
              <w:t>соответствовать требованиям, предъявляемым к работам соответствующего рода. ГОСТ 1320-74; ГОСТ ISO 21433-2023.</w:t>
            </w:r>
          </w:p>
        </w:tc>
        <w:tc>
          <w:tcPr>
            <w:tcW w:w="1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Согласие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 требованием</w:t>
            </w:r>
          </w:p>
        </w:tc>
        <w:tc>
          <w:tcPr>
            <w:tcW w:w="198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/>
                <w:szCs w:val="24"/>
                <w:lang w:eastAsia="x-none"/>
              </w:rPr>
            </w:pPr>
            <w:r>
              <w:rPr>
                <w:rFonts w:eastAsia="Calibri"/>
                <w:b/>
                <w:sz w:val="20"/>
                <w:szCs w:val="24"/>
                <w:lang w:eastAsia="x-none"/>
              </w:rPr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1063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Требования к персоналу подрядчика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8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4"/>
                <w:lang w:val="ru-RU" w:eastAsia="ru-RU" w:bidi="ar-SA"/>
              </w:rPr>
              <w:t>Квалификация персонала подрядчика, привлекаемого к выполнению работ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Cs w:val="24"/>
              </w:rPr>
            </w:pPr>
            <w:r>
              <w:rPr>
                <w:b/>
                <w:sz w:val="20"/>
                <w:szCs w:val="24"/>
              </w:rPr>
            </w:r>
          </w:p>
        </w:tc>
        <w:tc>
          <w:tcPr>
            <w:tcW w:w="68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0"/>
                <w:szCs w:val="24"/>
                <w:lang w:val="ru-RU" w:eastAsia="ru-RU" w:bidi="ar-SA"/>
              </w:rPr>
              <w:t>Для проведения ремонтных работ требуется наличие следующего персонала: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0"/>
                <w:szCs w:val="24"/>
                <w:lang w:val="ru-RU" w:eastAsia="ru-RU" w:bidi="ar-SA"/>
              </w:rPr>
              <w:t>1. Слесарь по ремонту паро-газотурбинного оборудования 5-го разряда привлекаемого к – не менее 2-х человек;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0"/>
                <w:szCs w:val="24"/>
                <w:lang w:val="ru-RU" w:eastAsia="ru-RU" w:bidi="ar-SA"/>
              </w:rPr>
              <w:t>2. Дефектоскопист не ниже 2 уровня по ВИК, ЦД – не менее 1-го человека;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0"/>
                <w:szCs w:val="24"/>
                <w:lang w:val="ru-RU" w:eastAsia="ru-RU" w:bidi="ar-SA"/>
              </w:rPr>
              <w:t>3. Руководитель работ (специалист по восстановлению узлов и деталей паро-газотурбинного оборудования) — не менее 1 человека.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0"/>
                <w:szCs w:val="24"/>
                <w:lang w:val="ru-RU" w:eastAsia="ru-RU" w:bidi="ar-SA"/>
              </w:rPr>
              <w:t>До начала проведения работ в рамках исполнения договора после его заключения подрядчик предоставляет список персонала с указанием сведений о квалификации персонала, разряде, с приложением копий.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Согласие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/>
                <w:szCs w:val="24"/>
                <w:lang w:eastAsia="x-none"/>
              </w:rPr>
            </w:pPr>
            <w:r>
              <w:rPr>
                <w:rFonts w:eastAsia="Calibri"/>
                <w:b/>
                <w:sz w:val="20"/>
                <w:szCs w:val="24"/>
                <w:lang w:eastAsia="x-none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/>
                <w:szCs w:val="24"/>
                <w:lang w:eastAsia="x-none"/>
              </w:rPr>
            </w:pPr>
            <w:r>
              <w:rPr>
                <w:rFonts w:eastAsia="Calibri"/>
                <w:b/>
                <w:sz w:val="20"/>
                <w:szCs w:val="24"/>
                <w:lang w:eastAsia="x-none"/>
              </w:rPr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25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  <w:t>1.6.</w:t>
            </w:r>
          </w:p>
        </w:tc>
        <w:tc>
          <w:tcPr>
            <w:tcW w:w="10631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bCs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4"/>
                <w:lang w:val="ru-RU" w:eastAsia="ru-RU" w:bidi="ar-SA"/>
              </w:rPr>
              <w:t>Требование к безопасности работ и охране труда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93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0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  <w:t>1.6.1.</w:t>
            </w:r>
          </w:p>
          <w:p>
            <w:pPr>
              <w:pStyle w:val="ListParagraph"/>
              <w:widowControl w:val="false"/>
              <w:suppressAutoHyphens w:val="true"/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825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Требования к безопасности при выполнении работ</w:t>
            </w:r>
          </w:p>
        </w:tc>
        <w:tc>
          <w:tcPr>
            <w:tcW w:w="680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Подрядчик должен: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 xml:space="preserve">    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1. соблюдать требования действующего федерального законодательства Российской Федерации, нормативных правовых актов субъектов Российской Федерации, в т.ч. законодательство о недрах, охране окружающей среды, промышленной и пожарной безопасности, охране труда, энергоэффективности, рационального использования природных ресурсов и полезных ископаемых, а также все прочие законы и нормативные акты, относящиеся к сфере деятельности;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 xml:space="preserve">    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2. Подрядчик обязан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направлять на объекты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 xml:space="preserve">    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3. § СО34.03.201-97 (РД 34.03.201-97) Правила техники безопасности при эксплуатации тепломеханического оборудования электростанций и тепловых сетей;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 xml:space="preserve">    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4. § СО 34.03.301-2000 Правила пожарной безопасности для энергетических предприятий;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5.  § Федеральный закон "О промышленной безопасности опасных производственных объектов" № 116-ФЗ от 21 июля 1997г (с изменениями)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6. § Правила по охране труда при эксплуатации электроустановок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7. § Постановление Правительства РФ от 25.04.2012 N 390 "О противопожарном режиме "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8. § Правил по охране труда при эксплуатации электроустановок, утвержденных приказом Минтруда России от 19.02.2016 г. № 74н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9. § Федеральных норм и правил в области промышленной безопасности «Правила безопасности опасных производственных объектов, на которых используется подъемные сооружения» Приказ № 461 от 26 ноября 2020 г.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10. § Приказ Минтруда России от 27.11.2020 N 835н "Об утверждении Правил по охране труда при работе с инструментом и приспособлениями"</w:t>
            </w:r>
          </w:p>
        </w:tc>
        <w:tc>
          <w:tcPr>
            <w:tcW w:w="1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Согласие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 требованием</w:t>
            </w:r>
          </w:p>
        </w:tc>
        <w:tc>
          <w:tcPr>
            <w:tcW w:w="198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/>
                <w:szCs w:val="24"/>
                <w:lang w:eastAsia="x-none"/>
              </w:rPr>
            </w:pPr>
            <w:r>
              <w:rPr>
                <w:rFonts w:eastAsia="Calibri"/>
                <w:b/>
                <w:sz w:val="20"/>
                <w:szCs w:val="24"/>
                <w:lang w:eastAsia="x-none"/>
              </w:rPr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1063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4"/>
                <w:lang w:val="ru-RU" w:eastAsia="ru-RU" w:bidi="ar-SA"/>
              </w:rPr>
              <w:t>Требования к результатам работ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1063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Общие требования к результатам работ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8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Результат работ</w:t>
            </w:r>
          </w:p>
        </w:tc>
        <w:tc>
          <w:tcPr>
            <w:tcW w:w="68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Результат работ должен соответствовать перечню и объемам выполняемых работ (Приложение №1 к Техническим требованиям).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Согласие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/>
                <w:szCs w:val="24"/>
                <w:lang w:eastAsia="x-none"/>
              </w:rPr>
            </w:pPr>
            <w:r>
              <w:rPr>
                <w:rFonts w:eastAsia="Calibri"/>
                <w:b/>
                <w:sz w:val="20"/>
                <w:szCs w:val="24"/>
                <w:lang w:eastAsia="x-none"/>
              </w:rPr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8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57"/>
              <w:jc w:val="both"/>
              <w:rPr>
                <w:szCs w:val="24"/>
              </w:rPr>
            </w:pPr>
            <w:r>
              <w:rPr>
                <w:sz w:val="20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57"/>
              <w:jc w:val="both"/>
              <w:rPr>
                <w:szCs w:val="24"/>
              </w:rPr>
            </w:pPr>
            <w:r>
              <w:rPr>
                <w:sz w:val="20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57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4"/>
                <w:lang w:val="ru-RU" w:eastAsia="ru-RU" w:bidi="ar-SA"/>
              </w:rPr>
              <w:t>Качество работ</w:t>
            </w:r>
          </w:p>
        </w:tc>
        <w:tc>
          <w:tcPr>
            <w:tcW w:w="6806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100" w:before="0" w:after="0"/>
              <w:ind w:firstLine="5"/>
              <w:jc w:val="both"/>
              <w:rPr>
                <w:szCs w:val="24"/>
              </w:rPr>
            </w:pPr>
            <w:r>
              <w:rPr>
                <w:rFonts w:eastAsia="Lucida Sans Unicode" w:cs="Times New Roman"/>
                <w:kern w:val="2"/>
                <w:sz w:val="20"/>
                <w:szCs w:val="24"/>
                <w:lang w:val="ru-RU" w:eastAsia="hi-IN" w:bidi="hi-IN"/>
              </w:rPr>
              <w:t>Качество выполненных подрядчиком работ должно соответствовать требованиям, предъявляемым к работам соответствующего рода, если иное не предусмотрено законом, иными правовыми актами или договором подряда.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Lucida Sans Unicode" w:cs="Times New Roman"/>
                <w:kern w:val="2"/>
                <w:sz w:val="20"/>
                <w:szCs w:val="24"/>
                <w:lang w:val="ru-RU" w:eastAsia="hi-IN" w:bidi="hi-IN"/>
              </w:rPr>
              <w:t>Подрядчик обязан безвозмездно исправить по требованию Заказчика все выявленные недостатки ухудшившее качество работы в согласованные сроки.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Согласие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/>
                <w:szCs w:val="24"/>
                <w:lang w:eastAsia="x-none"/>
              </w:rPr>
            </w:pPr>
            <w:r>
              <w:rPr>
                <w:rFonts w:eastAsia="Calibri"/>
                <w:b/>
                <w:sz w:val="20"/>
                <w:szCs w:val="24"/>
                <w:lang w:eastAsia="x-none"/>
              </w:rPr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63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Style w:val="Style8"/>
                <w:rFonts w:eastAsia="Times New Roman" w:cs="Times New Roman"/>
                <w:bCs/>
                <w:i w:val="false"/>
                <w:kern w:val="0"/>
                <w:sz w:val="20"/>
                <w:szCs w:val="24"/>
                <w:shd w:fill="auto" w:val="clear"/>
                <w:lang w:val="ru-RU" w:eastAsia="ru-RU" w:bidi="ar-SA"/>
              </w:rPr>
              <w:t>Требования к порядку приемки результатов работ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8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Приемка работ</w:t>
            </w:r>
          </w:p>
        </w:tc>
        <w:tc>
          <w:tcPr>
            <w:tcW w:w="68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Cs w:val="24"/>
              </w:rPr>
            </w:pPr>
            <w:r>
              <w:rPr>
                <w:rFonts w:eastAsia="Lucida Sans Unicode" w:cs="Times New Roman"/>
                <w:kern w:val="2"/>
                <w:sz w:val="20"/>
                <w:szCs w:val="24"/>
                <w:lang w:val="ru-RU" w:eastAsia="hi-IN" w:bidi="hi-IN"/>
              </w:rPr>
              <w:t>Приемка работ осуществляется комиссией назначаемой Заказчиком с участием полномочных представителей Подрядчика, при необходимости с привлечением иных заинтересованных лиц и/или органов надзора.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Согласие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/>
                <w:szCs w:val="24"/>
                <w:lang w:eastAsia="x-none"/>
              </w:rPr>
            </w:pPr>
            <w:r>
              <w:rPr>
                <w:rFonts w:eastAsia="Calibri"/>
                <w:b/>
                <w:sz w:val="20"/>
                <w:szCs w:val="24"/>
                <w:lang w:eastAsia="x-none"/>
              </w:rPr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1063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Требования к оформлению документации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8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Документы, передаваемые заказчику по результатам выполненных работ</w:t>
            </w:r>
          </w:p>
        </w:tc>
        <w:tc>
          <w:tcPr>
            <w:tcW w:w="6806" w:type="dxa"/>
            <w:tcBorders/>
          </w:tcPr>
          <w:p>
            <w:pPr>
              <w:pStyle w:val="NoSpacing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Подрядчик в соответствии с действующей нормативно-технической документацией ведёт исполнительную документацию на протяжении всего периода производства работ и в момент завершения каждого из отчётных периодов передаёт один экземпляр исполнительной документации Заказчику.</w:t>
            </w:r>
          </w:p>
          <w:p>
            <w:pPr>
              <w:pStyle w:val="NoSpacing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  <w:t>Приемка работ ведется в соответствии с Правилами организации технического обслуживания и ремонта объектов электроэнергетики (Приказ Минэнерго РФ от 25 октября 2017 года № 1013).</w:t>
            </w:r>
          </w:p>
          <w:p>
            <w:pPr>
              <w:pStyle w:val="NoSpacing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  <w:t>При приёмочном контроле Подрядчик должен представить Заказчику следующую документацию:</w:t>
            </w:r>
          </w:p>
          <w:p>
            <w:pPr>
              <w:pStyle w:val="NoSpacing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  <w:t>- Исполнительный акт приемки выполненных работ;</w:t>
            </w:r>
          </w:p>
          <w:p>
            <w:pPr>
              <w:pStyle w:val="NoSpacing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  <w:t>- Журнал учета выполненных работ по форме КС-6а;</w:t>
            </w:r>
          </w:p>
          <w:p>
            <w:pPr>
              <w:pStyle w:val="NoSpacing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  <w:t>- Акты на скрытые работы;</w:t>
            </w:r>
          </w:p>
          <w:p>
            <w:pPr>
              <w:pStyle w:val="NoSpacing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  <w:t>- Акты дефектации оборудования;</w:t>
            </w:r>
          </w:p>
          <w:p>
            <w:pPr>
              <w:pStyle w:val="NoSpacing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  <w:t>- Ведомости дополнительных работ;</w:t>
            </w:r>
          </w:p>
          <w:p>
            <w:pPr>
              <w:pStyle w:val="NoSpacing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  <w:t>- Форма КС-3 – справка о стоимости выполненных работ;</w:t>
            </w:r>
          </w:p>
          <w:p>
            <w:pPr>
              <w:pStyle w:val="NoSpacing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  <w:t>- Форма КС-2 - акт о приемке выполненных работ;</w:t>
            </w:r>
          </w:p>
          <w:p>
            <w:pPr>
              <w:pStyle w:val="NoSpacing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  <w:t>- Счет фактура (для плательщиков НДС).</w:t>
            </w:r>
          </w:p>
          <w:p>
            <w:pPr>
              <w:pStyle w:val="NoSpacing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Согласие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/>
                <w:szCs w:val="24"/>
                <w:lang w:eastAsia="x-none"/>
              </w:rPr>
            </w:pPr>
            <w:r>
              <w:rPr>
                <w:rFonts w:eastAsia="Calibri"/>
                <w:b/>
                <w:sz w:val="20"/>
                <w:szCs w:val="24"/>
                <w:lang w:eastAsia="x-none"/>
              </w:rPr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1063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Требования к ответственности и гарантиям подрядчика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38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Гарантийный срок на результат работ</w:t>
            </w:r>
          </w:p>
        </w:tc>
        <w:tc>
          <w:tcPr>
            <w:tcW w:w="68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Гарантийный срок на результат работ должен составлять 18 месяцев с даты подписания Акта о приемке выполненных работ КС-2.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shd w:fill="FFFFFF" w:val="clear"/>
                <w:lang w:val="ru-RU" w:eastAsia="ru-RU" w:bidi="ar-SA"/>
              </w:rPr>
              <w:t>Заказчик, обнаруживший после приемки работы отступления в ней от договора или иные недостатки, которые не могли быть установлены при обычном способе приемки (скрытые недостатки), в том числе такие, которые были умышленно скрыты подрядчиком, обязан известить об этом Подрядчика, а Подрядчик устраняет их за свой счет в согласованные сторонами сроки и компенсирует Заказчику понесенные при этом убытки в разумный срок.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Согласие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/>
                <w:szCs w:val="24"/>
                <w:lang w:eastAsia="x-none"/>
              </w:rPr>
            </w:pPr>
            <w:r>
              <w:rPr>
                <w:rFonts w:eastAsia="Calibri"/>
                <w:b/>
                <w:sz w:val="20"/>
                <w:szCs w:val="24"/>
                <w:lang w:eastAsia="x-none"/>
              </w:rPr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4.</w:t>
            </w:r>
          </w:p>
        </w:tc>
        <w:tc>
          <w:tcPr>
            <w:tcW w:w="1063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Прочие требования к выполняемым работам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350" w:hRule="atLeast"/>
        </w:trPr>
        <w:tc>
          <w:tcPr>
            <w:tcW w:w="9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4.1.</w:t>
            </w:r>
          </w:p>
        </w:tc>
        <w:tc>
          <w:tcPr>
            <w:tcW w:w="3825" w:type="dxa"/>
            <w:tcBorders/>
            <w:vAlign w:val="center"/>
          </w:tcPr>
          <w:p>
            <w:pPr>
              <w:pStyle w:val="Style30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both"/>
              <w:outlineLvl w:val="2"/>
              <w:rPr>
                <w:sz w:val="20"/>
                <w:szCs w:val="20"/>
              </w:rPr>
            </w:pPr>
            <w:bookmarkStart w:id="39" w:name="__RefHeading___Toc12264_2593447515"/>
            <w:bookmarkEnd w:id="39"/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Экологические требования по охране окружающей среды</w:t>
            </w:r>
          </w:p>
          <w:p>
            <w:pPr>
              <w:pStyle w:val="Style30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both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68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Согласно действующим нормам и правилам, мероприятия по охране окружающей среды (Закон РФ «Об охране окружающей природной среды» № 45-Ф3 от 09.05.05.)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При выполнении работ необходимо выполнять требования законодательства в области охраны окружающей среды.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Мероприятия по охране окружающей среды на период ремонта: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1)</w:t>
              <w:tab/>
              <w:t>Приемка выполненных работ производится комиссионно с обязательным присутствием представителя подрядной организации.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2)</w:t>
              <w:tab/>
              <w:t>При выполнении всех ремонтных работ необходимо строго соблюдать требования защиты окружающей среды, сохранения её устойчивого равновесия и не нарушать условия землепользования, установленные законодательством об охране природы.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3)</w:t>
              <w:tab/>
              <w:t>Отходы, строительный мусор должны своевременно вывозиться для дальнейшей утилизации.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4)</w:t>
              <w:tab/>
              <w:t>Мероприятия и работы по охране окружающей среды вести в соответствии с требованиями СП 48.13330.2019 и СП 45.13330.2017.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993" w:leader="none"/>
              </w:tabs>
              <w:suppressAutoHyphens w:val="true"/>
              <w:spacing w:before="0" w:after="0"/>
              <w:contextualSpacing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5)</w:t>
              <w:tab/>
              <w:t>Подрядчик обязан соблюдать требования защиты окружающей среды, сохранения её устойчивого равновесия и не нарушать условия землепользования, установленные законодательством об охране природы.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Style w:val="Hyperlink"/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Spacing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Подрядчик обязан поддерживать Политику ИСМ ПАО «Якутскэнерго». Политика размещена на внешнем сайте компании по адресу: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993" w:leader="none"/>
              </w:tabs>
              <w:suppressAutoHyphens w:val="true"/>
              <w:spacing w:before="0" w:after="0"/>
              <w:contextualSpacing/>
              <w:jc w:val="both"/>
              <w:rPr/>
            </w:pPr>
            <w:hyperlink r:id="rId5">
              <w:r>
                <w:rPr>
                  <w:rStyle w:val="Hyperlink"/>
                  <w:rFonts w:eastAsia="Times New Roman" w:cs="Times New Roman"/>
                  <w:kern w:val="0"/>
                  <w:sz w:val="20"/>
                  <w:szCs w:val="24"/>
                  <w:lang w:val="en-US" w:eastAsia="ru-RU" w:bidi="ar-SA"/>
                </w:rPr>
                <w:t>https://www.yakutskenergo.ru/company/integrirovannaya-sistema-menedzhmenta/politika-integrirovannoy-sistemy-menedzhmenta/</w:t>
              </w:r>
            </w:hyperlink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Согласие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/>
                <w:szCs w:val="24"/>
                <w:lang w:eastAsia="x-none"/>
              </w:rPr>
            </w:pPr>
            <w:r>
              <w:rPr>
                <w:rFonts w:eastAsia="Calibri"/>
                <w:b/>
                <w:sz w:val="20"/>
                <w:szCs w:val="24"/>
                <w:lang w:eastAsia="x-none"/>
              </w:rPr>
            </w:r>
          </w:p>
        </w:tc>
      </w:tr>
    </w:tbl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spacing w:before="120" w:after="360"/>
        <w:ind w:hanging="357" w:left="357"/>
        <w:jc w:val="center"/>
        <w:rPr>
          <w:sz w:val="24"/>
          <w:szCs w:val="24"/>
        </w:rPr>
      </w:pPr>
      <w:bookmarkStart w:id="40" w:name="__RefHeading___Toc12266_2593447515"/>
      <w:bookmarkStart w:id="41" w:name="_Toc124950360"/>
      <w:bookmarkStart w:id="42" w:name="_Toc53393312"/>
      <w:bookmarkEnd w:id="40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42"/>
      <w:r>
        <w:rPr>
          <w:sz w:val="24"/>
          <w:szCs w:val="24"/>
          <w:lang w:val="ru-RU"/>
        </w:rPr>
        <w:t xml:space="preserve"> на этапе закупки</w:t>
      </w:r>
      <w:bookmarkEnd w:id="41"/>
    </w:p>
    <w:p>
      <w:pPr>
        <w:pStyle w:val="NoSpacing"/>
        <w:spacing w:lineRule="auto" w:line="276"/>
        <w:jc w:val="both"/>
        <w:rPr/>
      </w:pPr>
      <w:r>
        <w:rPr/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 (с указанием понижающего коэффициента).</w:t>
      </w:r>
    </w:p>
    <w:p>
      <w:pPr>
        <w:pStyle w:val="NoSpacing"/>
        <w:spacing w:lineRule="auto" w:line="276"/>
        <w:jc w:val="both"/>
        <w:rPr/>
      </w:pPr>
      <w:r>
        <w:rPr/>
        <w:t>3.2. Дополнительные документы по ценообразованию (сметная документация) в состав заявки Участника не включаются».</w:t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sz w:val="24"/>
          <w:szCs w:val="24"/>
        </w:rPr>
      </w:pPr>
      <w:bookmarkStart w:id="43" w:name="__RefHeading___Toc12268_2593447515"/>
      <w:bookmarkStart w:id="44" w:name="_Toc124950361"/>
      <w:bookmarkEnd w:id="43"/>
      <w:r>
        <w:rPr>
          <w:sz w:val="24"/>
          <w:szCs w:val="24"/>
          <w:lang w:val="ru-RU"/>
        </w:rPr>
        <w:t>Требования к документации по ценообразованию на этапе заключения (исполнения) договора</w:t>
      </w:r>
      <w:bookmarkEnd w:id="44"/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426" w:leader="none"/>
        </w:tabs>
        <w:spacing w:lineRule="auto" w:line="276" w:before="0" w:after="0"/>
        <w:ind w:hanging="0" w:left="0"/>
        <w:jc w:val="both"/>
        <w:rPr/>
      </w:pPr>
      <w:bookmarkStart w:id="45" w:name="__RefHeading___Toc12270_2593447515"/>
      <w:bookmarkStart w:id="46" w:name="_Toc124950362"/>
      <w:bookmarkStart w:id="47" w:name="_Ref54278740"/>
      <w:bookmarkEnd w:id="45"/>
      <w:r>
        <w:rPr>
          <w:b w:val="false"/>
        </w:rPr>
        <w:t>Требования к составлению сметной документации (при заключении договора):</w:t>
      </w:r>
      <w:bookmarkEnd w:id="46"/>
      <w:bookmarkEnd w:id="47"/>
    </w:p>
    <w:p>
      <w:pPr>
        <w:pStyle w:val="Heading3"/>
        <w:numPr>
          <w:ilvl w:val="2"/>
          <w:numId w:val="3"/>
        </w:numPr>
        <w:tabs>
          <w:tab w:val="clear" w:pos="708"/>
          <w:tab w:val="left" w:pos="426" w:leader="none"/>
        </w:tabs>
        <w:spacing w:lineRule="auto" w:line="276" w:before="0" w:after="0"/>
        <w:ind w:hanging="0" w:left="0"/>
        <w:jc w:val="both"/>
        <w:rPr/>
      </w:pPr>
      <w:bookmarkStart w:id="48" w:name="__RefHeading___Toc12272_2593447515"/>
      <w:bookmarkStart w:id="49" w:name="_Toc124950363"/>
      <w:bookmarkStart w:id="50" w:name="_Hlk87544714"/>
      <w:bookmarkEnd w:id="48"/>
      <w:bookmarkEnd w:id="50"/>
      <w:r>
        <w:rPr>
          <w:b w:val="false"/>
        </w:rPr>
        <w:t>Сметная документация разработана заказчиком в рамках определения начальной (максимальной) цены договора в соответствии с требованиями, указанными в приложении №</w:t>
      </w:r>
      <w:r>
        <w:rPr>
          <w:b w:val="false"/>
          <w:lang w:val="ru-RU"/>
        </w:rPr>
        <w:t>2</w:t>
      </w:r>
      <w:r>
        <w:rPr>
          <w:b w:val="false"/>
        </w:rPr>
        <w:t xml:space="preserve"> к настоящим Техническим требованиям, и включается в состав договора с применением понижающего коэффициента, указанного в заявке Участника, с которым принято решение заключить договор. Понижающий коэффициент начисляется в локальных сметах единым индексом в итогах (после начисления лимитированных затрат в случае составления одной сметы).</w:t>
      </w:r>
      <w:bookmarkEnd w:id="49"/>
    </w:p>
    <w:p>
      <w:pPr>
        <w:pStyle w:val="Heading3"/>
        <w:numPr>
          <w:ilvl w:val="2"/>
          <w:numId w:val="3"/>
        </w:numPr>
        <w:tabs>
          <w:tab w:val="clear" w:pos="708"/>
          <w:tab w:val="left" w:pos="426" w:leader="none"/>
        </w:tabs>
        <w:spacing w:lineRule="auto" w:line="276" w:before="0" w:after="0"/>
        <w:ind w:hanging="0" w:left="0"/>
        <w:jc w:val="both"/>
        <w:rPr/>
      </w:pPr>
      <w:bookmarkStart w:id="51" w:name="__RefHeading___Toc12274_2593447515"/>
      <w:bookmarkStart w:id="52" w:name="_Toc124950364"/>
      <w:bookmarkStart w:id="53" w:name="_Hlk87544714_Копия_1"/>
      <w:bookmarkEnd w:id="51"/>
      <w:bookmarkEnd w:id="53"/>
      <w:r>
        <w:rPr>
          <w:b w:val="false"/>
        </w:rPr>
        <w:t>Внесение изменений в сметную документацию заказчика</w:t>
      </w:r>
      <w:r>
        <w:rPr>
          <w:b w:val="false"/>
          <w:lang w:val="ru-RU"/>
        </w:rPr>
        <w:t xml:space="preserve"> </w:t>
      </w:r>
      <w:r>
        <w:rPr>
          <w:b w:val="false"/>
        </w:rPr>
        <w:t>(Приложение №</w:t>
      </w:r>
      <w:r>
        <w:rPr>
          <w:b w:val="false"/>
          <w:lang w:val="ru-RU"/>
        </w:rPr>
        <w:t>3</w:t>
      </w:r>
      <w:r>
        <w:rPr>
          <w:b w:val="false"/>
        </w:rPr>
        <w:t xml:space="preserve"> к ТТ), кроме применения понижающего коэффициента в соответствии с п.</w:t>
      </w:r>
      <w:r>
        <w:rPr>
          <w:b w:val="false"/>
        </w:rPr>
        <w:fldChar w:fldCharType="begin"/>
      </w:r>
      <w:r>
        <w:rPr>
          <w:b w:val="false"/>
        </w:rPr>
        <w:instrText xml:space="preserve"> REF _Ref54278740 \r \h </w:instrText>
      </w:r>
      <w:r>
        <w:rPr>
          <w:b w:val="false"/>
        </w:rPr>
        <w:fldChar w:fldCharType="separate"/>
      </w:r>
      <w:r>
        <w:rPr>
          <w:b w:val="false"/>
        </w:rPr>
        <w:t>4.1</w:t>
      </w:r>
      <w:r>
        <w:rPr>
          <w:b w:val="false"/>
        </w:rPr>
        <w:fldChar w:fldCharType="end"/>
      </w:r>
      <w:r>
        <w:rPr>
          <w:b w:val="false"/>
        </w:rPr>
        <w:t>.1, не допускается.</w:t>
      </w:r>
      <w:bookmarkEnd w:id="52"/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426" w:leader="none"/>
        </w:tabs>
        <w:spacing w:lineRule="auto" w:line="276" w:before="0" w:after="0"/>
        <w:ind w:hanging="0" w:left="0"/>
        <w:jc w:val="both"/>
        <w:rPr/>
      </w:pPr>
      <w:bookmarkStart w:id="54" w:name="__RefHeading___Toc12276_2593447515"/>
      <w:bookmarkStart w:id="55" w:name="_Toc124950366"/>
      <w:bookmarkEnd w:id="54"/>
      <w:r>
        <w:rPr>
          <w:b w:val="false"/>
        </w:rPr>
        <w:t>Требования к составлению сметной документации (на этапе исполнения договора):</w:t>
      </w:r>
      <w:bookmarkEnd w:id="55"/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sz w:val="24"/>
          <w:szCs w:val="24"/>
        </w:rPr>
      </w:pPr>
      <w:bookmarkStart w:id="56" w:name="__RefHeading___Toc12278_2593447515"/>
      <w:bookmarkStart w:id="57" w:name="_Toc124950368"/>
      <w:bookmarkStart w:id="58" w:name="_Toc51339699"/>
      <w:bookmarkStart w:id="59" w:name="_Toc46743519"/>
      <w:bookmarkEnd w:id="56"/>
      <w:r>
        <w:rPr>
          <w:iCs/>
          <w:sz w:val="24"/>
          <w:szCs w:val="24"/>
        </w:rPr>
        <w:t>Приложения</w:t>
      </w:r>
      <w:bookmarkEnd w:id="57"/>
      <w:bookmarkEnd w:id="58"/>
      <w:bookmarkEnd w:id="59"/>
    </w:p>
    <w:p>
      <w:pPr>
        <w:pStyle w:val="Normal"/>
        <w:numPr>
          <w:ilvl w:val="0"/>
          <w:numId w:val="8"/>
        </w:numPr>
        <w:tabs>
          <w:tab w:val="clear" w:pos="708"/>
          <w:tab w:val="left" w:pos="426" w:leader="none"/>
        </w:tabs>
        <w:spacing w:before="0" w:after="0"/>
        <w:ind w:hanging="0" w:left="0"/>
        <w:contextualSpacing/>
        <w:jc w:val="both"/>
        <w:rPr>
          <w:szCs w:val="24"/>
        </w:rPr>
      </w:pPr>
      <w:r>
        <w:rPr>
          <w:szCs w:val="24"/>
        </w:rPr>
        <w:t>Приложение №1. Ведомость объемов работ;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426" w:leader="none"/>
        </w:tabs>
        <w:ind w:hanging="0" w:left="0"/>
        <w:rPr>
          <w:szCs w:val="24"/>
        </w:rPr>
      </w:pPr>
      <w:r>
        <w:rPr>
          <w:bCs/>
          <w:szCs w:val="24"/>
          <w:lang w:eastAsia="x-none"/>
        </w:rPr>
        <w:t>Приложение №2</w:t>
      </w:r>
      <w:r>
        <w:rPr>
          <w:bCs/>
          <w:i/>
          <w:szCs w:val="24"/>
          <w:lang w:eastAsia="x-none"/>
        </w:rPr>
        <w:t xml:space="preserve">. </w:t>
      </w:r>
      <w:r>
        <w:rPr>
          <w:bCs/>
          <w:szCs w:val="24"/>
        </w:rPr>
        <w:t>Требования к ценообразованию при формировании Коммерческого предложения в составе заявки участника;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426" w:leader="none"/>
        </w:tabs>
        <w:ind w:hanging="0" w:left="0"/>
        <w:rPr>
          <w:szCs w:val="24"/>
        </w:rPr>
      </w:pPr>
      <w:r>
        <w:rPr>
          <w:bCs/>
          <w:szCs w:val="24"/>
          <w:lang w:eastAsia="x-none"/>
        </w:rPr>
        <w:t>Приложение №</w:t>
      </w:r>
      <w:r>
        <w:rPr>
          <w:bCs/>
          <w:szCs w:val="24"/>
          <w:lang w:val="en-US" w:eastAsia="x-none"/>
        </w:rPr>
        <w:t>3</w:t>
      </w:r>
      <w:r>
        <w:rPr>
          <w:bCs/>
          <w:szCs w:val="24"/>
          <w:lang w:eastAsia="x-none"/>
        </w:rPr>
        <w:t xml:space="preserve">. </w:t>
      </w:r>
      <w:r>
        <w:rPr>
          <w:bCs/>
          <w:szCs w:val="24"/>
        </w:rPr>
        <w:t>Сметная документация;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426" w:leader="none"/>
        </w:tabs>
        <w:ind w:hanging="0" w:left="0"/>
        <w:rPr>
          <w:szCs w:val="24"/>
        </w:rPr>
      </w:pPr>
      <w:r>
        <w:rPr>
          <w:bCs/>
          <w:szCs w:val="24"/>
        </w:rPr>
        <w:t>Приложение №4. Перечень работ с номерами чертежей;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426" w:leader="none"/>
        </w:tabs>
        <w:ind w:hanging="0" w:left="0"/>
        <w:rPr>
          <w:szCs w:val="24"/>
        </w:rPr>
      </w:pPr>
      <w:r>
        <w:rPr>
          <w:bCs/>
          <w:szCs w:val="24"/>
        </w:rPr>
        <w:t>Приложение №5. Перечень передаваемых б/у материалов и запасных частей;</w:t>
      </w:r>
    </w:p>
    <w:p>
      <w:pPr>
        <w:sectPr>
          <w:headerReference w:type="default" r:id="rId8"/>
          <w:headerReference w:type="first" r:id="rId9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81" w:charSpace="0"/>
        </w:sectPr>
        <w:pStyle w:val="Normal"/>
        <w:widowControl w:val="false"/>
        <w:numPr>
          <w:ilvl w:val="0"/>
          <w:numId w:val="8"/>
        </w:numPr>
        <w:tabs>
          <w:tab w:val="clear" w:pos="708"/>
          <w:tab w:val="left" w:pos="450" w:leader="none"/>
        </w:tabs>
        <w:suppressAutoHyphens w:val="true"/>
        <w:bidi w:val="0"/>
        <w:spacing w:before="0" w:after="0"/>
        <w:ind w:hanging="0" w:left="0" w:right="0"/>
        <w:jc w:val="left"/>
        <w:rPr/>
      </w:pPr>
      <w:r>
        <w:rPr>
          <w:rStyle w:val="Hyperlink"/>
          <w:rFonts w:eastAsia="Times New Roman" w:cs="Times New Roman"/>
          <w:bCs/>
          <w:iCs/>
          <w:color w:val="auto"/>
          <w:kern w:val="0"/>
          <w:szCs w:val="24"/>
          <w:u w:val="none"/>
          <w:lang w:val="ru-RU" w:eastAsia="ru-RU" w:bidi="ar-SA"/>
        </w:rPr>
        <w:t>Приложение №6. Политика информационной безопасности ПАО «Якутскэнерго</w:t>
      </w:r>
      <w:r>
        <w:br w:type="page"/>
      </w:r>
    </w:p>
    <w:p>
      <w:pPr>
        <w:pStyle w:val="Normal"/>
        <w:jc w:val="right"/>
        <w:rPr>
          <w:i/>
          <w:i/>
          <w:szCs w:val="24"/>
        </w:rPr>
      </w:pPr>
      <w:r>
        <w:rPr>
          <w:i/>
          <w:szCs w:val="24"/>
        </w:rPr>
        <w:t>Приложение №1 к Техническим требованиям</w:t>
      </w:r>
    </w:p>
    <w:p>
      <w:pPr>
        <w:pStyle w:val="Normal"/>
        <w:jc w:val="right"/>
        <w:rPr>
          <w:szCs w:val="24"/>
        </w:rPr>
      </w:pPr>
      <w:r>
        <w:rPr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b/>
          <w:szCs w:val="24"/>
        </w:rPr>
      </w:pPr>
      <w:r>
        <w:rPr>
          <w:b/>
          <w:szCs w:val="24"/>
        </w:rPr>
        <w:t>ВЕДОМОСТЬ ОБЪЕМОВ РАБОТ</w:t>
      </w:r>
    </w:p>
    <w:p>
      <w:pPr>
        <w:pStyle w:val="Normal"/>
        <w:rPr>
          <w:i/>
          <w:i/>
          <w:szCs w:val="24"/>
        </w:rPr>
      </w:pPr>
      <w:r>
        <w:rPr>
          <w:b/>
          <w:szCs w:val="24"/>
        </w:rPr>
        <w:t xml:space="preserve">                     </w:t>
      </w:r>
      <w:r>
        <w:rPr>
          <w:szCs w:val="24"/>
        </w:rPr>
        <w:t>Ремонт опорных вкладышей подшипников скольжения турбокомпрессора</w:t>
      </w:r>
    </w:p>
    <w:p>
      <w:pPr>
        <w:pStyle w:val="Normal"/>
        <w:rPr>
          <w:i/>
          <w:i/>
          <w:sz w:val="28"/>
        </w:rPr>
      </w:pPr>
      <w:r>
        <w:rPr>
          <w:i/>
          <w:sz w:val="28"/>
        </w:rPr>
      </w:r>
    </w:p>
    <w:p>
      <w:pPr>
        <w:pStyle w:val="Normal"/>
        <w:rPr>
          <w:i/>
          <w:i/>
          <w:sz w:val="28"/>
        </w:rPr>
      </w:pPr>
      <w:r>
        <w:rPr>
          <w:i/>
          <w:sz w:val="28"/>
        </w:rPr>
      </w:r>
    </w:p>
    <w:tbl>
      <w:tblPr>
        <w:tblpPr w:vertAnchor="page" w:horzAnchor="margin" w:leftFromText="180" w:rightFromText="180" w:tblpX="216" w:tblpY="2769"/>
        <w:tblW w:w="992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43"/>
        <w:gridCol w:w="4744"/>
        <w:gridCol w:w="2258"/>
        <w:gridCol w:w="1134"/>
        <w:gridCol w:w="1144"/>
      </w:tblGrid>
      <w:tr>
        <w:trPr>
          <w:trHeight w:val="720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№ </w:t>
            </w:r>
            <w:r>
              <w:rPr>
                <w:color w:val="000000"/>
                <w:szCs w:val="24"/>
              </w:rPr>
              <w:t>п/п</w:t>
            </w:r>
          </w:p>
        </w:tc>
        <w:tc>
          <w:tcPr>
            <w:tcW w:w="47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Наименование</w:t>
            </w:r>
          </w:p>
        </w:tc>
        <w:tc>
          <w:tcPr>
            <w:tcW w:w="22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Обозначение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Ед. изм.</w:t>
            </w:r>
          </w:p>
        </w:tc>
        <w:tc>
          <w:tcPr>
            <w:tcW w:w="11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Кол.</w:t>
            </w:r>
          </w:p>
        </w:tc>
      </w:tr>
      <w:tr>
        <w:trPr>
          <w:trHeight w:val="240" w:hRule="atLeast"/>
        </w:trPr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  <w:tc>
          <w:tcPr>
            <w:tcW w:w="474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</w:t>
            </w: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</w:t>
            </w:r>
          </w:p>
        </w:tc>
      </w:tr>
      <w:tr>
        <w:trPr>
          <w:trHeight w:val="543" w:hRule="atLeast"/>
        </w:trPr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  <w:tc>
          <w:tcPr>
            <w:tcW w:w="474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Перезаливка вкладыша с последующей механической обработкой опоры № 1 d 300 и проточкой внутреннего диаметра, опора РТ сторона регулирования</w:t>
            </w: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Б-261-05-01 СБ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вкладыш</w:t>
            </w:r>
          </w:p>
        </w:tc>
        <w:tc>
          <w:tcPr>
            <w:tcW w:w="1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</w:tr>
      <w:tr>
        <w:trPr>
          <w:trHeight w:val="412" w:hRule="atLeast"/>
        </w:trPr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</w:t>
            </w:r>
          </w:p>
        </w:tc>
        <w:tc>
          <w:tcPr>
            <w:tcW w:w="474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Перезаливка вкладыша с последующей механической обработкой опоры № 2 </w:t>
            </w:r>
            <w:r>
              <w:rPr>
                <w:color w:val="000000"/>
                <w:szCs w:val="24"/>
                <w:lang w:val="en-US"/>
              </w:rPr>
              <w:t>d</w:t>
            </w:r>
            <w:r>
              <w:rPr>
                <w:color w:val="000000"/>
                <w:szCs w:val="24"/>
              </w:rPr>
              <w:t xml:space="preserve"> 360 и проточкой внутреннего диаметра, опора РК сторона генератора</w:t>
            </w: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Б-261-06-01 СБ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вкладыш</w:t>
            </w:r>
          </w:p>
        </w:tc>
        <w:tc>
          <w:tcPr>
            <w:tcW w:w="1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</w:t>
            </w:r>
          </w:p>
        </w:tc>
        <w:tc>
          <w:tcPr>
            <w:tcW w:w="474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Перезаливка вкладыша с последующей механической обработкой опоры № 3 </w:t>
            </w:r>
            <w:r>
              <w:rPr>
                <w:color w:val="000000"/>
                <w:szCs w:val="24"/>
                <w:lang w:val="en-US"/>
              </w:rPr>
              <w:t>d</w:t>
            </w:r>
            <w:r>
              <w:rPr>
                <w:color w:val="000000"/>
                <w:szCs w:val="24"/>
              </w:rPr>
              <w:t xml:space="preserve"> 300 и проточкой внутреннего диаметра, опора РК сторона регулирования</w:t>
            </w: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Б-261-05-01 СБ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вкладыш</w:t>
            </w:r>
          </w:p>
        </w:tc>
        <w:tc>
          <w:tcPr>
            <w:tcW w:w="1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</w:t>
            </w:r>
          </w:p>
        </w:tc>
        <w:tc>
          <w:tcPr>
            <w:tcW w:w="474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Перезаливка вкладыша с последующей механической обработкой опоры № 4 </w:t>
            </w:r>
            <w:r>
              <w:rPr>
                <w:color w:val="000000"/>
                <w:szCs w:val="24"/>
                <w:lang w:val="en-US"/>
              </w:rPr>
              <w:t>d</w:t>
            </w:r>
            <w:r>
              <w:rPr>
                <w:color w:val="000000"/>
                <w:szCs w:val="24"/>
              </w:rPr>
              <w:t xml:space="preserve"> 300 и проточкой внутреннего диаметра, опора вала генератора</w:t>
            </w: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Б-261-04-01 СБ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вкладыш</w:t>
            </w:r>
          </w:p>
        </w:tc>
        <w:tc>
          <w:tcPr>
            <w:tcW w:w="1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</w:tr>
      <w:tr>
        <w:trPr>
          <w:trHeight w:val="421" w:hRule="atLeast"/>
        </w:trPr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</w:t>
            </w:r>
          </w:p>
        </w:tc>
        <w:tc>
          <w:tcPr>
            <w:tcW w:w="474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Перезаливка вкладыша с последующей механической обработкой опоры № 5 </w:t>
            </w:r>
            <w:r>
              <w:rPr>
                <w:color w:val="000000"/>
                <w:szCs w:val="24"/>
                <w:lang w:val="en-US"/>
              </w:rPr>
              <w:t>d</w:t>
            </w:r>
            <w:r>
              <w:rPr>
                <w:color w:val="000000"/>
                <w:szCs w:val="24"/>
              </w:rPr>
              <w:t xml:space="preserve"> 300 и проточкой внутреннего диаметра,  опора вала генератора</w:t>
            </w: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1М2184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вкладыш</w:t>
            </w:r>
          </w:p>
        </w:tc>
        <w:tc>
          <w:tcPr>
            <w:tcW w:w="1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</w:tr>
      <w:tr>
        <w:trPr>
          <w:trHeight w:val="421" w:hRule="atLeast"/>
        </w:trPr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</w:t>
            </w:r>
          </w:p>
        </w:tc>
        <w:tc>
          <w:tcPr>
            <w:tcW w:w="474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Райберовка крепежных отверстий и изготовление призонных болтов</w:t>
            </w:r>
          </w:p>
        </w:tc>
        <w:tc>
          <w:tcPr>
            <w:tcW w:w="2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вкладыш</w:t>
            </w:r>
          </w:p>
        </w:tc>
        <w:tc>
          <w:tcPr>
            <w:tcW w:w="1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</w:t>
            </w:r>
          </w:p>
        </w:tc>
      </w:tr>
    </w:tbl>
    <w:p>
      <w:pPr>
        <w:pStyle w:val="Normal"/>
        <w:rPr>
          <w:i/>
          <w:i/>
          <w:szCs w:val="24"/>
        </w:rPr>
      </w:pPr>
      <w:r>
        <w:rPr>
          <w:i/>
          <w:szCs w:val="24"/>
        </w:rPr>
      </w:r>
    </w:p>
    <w:p>
      <w:pPr>
        <w:pStyle w:val="Normal"/>
        <w:rPr>
          <w:b/>
          <w:i/>
          <w:i/>
          <w:sz w:val="28"/>
        </w:rPr>
      </w:pPr>
      <w:r>
        <w:rPr>
          <w:b/>
          <w:i/>
          <w:sz w:val="28"/>
        </w:rPr>
        <w:t xml:space="preserve">    </w:t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 w:val="28"/>
        </w:rPr>
        <w:t xml:space="preserve">    </w:t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  <w:t xml:space="preserve">      </w:t>
      </w:r>
    </w:p>
    <w:p>
      <w:pPr>
        <w:pStyle w:val="Normal"/>
        <w:rPr>
          <w:b/>
          <w:szCs w:val="24"/>
        </w:rPr>
      </w:pPr>
      <w:r>
        <w:rPr>
          <w:b/>
          <w:i/>
          <w:szCs w:val="24"/>
        </w:rPr>
        <w:t xml:space="preserve">      </w:t>
      </w:r>
      <w:r>
        <w:rPr>
          <w:b/>
          <w:szCs w:val="24"/>
        </w:rPr>
        <w:t>Важно:</w:t>
      </w:r>
    </w:p>
    <w:p>
      <w:pPr>
        <w:pStyle w:val="ListParagraph"/>
        <w:numPr>
          <w:ilvl w:val="0"/>
          <w:numId w:val="12"/>
        </w:numPr>
        <w:rPr/>
      </w:pPr>
      <w:r>
        <w:rPr>
          <w:color w:val="000000"/>
        </w:rPr>
        <w:t xml:space="preserve">Толщина баббитового слоя и размер внутреннего диаметра вкладышей согласовывается с Заказчиком. </w:t>
      </w:r>
    </w:p>
    <w:p>
      <w:pPr>
        <w:pStyle w:val="ListParagraph"/>
        <w:numPr>
          <w:ilvl w:val="0"/>
          <w:numId w:val="12"/>
        </w:numPr>
        <w:rPr/>
      </w:pPr>
      <w:r>
        <w:rPr/>
        <w:t xml:space="preserve">Таблица необходимых диаметров будет составлена после вскрытия ГТЭ-45-3 ст. № 4, и будет направлена Заказчиком. </w:t>
      </w:r>
    </w:p>
    <w:p>
      <w:pPr>
        <w:pStyle w:val="ListParagraph"/>
        <w:numPr>
          <w:ilvl w:val="0"/>
          <w:numId w:val="12"/>
        </w:numPr>
        <w:rPr/>
      </w:pPr>
      <w:r>
        <w:rPr/>
        <w:t>Материал баббита – Б 83.</w:t>
      </w:r>
    </w:p>
    <w:p>
      <w:pPr>
        <w:pStyle w:val="ListParagraph"/>
        <w:numPr>
          <w:ilvl w:val="0"/>
          <w:numId w:val="12"/>
        </w:numPr>
        <w:rPr/>
      </w:pPr>
      <w:r>
        <w:rPr/>
        <w:t>Для обеспечения собираемости вкладышей №1,2,3,4,5 необходимо выполнить райберовку крепежных отверстий и изготовление призонных болтов.</w:t>
      </w:r>
    </w:p>
    <w:p>
      <w:pPr>
        <w:pStyle w:val="Normal"/>
        <w:spacing w:lineRule="auto" w:line="360" w:before="0" w:after="20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 xml:space="preserve">    </w:t>
      </w:r>
    </w:p>
    <w:p>
      <w:pPr>
        <w:pStyle w:val="Normal"/>
        <w:jc w:val="right"/>
        <w:rPr>
          <w:szCs w:val="24"/>
        </w:rPr>
      </w:pPr>
      <w:r>
        <w:rPr>
          <w:szCs w:val="24"/>
        </w:rPr>
      </w:r>
    </w:p>
    <w:p>
      <w:pPr>
        <w:pStyle w:val="Normal"/>
        <w:jc w:val="right"/>
        <w:rPr>
          <w:szCs w:val="24"/>
        </w:rPr>
      </w:pPr>
      <w:r>
        <w:rPr>
          <w:szCs w:val="24"/>
        </w:rPr>
      </w:r>
    </w:p>
    <w:p>
      <w:pPr>
        <w:pStyle w:val="Normal"/>
        <w:jc w:val="right"/>
        <w:rPr>
          <w:szCs w:val="24"/>
        </w:rPr>
      </w:pPr>
      <w:r>
        <w:rPr>
          <w:szCs w:val="24"/>
        </w:rPr>
      </w:r>
    </w:p>
    <w:p>
      <w:pPr>
        <w:pStyle w:val="Normal"/>
        <w:jc w:val="right"/>
        <w:rPr>
          <w:szCs w:val="24"/>
        </w:rPr>
      </w:pPr>
      <w:r>
        <w:rPr>
          <w:szCs w:val="24"/>
        </w:rPr>
      </w:r>
    </w:p>
    <w:p>
      <w:pPr>
        <w:pStyle w:val="Normal"/>
        <w:jc w:val="right"/>
        <w:rPr>
          <w:szCs w:val="24"/>
        </w:rPr>
      </w:pPr>
      <w:r>
        <w:rPr>
          <w:szCs w:val="24"/>
        </w:rPr>
      </w:r>
    </w:p>
    <w:p>
      <w:pPr>
        <w:pStyle w:val="Normal"/>
        <w:jc w:val="right"/>
        <w:rPr>
          <w:szCs w:val="24"/>
        </w:rPr>
      </w:pPr>
      <w:r>
        <w:rPr>
          <w:szCs w:val="24"/>
        </w:rPr>
      </w:r>
    </w:p>
    <w:p>
      <w:pPr>
        <w:pStyle w:val="Normal"/>
        <w:jc w:val="right"/>
        <w:rPr>
          <w:szCs w:val="24"/>
        </w:rPr>
      </w:pPr>
      <w:r>
        <w:rPr>
          <w:szCs w:val="24"/>
        </w:rPr>
      </w:r>
    </w:p>
    <w:p>
      <w:pPr>
        <w:pStyle w:val="Normal"/>
        <w:jc w:val="right"/>
        <w:rPr>
          <w:szCs w:val="24"/>
        </w:rPr>
      </w:pPr>
      <w:r>
        <w:rPr>
          <w:szCs w:val="24"/>
        </w:rPr>
      </w:r>
    </w:p>
    <w:p>
      <w:pPr>
        <w:pStyle w:val="Normal"/>
        <w:jc w:val="right"/>
        <w:rPr>
          <w:szCs w:val="24"/>
        </w:rPr>
      </w:pPr>
      <w:r>
        <w:rPr>
          <w:szCs w:val="24"/>
        </w:rPr>
      </w:r>
      <w:bookmarkStart w:id="60" w:name="_GoBack"/>
      <w:bookmarkStart w:id="61" w:name="_GoBack"/>
      <w:bookmarkEnd w:id="61"/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jc w:val="right"/>
        <w:rPr>
          <w:szCs w:val="24"/>
        </w:rPr>
      </w:pPr>
      <w:r>
        <w:rPr>
          <w:i/>
          <w:szCs w:val="24"/>
        </w:rPr>
        <w:t>Приложение №2 к Техническим требованиям</w:t>
      </w:r>
    </w:p>
    <w:p>
      <w:pPr>
        <w:pStyle w:val="Normal"/>
        <w:jc w:val="right"/>
        <w:rPr>
          <w:i/>
          <w:i/>
          <w:szCs w:val="24"/>
        </w:rPr>
      </w:pPr>
      <w:r>
        <w:rPr>
          <w:i/>
          <w:szCs w:val="24"/>
        </w:rPr>
      </w:r>
    </w:p>
    <w:p>
      <w:pPr>
        <w:pStyle w:val="NoSpacing"/>
        <w:jc w:val="center"/>
        <w:rPr/>
      </w:pPr>
      <w:bookmarkStart w:id="62" w:name="_Toc54451385"/>
      <w:bookmarkStart w:id="63" w:name="_Toc124950369"/>
      <w:r>
        <w:rPr>
          <w:b/>
        </w:rPr>
        <w:t>Требования к оформлению и составлению документации по ценообразованию</w:t>
      </w:r>
      <w:bookmarkEnd w:id="62"/>
      <w:bookmarkEnd w:id="63"/>
    </w:p>
    <w:p>
      <w:pPr>
        <w:pStyle w:val="Normal"/>
        <w:rPr>
          <w:szCs w:val="24"/>
          <w:lang w:val="x-none" w:eastAsia="x-none"/>
        </w:rPr>
      </w:pPr>
      <w:r>
        <w:rPr>
          <w:szCs w:val="24"/>
          <w:lang w:val="x-none" w:eastAsia="x-none"/>
        </w:rPr>
      </w:r>
      <w:bookmarkStart w:id="64" w:name="_Hlk48224758_Копия_1"/>
      <w:bookmarkStart w:id="65" w:name="_Ref40301253_Копия_1"/>
      <w:bookmarkStart w:id="66" w:name="_Hlk48224758_Копия_1"/>
      <w:bookmarkStart w:id="67" w:name="_Ref40301253_Копия_1"/>
      <w:bookmarkEnd w:id="66"/>
      <w:bookmarkEnd w:id="67"/>
    </w:p>
    <w:p>
      <w:pPr>
        <w:pStyle w:val="Normal"/>
        <w:rPr>
          <w:szCs w:val="24"/>
        </w:rPr>
      </w:pPr>
      <w:r>
        <w:rPr>
          <w:szCs w:val="24"/>
        </w:rPr>
        <w:t>1.</w:t>
        <w:tab/>
        <w:t>Стоимость предложений участников определяется по формуле:</w:t>
      </w:r>
    </w:p>
    <w:p>
      <w:pPr>
        <w:pStyle w:val="Normal"/>
        <w:jc w:val="center"/>
        <w:rPr>
          <w:szCs w:val="24"/>
        </w:rPr>
      </w:pPr>
      <w:r>
        <w:rPr>
          <w:szCs w:val="24"/>
        </w:rPr>
        <w:t>P=N*k,</w:t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>где  P – стоимость предложения участника;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>N – начальная (максимальная) цена договорная (цена лота), определенная в соответствии со сметной документацией Заказчика, представленной в составе Документации о закупке;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>k  – понижающий коэффициент, заявленный участником в расчете цен заявки, величину данного коэффициента рекомендуется учитывать с округлением до 3 знаков после запятой.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 xml:space="preserve">       </w:t>
      </w:r>
      <w:r>
        <w:rPr>
          <w:szCs w:val="24"/>
        </w:rPr>
        <w:t>Понижающий коэффициент указывается участником в форме «Коммерческое предложение», приведенной в Документации о закупке.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>2.</w:t>
        <w:tab/>
        <w:t>Участник формирует стоимость своей заявки с учетом понижающего коэффициента, указанного в п. 1 настоящих требований.</w:t>
      </w:r>
    </w:p>
    <w:p>
      <w:pPr>
        <w:sectPr>
          <w:headerReference w:type="default" r:id="rId10"/>
          <w:headerReference w:type="first" r:id="rId11"/>
          <w:footerReference w:type="default" r:id="rId12"/>
          <w:type w:val="nextPage"/>
          <w:pgSz w:w="11906" w:h="16838"/>
          <w:pgMar w:left="1134" w:right="851" w:gutter="0" w:header="680" w:top="1134" w:footer="737" w:bottom="992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jc w:val="both"/>
        <w:rPr>
          <w:szCs w:val="24"/>
        </w:rPr>
      </w:pPr>
      <w:r>
        <w:rPr>
          <w:szCs w:val="24"/>
        </w:rPr>
        <w:t>3.</w:t>
        <w:tab/>
        <w:t>Внесение изменений в сметную документацию Заказчика, кроме применения понижающего коэффициента, не допускается.</w:t>
      </w:r>
      <w:r>
        <w:br w:type="page"/>
      </w:r>
    </w:p>
    <w:p>
      <w:pPr>
        <w:pStyle w:val="Normal"/>
        <w:jc w:val="right"/>
        <w:rPr>
          <w:szCs w:val="24"/>
        </w:rPr>
      </w:pPr>
      <w:r>
        <w:rPr>
          <w:i/>
          <w:szCs w:val="24"/>
        </w:rPr>
        <w:t>Приложение №3 к Техническим требованиям</w:t>
      </w:r>
    </w:p>
    <w:p>
      <w:pPr>
        <w:pStyle w:val="Normal"/>
        <w:jc w:val="center"/>
        <w:rPr>
          <w:szCs w:val="24"/>
        </w:rPr>
      </w:pPr>
      <w:r>
        <w:rPr>
          <w:bCs/>
          <w:i/>
          <w:szCs w:val="24"/>
        </w:rPr>
        <w:t>Сметная документация</w:t>
      </w:r>
    </w:p>
    <w:sectPr>
      <w:headerReference w:type="default" r:id="rId13"/>
      <w:headerReference w:type="first" r:id="rId14"/>
      <w:footerReference w:type="default" r:id="rId15"/>
      <w:footerReference w:type="first" r:id="rId16"/>
      <w:type w:val="nextPage"/>
      <w:pgSz w:orient="landscape" w:w="16838" w:h="11906"/>
      <w:pgMar w:left="992" w:right="1134" w:gutter="0" w:header="680" w:top="1134" w:footer="737" w:bottom="85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873770747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13</w:t>
        </w:r>
        <w:r>
          <w:rPr/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13</w:t>
    </w:r>
    <w:r>
      <w:rPr/>
      <w:fldChar w:fldCharType="end"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shadow w:val="false"/>
        <w:u w:val="none"/>
        <w:b w:val="false"/>
        <w:kern w:val="0"/>
        <w:effect w:val="none"/>
        <w:szCs w:val="24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1353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95" w:hanging="375"/>
      </w:pPr>
      <w:rPr>
        <w:i w:val="fals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  <w:rPr>
        <w:i w:val="fals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20" w:hanging="1080"/>
      </w:pPr>
      <w:rPr>
        <w:i w:val="fals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  <w:rPr>
        <w:i w:val="fals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600" w:hanging="1440"/>
      </w:pPr>
      <w:rPr>
        <w:i w:val="fals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  <w:rPr>
        <w:i w:val="fals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680" w:hanging="1800"/>
      </w:pPr>
      <w:rPr>
        <w:i w:val="fals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400" w:hanging="2160"/>
      </w:pPr>
      <w:rPr>
        <w:i w:val="false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6709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432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4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2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Без интервала Знак"/>
    <w:basedOn w:val="DefaultParagraphFont"/>
    <w:link w:val="NoSpacing"/>
    <w:qFormat/>
    <w:rsid w:val="0003795b"/>
    <w:rPr>
      <w:rFonts w:eastAsia="Calibri"/>
      <w:sz w:val="24"/>
      <w:szCs w:val="24"/>
    </w:rPr>
  </w:style>
  <w:style w:type="character" w:styleId="Style15" w:customStyle="1">
    <w:name w:val="Нижний колонтитул Знак"/>
    <w:basedOn w:val="DefaultParagraphFont"/>
    <w:uiPriority w:val="99"/>
    <w:qFormat/>
    <w:rsid w:val="001d0b93"/>
    <w:rPr>
      <w:sz w:val="24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e23161"/>
    <w:rPr>
      <w:color w:val="954F72"/>
      <w:u w:val="single"/>
    </w:rPr>
  </w:style>
  <w:style w:type="character" w:styleId="Style16" w:customStyle="1">
    <w:name w:val="Ссылка указателя"/>
    <w:qFormat/>
    <w:rPr/>
  </w:style>
  <w:style w:type="character" w:styleId="Style17" w:customStyle="1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Style2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1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2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Cs w:val="24"/>
    </w:rPr>
  </w:style>
  <w:style w:type="paragraph" w:styleId="Footer">
    <w:name w:val="Footer"/>
    <w:basedOn w:val="Normal"/>
    <w:link w:val="Style15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Cs w:val="20"/>
    </w:rPr>
  </w:style>
  <w:style w:type="paragraph" w:styleId="Style24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1567af"/>
    <w:pPr>
      <w:spacing w:before="120" w:after="0"/>
    </w:pPr>
    <w:rPr>
      <w:rFonts w:cs="Calibri Light (Заголовки)"/>
      <w:b/>
      <w:bCs/>
      <w:szCs w:val="24"/>
    </w:rPr>
  </w:style>
  <w:style w:type="paragraph" w:styleId="TOC3">
    <w:name w:val="TOC 3"/>
    <w:basedOn w:val="Normal"/>
    <w:next w:val="Normal"/>
    <w:autoRedefine/>
    <w:uiPriority w:val="39"/>
    <w:rsid w:val="00e23161"/>
    <w:pPr>
      <w:tabs>
        <w:tab w:val="clear" w:pos="708"/>
        <w:tab w:val="left" w:pos="1134" w:leader="none"/>
        <w:tab w:val="right" w:pos="9911" w:leader="dot"/>
      </w:tabs>
      <w:ind w:hanging="0" w:left="280"/>
    </w:pPr>
    <w:rPr>
      <w:rFonts w:cs="Calibri" w:cstheme="minorHAnsi"/>
      <w:sz w:val="20"/>
      <w:szCs w:val="20"/>
    </w:rPr>
  </w:style>
  <w:style w:type="paragraph" w:styleId="Style25" w:customStyle="1">
    <w:name w:val="Раздел регламента"/>
    <w:basedOn w:val="Normal"/>
    <w:qFormat/>
    <w:rsid w:val="00e228fa"/>
    <w:pPr/>
    <w:rPr/>
  </w:style>
  <w:style w:type="paragraph" w:styleId="Style26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7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link w:val="Style14"/>
    <w:qFormat/>
    <w:rsid w:val="00d22f6d"/>
    <w:pPr>
      <w:spacing w:lineRule="auto" w:line="360"/>
    </w:pPr>
    <w:rPr>
      <w:rFonts w:eastAsia="Calibri"/>
      <w:szCs w:val="24"/>
    </w:rPr>
  </w:style>
  <w:style w:type="paragraph" w:styleId="Caption1111111" w:customStyle="1">
    <w:name w:val="caption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Cs w:val="24"/>
      <w:lang w:val="x-none" w:eastAsia="x-none"/>
    </w:rPr>
  </w:style>
  <w:style w:type="paragraph" w:styleId="Style28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9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0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Cs w:val="24"/>
      <w:lang w:val="x-none" w:eastAsia="x-none"/>
    </w:rPr>
  </w:style>
  <w:style w:type="paragraph" w:styleId="Style31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2" w:customStyle="1">
    <w:name w:val="Подподпункт"/>
    <w:basedOn w:val="Style24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3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4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Cs w:val="20"/>
      <w:lang w:eastAsia="x-none"/>
    </w:rPr>
  </w:style>
  <w:style w:type="paragraph" w:styleId="Style35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Xl74" w:customStyle="1">
    <w:name w:val="xl74"/>
    <w:basedOn w:val="Normal"/>
    <w:qFormat/>
    <w:rsid w:val="00265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Arial" w:hAnsi="Arial" w:cs="Arial"/>
      <w:sz w:val="18"/>
      <w:szCs w:val="18"/>
    </w:rPr>
  </w:style>
  <w:style w:type="paragraph" w:styleId="Xl99" w:customStyle="1">
    <w:name w:val="xl99"/>
    <w:basedOn w:val="Normal"/>
    <w:qFormat/>
    <w:rsid w:val="00265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szCs w:val="24"/>
    </w:rPr>
  </w:style>
  <w:style w:type="paragraph" w:styleId="Default" w:customStyle="1">
    <w:name w:val="Default"/>
    <w:qFormat/>
    <w:rsid w:val="001d0b9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Msonormal" w:customStyle="1">
    <w:name w:val="msonormal"/>
    <w:basedOn w:val="Normal"/>
    <w:qFormat/>
    <w:rsid w:val="00e23161"/>
    <w:pPr>
      <w:spacing w:beforeAutospacing="1" w:afterAutospacing="1"/>
    </w:pPr>
    <w:rPr>
      <w:szCs w:val="24"/>
    </w:rPr>
  </w:style>
  <w:style w:type="paragraph" w:styleId="Xl63" w:customStyle="1">
    <w:name w:val="xl63"/>
    <w:basedOn w:val="Normal"/>
    <w:qFormat/>
    <w:rsid w:val="00e23161"/>
    <w:pPr>
      <w:spacing w:beforeAutospacing="1" w:afterAutospacing="1"/>
    </w:pPr>
    <w:rPr>
      <w:rFonts w:ascii="Arial" w:hAnsi="Arial" w:cs="Arial"/>
      <w:sz w:val="16"/>
      <w:szCs w:val="16"/>
    </w:rPr>
  </w:style>
  <w:style w:type="paragraph" w:styleId="Xl64" w:customStyle="1">
    <w:name w:val="xl64"/>
    <w:basedOn w:val="Normal"/>
    <w:qFormat/>
    <w:rsid w:val="00e23161"/>
    <w:pPr>
      <w:spacing w:beforeAutospacing="1" w:afterAutospacing="1"/>
    </w:pPr>
    <w:rPr>
      <w:rFonts w:ascii="Arial" w:hAnsi="Arial" w:cs="Arial"/>
      <w:sz w:val="16"/>
      <w:szCs w:val="16"/>
    </w:rPr>
  </w:style>
  <w:style w:type="paragraph" w:styleId="Xl65" w:customStyle="1">
    <w:name w:val="xl65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styleId="Xl66" w:customStyle="1">
    <w:name w:val="xl66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styleId="Xl67" w:customStyle="1">
    <w:name w:val="xl67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styleId="Xl68" w:customStyle="1">
    <w:name w:val="xl68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Xl69" w:customStyle="1">
    <w:name w:val="xl69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Arial" w:hAnsi="Arial" w:cs="Arial"/>
      <w:b/>
      <w:bCs/>
      <w:sz w:val="16"/>
      <w:szCs w:val="16"/>
    </w:rPr>
  </w:style>
  <w:style w:type="paragraph" w:styleId="Xl70" w:customStyle="1">
    <w:name w:val="xl70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Xl71" w:customStyle="1">
    <w:name w:val="xl71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Xl72" w:customStyle="1">
    <w:name w:val="xl72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styleId="Xl73" w:customStyle="1">
    <w:name w:val="xl73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rFonts w:ascii="Arial" w:hAnsi="Arial" w:cs="Arial"/>
      <w:sz w:val="16"/>
      <w:szCs w:val="16"/>
    </w:rPr>
  </w:style>
  <w:style w:type="paragraph" w:styleId="Xl75" w:customStyle="1">
    <w:name w:val="xl75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styleId="Xl76" w:customStyle="1">
    <w:name w:val="xl76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styleId="Xl77" w:customStyle="1">
    <w:name w:val="xl77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styleId="Xl78" w:customStyle="1">
    <w:name w:val="xl78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styleId="Xl79" w:customStyle="1">
    <w:name w:val="xl79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styleId="Xl80" w:customStyle="1">
    <w:name w:val="xl80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styleId="Xl81" w:customStyle="1">
    <w:name w:val="xl81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styleId="Xl82" w:customStyle="1">
    <w:name w:val="xl82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styleId="Xl83" w:customStyle="1">
    <w:name w:val="xl83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styleId="Xl84" w:customStyle="1">
    <w:name w:val="xl84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styleId="Xl85" w:customStyle="1">
    <w:name w:val="xl85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styleId="Xl86" w:customStyle="1">
    <w:name w:val="xl86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styleId="Xl87" w:customStyle="1">
    <w:name w:val="xl87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styleId="Xl88" w:customStyle="1">
    <w:name w:val="xl88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styleId="Xl89" w:customStyle="1">
    <w:name w:val="xl89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styleId="Xl90" w:customStyle="1">
    <w:name w:val="xl90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Xl91" w:customStyle="1">
    <w:name w:val="xl91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Xl92" w:customStyle="1">
    <w:name w:val="xl92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Xl93" w:customStyle="1">
    <w:name w:val="xl93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styleId="Xl94" w:customStyle="1">
    <w:name w:val="xl94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Xl95" w:customStyle="1">
    <w:name w:val="xl95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Xl96" w:customStyle="1">
    <w:name w:val="xl96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styleId="Xl97" w:customStyle="1">
    <w:name w:val="xl97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Arial" w:hAnsi="Arial" w:cs="Arial"/>
      <w:b/>
      <w:bCs/>
      <w:sz w:val="16"/>
      <w:szCs w:val="16"/>
    </w:rPr>
  </w:style>
  <w:style w:type="paragraph" w:styleId="Xl98" w:customStyle="1">
    <w:name w:val="xl98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100" w:customStyle="1">
    <w:name w:val="xl100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styleId="Xl101" w:customStyle="1">
    <w:name w:val="xl101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styleId="Xl102" w:customStyle="1">
    <w:name w:val="xl102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styleId="Xl103" w:customStyle="1">
    <w:name w:val="xl103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styleId="Xl104" w:customStyle="1">
    <w:name w:val="xl104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Cs w:val="24"/>
    </w:rPr>
  </w:style>
  <w:style w:type="paragraph" w:styleId="Xl105" w:customStyle="1">
    <w:name w:val="xl105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styleId="Xl106" w:customStyle="1">
    <w:name w:val="xl106"/>
    <w:basedOn w:val="Normal"/>
    <w:qFormat/>
    <w:rsid w:val="00e23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styleId="Xl107" w:customStyle="1">
    <w:name w:val="xl107"/>
    <w:basedOn w:val="Normal"/>
    <w:qFormat/>
    <w:rsid w:val="007c5a15"/>
    <w:pPr>
      <w:pBdr>
        <w:top w:val="single" w:sz="4" w:space="0" w:color="000000"/>
      </w:pBdr>
      <w:spacing w:beforeAutospacing="1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styleId="Xl108" w:customStyle="1">
    <w:name w:val="xl108"/>
    <w:basedOn w:val="Normal"/>
    <w:qFormat/>
    <w:rsid w:val="007c5a15"/>
    <w:pPr>
      <w:pBdr>
        <w:top w:val="single" w:sz="4" w:space="0" w:color="000000"/>
      </w:pBdr>
      <w:spacing w:beforeAutospacing="1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Xl109" w:customStyle="1">
    <w:name w:val="xl109"/>
    <w:basedOn w:val="Normal"/>
    <w:qFormat/>
    <w:rsid w:val="007c5a15"/>
    <w:pPr>
      <w:pBdr>
        <w:top w:val="single" w:sz="4" w:space="0" w:color="000000"/>
      </w:pBdr>
      <w:spacing w:beforeAutospacing="1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Xl110" w:customStyle="1">
    <w:name w:val="xl110"/>
    <w:basedOn w:val="Normal"/>
    <w:qFormat/>
    <w:rsid w:val="007c5a15"/>
    <w:pPr>
      <w:pBdr>
        <w:top w:val="single" w:sz="4" w:space="0" w:color="000000"/>
        <w:right w:val="single" w:sz="4" w:space="0" w:color="000000"/>
      </w:pBdr>
      <w:spacing w:beforeAutospacing="1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styleId="Xl111" w:customStyle="1">
    <w:name w:val="xl111"/>
    <w:basedOn w:val="Normal"/>
    <w:qFormat/>
    <w:rsid w:val="007c5a15"/>
    <w:pPr>
      <w:spacing w:beforeAutospacing="1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styleId="Xl112" w:customStyle="1">
    <w:name w:val="xl112"/>
    <w:basedOn w:val="Normal"/>
    <w:qFormat/>
    <w:rsid w:val="007c5a15"/>
    <w:pPr>
      <w:spacing w:beforeAutospacing="1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Xl113" w:customStyle="1">
    <w:name w:val="xl113"/>
    <w:basedOn w:val="Normal"/>
    <w:qFormat/>
    <w:rsid w:val="007c5a15"/>
    <w:pPr>
      <w:spacing w:beforeAutospacing="1" w:afterAutospacing="1"/>
      <w:textAlignment w:val="top"/>
    </w:pPr>
    <w:rPr>
      <w:rFonts w:ascii="Arial" w:hAnsi="Arial" w:cs="Arial"/>
      <w:b/>
      <w:bCs/>
      <w:sz w:val="16"/>
      <w:szCs w:val="16"/>
    </w:rPr>
  </w:style>
  <w:style w:type="paragraph" w:styleId="Xl114" w:customStyle="1">
    <w:name w:val="xl114"/>
    <w:basedOn w:val="Normal"/>
    <w:qFormat/>
    <w:rsid w:val="007c5a15"/>
    <w:pPr>
      <w:spacing w:beforeAutospacing="1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Xl115" w:customStyle="1">
    <w:name w:val="xl115"/>
    <w:basedOn w:val="Normal"/>
    <w:qFormat/>
    <w:rsid w:val="007c5a15"/>
    <w:pPr>
      <w:spacing w:beforeAutospacing="1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styleId="Xl116" w:customStyle="1">
    <w:name w:val="xl116"/>
    <w:basedOn w:val="Normal"/>
    <w:qFormat/>
    <w:rsid w:val="007c5a15"/>
    <w:pPr>
      <w:pBdr>
        <w:top w:val="single" w:sz="4" w:space="0" w:color="000000"/>
        <w:lef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117" w:customStyle="1">
    <w:name w:val="xl117"/>
    <w:basedOn w:val="Normal"/>
    <w:qFormat/>
    <w:rsid w:val="007c5a15"/>
    <w:pPr>
      <w:pBdr>
        <w:top w:val="single" w:sz="4" w:space="0" w:color="000000"/>
      </w:pBdr>
      <w:spacing w:beforeAutospacing="1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styleId="Xl118" w:customStyle="1">
    <w:name w:val="xl118"/>
    <w:basedOn w:val="Normal"/>
    <w:qFormat/>
    <w:rsid w:val="007c5a15"/>
    <w:pPr>
      <w:pBdr>
        <w:top w:val="single" w:sz="4" w:space="0" w:color="000000"/>
        <w:right w:val="single" w:sz="4" w:space="0" w:color="000000"/>
      </w:pBdr>
      <w:spacing w:beforeAutospacing="1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styleId="Xl119" w:customStyle="1">
    <w:name w:val="xl119"/>
    <w:basedOn w:val="Normal"/>
    <w:qFormat/>
    <w:rsid w:val="007c5a15"/>
    <w:pPr>
      <w:pBdr>
        <w:lef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styleId="Xl120" w:customStyle="1">
    <w:name w:val="xl120"/>
    <w:basedOn w:val="Normal"/>
    <w:qFormat/>
    <w:rsid w:val="007c5a15"/>
    <w:pPr>
      <w:pBdr>
        <w:right w:val="single" w:sz="4" w:space="0" w:color="000000"/>
      </w:pBdr>
      <w:spacing w:beforeAutospacing="1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styleId="Xl121" w:customStyle="1">
    <w:name w:val="xl121"/>
    <w:basedOn w:val="Normal"/>
    <w:qFormat/>
    <w:rsid w:val="007c5a15"/>
    <w:pPr>
      <w:pBdr>
        <w:right w:val="single" w:sz="4" w:space="0" w:color="000000"/>
      </w:pBdr>
      <w:spacing w:beforeAutospacing="1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styleId="Xl122" w:customStyle="1">
    <w:name w:val="xl122"/>
    <w:basedOn w:val="Normal"/>
    <w:qFormat/>
    <w:rsid w:val="007c5a15"/>
    <w:pPr>
      <w:spacing w:beforeAutospacing="1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styleId="Xl123" w:customStyle="1">
    <w:name w:val="xl123"/>
    <w:basedOn w:val="Normal"/>
    <w:qFormat/>
    <w:rsid w:val="007c5a15"/>
    <w:pPr>
      <w:pBdr>
        <w:right w:val="single" w:sz="4" w:space="0" w:color="000000"/>
      </w:pBdr>
      <w:spacing w:beforeAutospacing="1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styleId="Xl124" w:customStyle="1">
    <w:name w:val="xl124"/>
    <w:basedOn w:val="Normal"/>
    <w:qFormat/>
    <w:rsid w:val="007c5a15"/>
    <w:pPr>
      <w:pBdr>
        <w:top w:val="single" w:sz="4" w:space="0" w:color="000000"/>
      </w:pBdr>
      <w:spacing w:beforeAutospacing="1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Xl125" w:customStyle="1">
    <w:name w:val="xl125"/>
    <w:basedOn w:val="Normal"/>
    <w:qFormat/>
    <w:rsid w:val="007c5a15"/>
    <w:pPr>
      <w:spacing w:beforeAutospacing="1" w:afterAutospacing="1"/>
      <w:jc w:val="center"/>
      <w:textAlignment w:val="top"/>
    </w:pPr>
    <w:rPr>
      <w:rFonts w:ascii="Arial" w:hAnsi="Arial" w:cs="Arial"/>
      <w:i/>
      <w:iCs/>
      <w:sz w:val="16"/>
      <w:szCs w:val="16"/>
    </w:rPr>
  </w:style>
  <w:style w:type="paragraph" w:styleId="Xl126" w:customStyle="1">
    <w:name w:val="xl126"/>
    <w:basedOn w:val="Normal"/>
    <w:qFormat/>
    <w:rsid w:val="007c5a15"/>
    <w:pPr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styleId="Xl127" w:customStyle="1">
    <w:name w:val="xl127"/>
    <w:basedOn w:val="Normal"/>
    <w:qFormat/>
    <w:rsid w:val="007c5a15"/>
    <w:pPr>
      <w:pBdr>
        <w:right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styleId="Xl128" w:customStyle="1">
    <w:name w:val="xl128"/>
    <w:basedOn w:val="Normal"/>
    <w:qFormat/>
    <w:rsid w:val="007c5a15"/>
    <w:pPr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styleId="Xl129" w:customStyle="1">
    <w:name w:val="xl129"/>
    <w:basedOn w:val="Normal"/>
    <w:qFormat/>
    <w:rsid w:val="007c5a15"/>
    <w:pPr>
      <w:pBdr>
        <w:right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styleId="Xl130" w:customStyle="1">
    <w:name w:val="xl130"/>
    <w:basedOn w:val="Normal"/>
    <w:qFormat/>
    <w:rsid w:val="007c5a15"/>
    <w:pPr>
      <w:pBdr>
        <w:right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styleId="Xl131" w:customStyle="1">
    <w:name w:val="xl131"/>
    <w:basedOn w:val="Normal"/>
    <w:qFormat/>
    <w:rsid w:val="007c5a15"/>
    <w:pPr>
      <w:spacing w:beforeAutospacing="1" w:afterAutospacing="1"/>
      <w:textAlignment w:val="top"/>
    </w:pPr>
    <w:rPr>
      <w:rFonts w:ascii="Arial" w:hAnsi="Arial" w:cs="Arial"/>
      <w:i/>
      <w:iCs/>
      <w:sz w:val="16"/>
      <w:szCs w:val="16"/>
    </w:rPr>
  </w:style>
  <w:style w:type="paragraph" w:styleId="Xl132" w:customStyle="1">
    <w:name w:val="xl132"/>
    <w:basedOn w:val="Normal"/>
    <w:qFormat/>
    <w:rsid w:val="007c5a1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styleId="Xl133" w:customStyle="1">
    <w:name w:val="xl133"/>
    <w:basedOn w:val="Normal"/>
    <w:qFormat/>
    <w:rsid w:val="007c5a15"/>
    <w:pPr>
      <w:pBdr>
        <w:top w:val="single" w:sz="4" w:space="0" w:color="000000"/>
        <w:bottom w:val="single" w:sz="4" w:space="0" w:color="000000"/>
      </w:pBdr>
      <w:spacing w:beforeAutospacing="1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styleId="Xl134" w:customStyle="1">
    <w:name w:val="xl134"/>
    <w:basedOn w:val="Normal"/>
    <w:qFormat/>
    <w:rsid w:val="007c5a1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styleId="Xl135" w:customStyle="1">
    <w:name w:val="xl135"/>
    <w:basedOn w:val="Normal"/>
    <w:qFormat/>
    <w:rsid w:val="007c5a1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styleId="Xl136" w:customStyle="1">
    <w:name w:val="xl136"/>
    <w:basedOn w:val="Normal"/>
    <w:qFormat/>
    <w:rsid w:val="007c5a15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styleId="Xl137" w:customStyle="1">
    <w:name w:val="xl137"/>
    <w:basedOn w:val="Normal"/>
    <w:qFormat/>
    <w:rsid w:val="007c5a1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styleId="Xl138" w:customStyle="1">
    <w:name w:val="xl138"/>
    <w:basedOn w:val="Normal"/>
    <w:qFormat/>
    <w:rsid w:val="007c5a15"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styleId="Xl139" w:customStyle="1">
    <w:name w:val="xl139"/>
    <w:basedOn w:val="Normal"/>
    <w:qFormat/>
    <w:rsid w:val="007c5a15"/>
    <w:pPr>
      <w:pBdr>
        <w:top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styleId="Xl140" w:customStyle="1">
    <w:name w:val="xl140"/>
    <w:basedOn w:val="Normal"/>
    <w:qFormat/>
    <w:rsid w:val="007c5a15"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styleId="Xl141" w:customStyle="1">
    <w:name w:val="xl141"/>
    <w:basedOn w:val="Normal"/>
    <w:qFormat/>
    <w:rsid w:val="007c5a15"/>
    <w:pPr>
      <w:pBdr>
        <w:lef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styleId="Xl142" w:customStyle="1">
    <w:name w:val="xl142"/>
    <w:basedOn w:val="Normal"/>
    <w:qFormat/>
    <w:rsid w:val="007c5a15"/>
    <w:pPr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styleId="Xl143" w:customStyle="1">
    <w:name w:val="xl143"/>
    <w:basedOn w:val="Normal"/>
    <w:qFormat/>
    <w:rsid w:val="007c5a15"/>
    <w:pPr>
      <w:pBdr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styleId="Xl144" w:customStyle="1">
    <w:name w:val="xl144"/>
    <w:basedOn w:val="Normal"/>
    <w:qFormat/>
    <w:rsid w:val="007c5a15"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styleId="Xl145" w:customStyle="1">
    <w:name w:val="xl145"/>
    <w:basedOn w:val="Normal"/>
    <w:qFormat/>
    <w:rsid w:val="007c5a15"/>
    <w:pPr>
      <w:pBdr>
        <w:bottom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styleId="Xl146" w:customStyle="1">
    <w:name w:val="xl146"/>
    <w:basedOn w:val="Normal"/>
    <w:qFormat/>
    <w:rsid w:val="007c5a15"/>
    <w:pPr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styleId="Style36" w:customStyle="1">
    <w:name w:val="Содержимое врезки"/>
    <w:basedOn w:val="Normal"/>
    <w:qFormat/>
    <w:pPr/>
    <w:rPr/>
  </w:style>
  <w:style w:type="paragraph" w:styleId="Style3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8" w:customStyle="1">
    <w:name w:val="Заголовок таблицы"/>
    <w:basedOn w:val="Style37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25281045251" w:customStyle="1">
    <w:name w:val="2528104525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b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yperlink" Target="https://www.yakutskenergo.ru/company/integrirovannaya-sistema-menedzhmenta/politika-integrirovannoy-sistemy-menedzhmenta/" TargetMode="Externa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footer" Target="footer1.xml"/><Relationship Id="rId13" Type="http://schemas.openxmlformats.org/officeDocument/2006/relationships/header" Target="header10.xml"/><Relationship Id="rId14" Type="http://schemas.openxmlformats.org/officeDocument/2006/relationships/header" Target="header11.xml"/><Relationship Id="rId15" Type="http://schemas.openxmlformats.org/officeDocument/2006/relationships/footer" Target="footer2.xml"/><Relationship Id="rId16" Type="http://schemas.openxmlformats.org/officeDocument/2006/relationships/footer" Target="footer3.xml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<Relationship Id="rId2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68507-5056-4830-95F8-599AE622D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Application>AlterOffice/2026.2.0.0$Linux_X86_64 LibreOffice_project/bc4ef1adf80b36c7a6365f8ed6cbf29021361edd</Application>
  <AppVersion>15.0000</AppVersion>
  <Pages>14</Pages>
  <Words>2268</Words>
  <Characters>15521</Characters>
  <CharactersWithSpaces>17471</CharactersWithSpaces>
  <Paragraphs>370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2025-10-02T06:21:00Z</dcterms:created>
  <dc:creator>Solovev-VV@yakutskenergo.ru</dc:creator>
  <dc:description/>
  <dc:language>ru-RU</dc:language>
  <cp:lastModifiedBy>efremovas@Elektra.local</cp:lastModifiedBy>
  <cp:lastPrinted>2025-12-02T05:59:00Z</cp:lastPrinted>
  <dcterms:modified xsi:type="dcterms:W3CDTF">2026-10-02T07:48:56Z</dcterms:modified>
  <cp:revision>42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