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b/>
          <w:bCs/>
          <w:sz w:val="26"/>
          <w:szCs w:val="26"/>
          <w:lang w:val="en-US"/>
        </w:rPr>
      </w:pPr>
      <w:r>
        <w:rPr>
          <w:b/>
          <w:bCs/>
          <w:sz w:val="26"/>
          <w:szCs w:val="26"/>
          <w:lang w:val="en-US"/>
        </w:rPr>
      </w:r>
      <w:bookmarkStart w:id="0" w:name="_Toc75446582"/>
      <w:bookmarkStart w:id="1" w:name="_Toc75446582"/>
      <w:bookmarkEnd w:id="1"/>
    </w:p>
    <w:p>
      <w:pPr>
        <w:pStyle w:val="Normal"/>
        <w:keepNext w:val="true"/>
        <w:keepLines/>
        <w:jc w:val="right"/>
        <w:rPr>
          <w:b/>
          <w:bCs/>
          <w:sz w:val="26"/>
          <w:szCs w:val="26"/>
        </w:rPr>
      </w:pPr>
      <w:r>
        <w:rPr>
          <w:b/>
          <w:bCs/>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numPr>
          <w:ilvl w:val="0"/>
          <w:numId w:val="0"/>
        </w:numPr>
        <w:jc w:val="center"/>
        <w:outlineLvl w:val="0"/>
        <w:rPr>
          <w:b/>
          <w:szCs w:val="24"/>
        </w:rPr>
      </w:pPr>
      <w:r>
        <w:rPr>
          <w:b/>
          <w:szCs w:val="24"/>
        </w:rPr>
        <w:t>ТЕХНИЧЕСКИЕ ТРЕБОВАНИЯ</w:t>
      </w:r>
    </w:p>
    <w:p>
      <w:pPr>
        <w:pStyle w:val="Normal"/>
        <w:keepNext w:val="true"/>
        <w:numPr>
          <w:ilvl w:val="0"/>
          <w:numId w:val="0"/>
        </w:numPr>
        <w:jc w:val="center"/>
        <w:outlineLvl w:val="0"/>
        <w:rPr>
          <w:b/>
          <w:szCs w:val="24"/>
        </w:rPr>
      </w:pPr>
      <w:r>
        <w:rPr>
          <w:b/>
          <w:szCs w:val="24"/>
        </w:rPr>
      </w:r>
    </w:p>
    <w:p>
      <w:pPr>
        <w:pStyle w:val="Normal"/>
        <w:jc w:val="center"/>
        <w:rPr>
          <w:rFonts w:eastAsia="Times New Roman" w:cs="Times New Roman"/>
          <w:bCs/>
          <w:spacing w:val="-6"/>
          <w:szCs w:val="24"/>
        </w:rPr>
      </w:pPr>
      <w:r>
        <w:rPr>
          <w:rFonts w:eastAsia="Times New Roman" w:cs="Times New Roman"/>
          <w:bCs/>
          <w:spacing w:val="-6"/>
          <w:szCs w:val="24"/>
        </w:rPr>
        <w:t>ОКПД2</w:t>
      </w:r>
      <w:r>
        <w:rPr>
          <w:rFonts w:eastAsia="Times New Roman" w:cs="Times New Roman"/>
          <w:bCs/>
          <w:spacing w:val="-6"/>
          <w:szCs w:val="24"/>
          <w:highlight w:val="yellow"/>
        </w:rPr>
        <w:t>…….</w:t>
      </w:r>
      <w:r>
        <w:rPr>
          <w:rFonts w:eastAsia="Times New Roman" w:cs="Times New Roman"/>
          <w:bCs/>
          <w:spacing w:val="-6"/>
          <w:szCs w:val="24"/>
        </w:rPr>
        <w:t xml:space="preserve"> Поставка </w:t>
      </w:r>
      <w:r>
        <w:rPr>
          <w:rFonts w:eastAsia="Calibri"/>
          <w:lang w:eastAsia="x-none"/>
        </w:rPr>
        <w:t xml:space="preserve">комплекса охранного радиолокационного тепловизионного </w:t>
      </w:r>
      <w:r>
        <w:rPr>
          <w:rFonts w:eastAsia="Times New Roman" w:cs="Times New Roman"/>
          <w:bCs/>
          <w:spacing w:val="-6"/>
          <w:szCs w:val="24"/>
        </w:rPr>
        <w:t>для Рыбинской и Угличской ГЭС</w:t>
      </w:r>
    </w:p>
    <w:p>
      <w:pPr>
        <w:pStyle w:val="Normal"/>
        <w:jc w:val="center"/>
        <w:rPr>
          <w:rFonts w:eastAsia="Times New Roman" w:cs="Times New Roman"/>
          <w:bCs/>
          <w:spacing w:val="-6"/>
          <w:szCs w:val="24"/>
        </w:rPr>
      </w:pPr>
      <w:r>
        <w:rPr>
          <w:rFonts w:eastAsia="Times New Roman" w:cs="Times New Roman"/>
          <w:bCs/>
          <w:spacing w:val="-6"/>
          <w:szCs w:val="24"/>
        </w:rPr>
        <w:t>Каскада Верхневолжских ГЭС</w:t>
      </w:r>
    </w:p>
    <w:p>
      <w:pPr>
        <w:pStyle w:val="Normal"/>
        <w:jc w:val="center"/>
        <w:rPr>
          <w:szCs w:val="24"/>
        </w:rPr>
      </w:pPr>
      <w:r>
        <w:rPr>
          <w:szCs w:val="24"/>
        </w:rPr>
        <w:t>Лот №</w:t>
      </w:r>
      <w:r>
        <w:rPr>
          <w:szCs w:val="24"/>
          <w:highlight w:val="yellow"/>
        </w:rPr>
        <w:t>…</w:t>
      </w:r>
    </w:p>
    <w:p>
      <w:pPr>
        <w:pStyle w:val="Normal"/>
        <w:rPr>
          <w:szCs w:val="24"/>
        </w:rPr>
      </w:pPr>
      <w:r>
        <w:rPr>
          <w:szCs w:val="24"/>
        </w:rPr>
      </w:r>
      <w:r>
        <w:br w:type="page"/>
      </w:r>
    </w:p>
    <w:p>
      <w:pPr>
        <w:pStyle w:val="Normal"/>
        <w:rPr>
          <w:b/>
        </w:rPr>
      </w:pPr>
      <w:r>
        <w:rPr>
          <w:b/>
        </w:rPr>
        <w:t>1.</w:t>
        <w:tab/>
        <w:t>Общие сведения</w:t>
      </w:r>
    </w:p>
    <w:p>
      <w:pPr>
        <w:pStyle w:val="Heading4"/>
        <w:numPr>
          <w:ilvl w:val="1"/>
          <w:numId w:val="1"/>
        </w:numPr>
        <w:ind w:hanging="0" w:left="0"/>
        <w:rPr/>
      </w:pPr>
      <w:bookmarkStart w:id="2" w:name="_Toc46743506"/>
      <w:bookmarkStart w:id="3" w:name="_Toc75446568"/>
      <w:r>
        <w:rPr/>
        <w:t>Наименование закупаемой продукции</w:t>
      </w:r>
      <w:bookmarkEnd w:id="2"/>
      <w:bookmarkEnd w:id="3"/>
    </w:p>
    <w:p>
      <w:pPr>
        <w:pStyle w:val="Heading4"/>
        <w:numPr>
          <w:ilvl w:val="1"/>
          <w:numId w:val="1"/>
        </w:numPr>
        <w:rPr>
          <w:b w:val="false"/>
        </w:rPr>
      </w:pPr>
      <w:bookmarkStart w:id="4" w:name="_Toc75446569"/>
      <w:bookmarkStart w:id="5" w:name="_Toc46743507"/>
      <w:r>
        <w:rPr>
          <w:rFonts w:eastAsia="Times New Roman"/>
          <w:b w:val="false"/>
          <w:spacing w:val="-6"/>
          <w:lang w:val="ru-RU" w:eastAsia="en-US"/>
        </w:rPr>
        <w:t>ОКПД2</w:t>
      </w:r>
      <w:r>
        <w:rPr>
          <w:rFonts w:eastAsia="Times New Roman"/>
          <w:b w:val="false"/>
          <w:spacing w:val="-6"/>
          <w:highlight w:val="yellow"/>
          <w:lang w:val="ru-RU" w:eastAsia="en-US"/>
        </w:rPr>
        <w:t>…</w:t>
      </w:r>
      <w:r>
        <w:rPr>
          <w:rFonts w:eastAsia="Times New Roman"/>
          <w:b w:val="false"/>
          <w:spacing w:val="-6"/>
          <w:lang w:val="ru-RU" w:eastAsia="en-US"/>
        </w:rPr>
        <w:t xml:space="preserve"> Поставка комплекса охранного радиолокационного тепловизионного</w:t>
      </w:r>
      <w:r>
        <w:rPr/>
        <w:t xml:space="preserve"> </w:t>
      </w:r>
      <w:r>
        <w:rPr>
          <w:rFonts w:eastAsia="Times New Roman"/>
          <w:b w:val="false"/>
          <w:spacing w:val="-6"/>
          <w:lang w:val="ru-RU" w:eastAsia="en-US"/>
        </w:rPr>
        <w:t xml:space="preserve">для Рыбинской и Угличской ГЭС </w:t>
      </w:r>
      <w:r>
        <w:rPr>
          <w:rFonts w:eastAsia="Times New Roman"/>
          <w:b w:val="false"/>
          <w:color w:val="000000"/>
          <w:spacing w:val="-6"/>
        </w:rPr>
        <w:t>Каскада Верхневолжских ГЭС</w:t>
      </w:r>
    </w:p>
    <w:p>
      <w:pPr>
        <w:pStyle w:val="Heading4"/>
        <w:numPr>
          <w:ilvl w:val="1"/>
          <w:numId w:val="1"/>
        </w:numPr>
        <w:rPr/>
      </w:pPr>
      <w:bookmarkStart w:id="6" w:name="_Toc46743507"/>
      <w:r>
        <w:rPr/>
        <w:t xml:space="preserve">Цель </w:t>
      </w:r>
      <w:bookmarkEnd w:id="6"/>
      <w:r>
        <w:rPr/>
        <w:t xml:space="preserve">использования закупаемой продукции </w:t>
      </w:r>
      <w:bookmarkEnd w:id="4"/>
      <w:r>
        <w:rPr/>
        <w:t xml:space="preserve"> </w:t>
      </w:r>
    </w:p>
    <w:p>
      <w:pPr>
        <w:pStyle w:val="BodyText21"/>
        <w:ind w:hanging="0"/>
        <w:rPr/>
      </w:pPr>
      <w:r>
        <w:rPr>
          <w:rStyle w:val="Style"/>
          <w:b w:val="false"/>
          <w:bCs/>
          <w:i w:val="false"/>
          <w:color w:val="000000"/>
          <w:szCs w:val="24"/>
          <w:shd w:fill="FFFFFF" w:val="clear"/>
        </w:rPr>
        <w:t xml:space="preserve">Исполнение доходного договора от 25.12.2025 г </w:t>
      </w:r>
      <w:r>
        <w:rPr>
          <w:rStyle w:val="Style"/>
          <w:b w:val="false"/>
          <w:bCs/>
          <w:i w:val="false"/>
          <w:spacing w:val="-6"/>
          <w:szCs w:val="24"/>
          <w:shd w:fill="auto" w:val="clear"/>
          <w:lang w:eastAsia="en-US"/>
        </w:rPr>
        <w:t>№ 1200-250-2025 «Монтаж и наладка технических средств охраны комплексной системы безопасности Рыбинской и Угличской ГЭС»</w:t>
      </w:r>
      <w:r>
        <w:rPr>
          <w:rStyle w:val="Style"/>
          <w:b w:val="false"/>
          <w:bCs/>
          <w:i w:val="false"/>
          <w:color w:val="000000"/>
          <w:szCs w:val="24"/>
          <w:shd w:fill="FFFFFF" w:val="clear"/>
        </w:rPr>
        <w:t>, заключенного между АО «Гидроремонт-ВКК» и ПАО «РусГидро».</w:t>
      </w:r>
    </w:p>
    <w:p>
      <w:pPr>
        <w:pStyle w:val="Normal"/>
        <w:ind w:firstLine="567"/>
        <w:jc w:val="both"/>
        <w:rPr>
          <w:szCs w:val="24"/>
        </w:rPr>
      </w:pPr>
      <w:r>
        <w:rPr>
          <w:szCs w:val="24"/>
        </w:rPr>
      </w:r>
    </w:p>
    <w:p>
      <w:pPr>
        <w:pStyle w:val="Heading1"/>
        <w:numPr>
          <w:ilvl w:val="0"/>
          <w:numId w:val="1"/>
        </w:numPr>
        <w:ind w:hanging="0" w:left="0"/>
        <w:rPr>
          <w:sz w:val="24"/>
          <w:szCs w:val="24"/>
        </w:rPr>
      </w:pPr>
      <w:bookmarkStart w:id="7" w:name="_Toc51339693"/>
      <w:bookmarkStart w:id="8" w:name="_Toc75446573"/>
      <w:r>
        <w:rPr>
          <w:sz w:val="24"/>
          <w:szCs w:val="24"/>
        </w:rPr>
        <w:t>Требования к продукции</w:t>
      </w:r>
      <w:bookmarkEnd w:id="7"/>
      <w:bookmarkEnd w:id="8"/>
    </w:p>
    <w:p>
      <w:pPr>
        <w:pStyle w:val="Heading4"/>
        <w:numPr>
          <w:ilvl w:val="1"/>
          <w:numId w:val="1"/>
        </w:numPr>
        <w:ind w:hanging="0" w:left="0"/>
        <w:rPr/>
      </w:pPr>
      <w:bookmarkStart w:id="9" w:name="_Toc75446574"/>
      <w:r>
        <w:rPr/>
        <w:t xml:space="preserve">Требования к объемам и срокам </w:t>
      </w:r>
      <w:r>
        <w:rPr>
          <w:lang w:val="ru-RU"/>
        </w:rPr>
        <w:t>поставки</w:t>
      </w:r>
      <w:bookmarkEnd w:id="9"/>
    </w:p>
    <w:p>
      <w:pPr>
        <w:pStyle w:val="Heading3"/>
        <w:numPr>
          <w:ilvl w:val="2"/>
          <w:numId w:val="1"/>
        </w:numPr>
        <w:ind w:hanging="0" w:left="0"/>
        <w:rPr/>
      </w:pPr>
      <w:bookmarkStart w:id="10" w:name="_Toc75446575"/>
      <w:r>
        <w:rPr/>
        <w:t>Перечень и объем закупаемой продукции</w:t>
      </w:r>
      <w:bookmarkEnd w:id="10"/>
    </w:p>
    <w:p>
      <w:pPr>
        <w:pStyle w:val="Normal"/>
        <w:rPr>
          <w:lang w:val="x-none" w:eastAsia="x-none"/>
        </w:rPr>
      </w:pPr>
      <w:r>
        <w:rPr>
          <w:lang w:val="x-none" w:eastAsia="x-none"/>
        </w:rPr>
      </w:r>
    </w:p>
    <w:p>
      <w:pPr>
        <w:pStyle w:val="Normal"/>
        <w:jc w:val="both"/>
        <w:rPr>
          <w:szCs w:val="24"/>
        </w:rPr>
      </w:pPr>
      <w:bookmarkStart w:id="11" w:name="_Toc75446578"/>
      <w:bookmarkStart w:id="12" w:name="_Toc75446576"/>
      <w:bookmarkStart w:id="13" w:name="_Toc51339695"/>
      <w:bookmarkEnd w:id="11"/>
      <w:r>
        <w:rPr>
          <w:szCs w:val="24"/>
        </w:rPr>
        <w:t xml:space="preserve">Таблица 1.1 Перечень </w:t>
      </w:r>
      <w:bookmarkEnd w:id="13"/>
      <w:r>
        <w:rPr>
          <w:szCs w:val="24"/>
        </w:rPr>
        <w:t>и объем закупаемой продукци</w:t>
      </w:r>
      <w:bookmarkEnd w:id="12"/>
      <w:r>
        <w:rPr>
          <w:szCs w:val="24"/>
        </w:rPr>
        <w:t xml:space="preserve">и </w:t>
      </w:r>
    </w:p>
    <w:tbl>
      <w:tblPr>
        <w:tblStyle w:val="afffff"/>
        <w:tblW w:w="1020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703"/>
        <w:gridCol w:w="6804"/>
        <w:gridCol w:w="1277"/>
        <w:gridCol w:w="1416"/>
      </w:tblGrid>
      <w:tr>
        <w:trPr>
          <w:trHeight w:val="567" w:hRule="atLeast"/>
        </w:trPr>
        <w:tc>
          <w:tcPr>
            <w:tcW w:w="703" w:type="dxa"/>
            <w:tcBorders/>
            <w:vAlign w:val="center"/>
          </w:tcPr>
          <w:p>
            <w:pPr>
              <w:pStyle w:val="Normal"/>
              <w:keepNext w:val="true"/>
              <w:widowControl w:val="false"/>
              <w:suppressAutoHyphens w:val="true"/>
              <w:spacing w:before="0" w:after="0"/>
              <w:jc w:val="center"/>
              <w:rPr>
                <w:rFonts w:cs=""/>
                <w:kern w:val="0"/>
                <w:szCs w:val="22"/>
                <w:lang w:val="ru-RU" w:eastAsia="en-US" w:bidi="ar-SA"/>
              </w:rPr>
            </w:pPr>
            <w:r>
              <w:rPr>
                <w:rFonts w:eastAsia="Calibri" w:cs=""/>
                <w:kern w:val="0"/>
                <w:sz w:val="22"/>
                <w:szCs w:val="22"/>
                <w:lang w:val="ru-RU" w:eastAsia="en-US" w:bidi="ar-SA"/>
              </w:rPr>
              <w:t>№</w:t>
            </w:r>
          </w:p>
          <w:p>
            <w:pPr>
              <w:pStyle w:val="Normal"/>
              <w:widowControl w:val="false"/>
              <w:suppressAutoHyphens w:val="true"/>
              <w:spacing w:before="0" w:after="0"/>
              <w:jc w:val="center"/>
              <w:rPr>
                <w:rFonts w:cs=""/>
                <w:kern w:val="0"/>
                <w:szCs w:val="22"/>
                <w:lang w:val="ru-RU" w:eastAsia="en-US" w:bidi="ar-SA"/>
              </w:rPr>
            </w:pPr>
            <w:r>
              <w:rPr>
                <w:rFonts w:eastAsia="Calibri" w:cs=""/>
                <w:kern w:val="0"/>
                <w:sz w:val="22"/>
                <w:szCs w:val="22"/>
                <w:lang w:val="ru-RU" w:eastAsia="en-US" w:bidi="ar-SA"/>
              </w:rPr>
              <w:t>п/п</w:t>
            </w:r>
          </w:p>
        </w:tc>
        <w:tc>
          <w:tcPr>
            <w:tcW w:w="6804" w:type="dxa"/>
            <w:tcBorders/>
            <w:vAlign w:val="center"/>
          </w:tcPr>
          <w:p>
            <w:pPr>
              <w:pStyle w:val="Normal"/>
              <w:widowControl w:val="false"/>
              <w:suppressAutoHyphens w:val="true"/>
              <w:spacing w:before="0" w:after="0"/>
              <w:jc w:val="center"/>
              <w:rPr>
                <w:rFonts w:cs=""/>
                <w:kern w:val="0"/>
                <w:szCs w:val="22"/>
                <w:lang w:val="ru-RU" w:eastAsia="en-US" w:bidi="ar-SA"/>
              </w:rPr>
            </w:pPr>
            <w:r>
              <w:rPr>
                <w:rFonts w:eastAsia="Calibri" w:cs=""/>
                <w:kern w:val="0"/>
                <w:sz w:val="22"/>
                <w:szCs w:val="22"/>
                <w:lang w:val="ru-RU" w:eastAsia="en-US" w:bidi="ar-SA"/>
              </w:rPr>
              <w:t>Наименование продукции</w:t>
            </w:r>
          </w:p>
        </w:tc>
        <w:tc>
          <w:tcPr>
            <w:tcW w:w="1277" w:type="dxa"/>
            <w:tcBorders/>
            <w:vAlign w:val="center"/>
          </w:tcPr>
          <w:p>
            <w:pPr>
              <w:pStyle w:val="Normal"/>
              <w:widowControl w:val="false"/>
              <w:suppressAutoHyphens w:val="true"/>
              <w:spacing w:before="0" w:after="0"/>
              <w:jc w:val="center"/>
              <w:rPr>
                <w:rFonts w:cs=""/>
                <w:kern w:val="0"/>
                <w:szCs w:val="22"/>
                <w:lang w:val="ru-RU" w:eastAsia="en-US" w:bidi="ar-SA"/>
              </w:rPr>
            </w:pPr>
            <w:r>
              <w:rPr>
                <w:rFonts w:eastAsia="Calibri" w:cs=""/>
                <w:kern w:val="0"/>
                <w:sz w:val="22"/>
                <w:szCs w:val="22"/>
                <w:lang w:val="ru-RU" w:eastAsia="en-US" w:bidi="ar-SA"/>
              </w:rPr>
              <w:t>Ед. измерения</w:t>
            </w:r>
          </w:p>
        </w:tc>
        <w:tc>
          <w:tcPr>
            <w:tcW w:w="1416" w:type="dxa"/>
            <w:tcBorders/>
            <w:vAlign w:val="center"/>
          </w:tcPr>
          <w:p>
            <w:pPr>
              <w:pStyle w:val="Normal"/>
              <w:widowControl w:val="false"/>
              <w:suppressAutoHyphens w:val="true"/>
              <w:spacing w:before="0" w:after="0"/>
              <w:jc w:val="center"/>
              <w:rPr>
                <w:rFonts w:cs=""/>
                <w:kern w:val="0"/>
                <w:szCs w:val="22"/>
                <w:lang w:val="ru-RU" w:eastAsia="en-US" w:bidi="ar-SA"/>
              </w:rPr>
            </w:pPr>
            <w:r>
              <w:rPr>
                <w:rFonts w:eastAsia="Calibri" w:cs=""/>
                <w:kern w:val="0"/>
                <w:sz w:val="22"/>
                <w:szCs w:val="22"/>
                <w:lang w:val="ru-RU" w:eastAsia="en-US" w:bidi="ar-SA"/>
              </w:rPr>
              <w:t>Количество</w:t>
            </w:r>
          </w:p>
        </w:tc>
      </w:tr>
      <w:tr>
        <w:trPr/>
        <w:tc>
          <w:tcPr>
            <w:tcW w:w="703" w:type="dxa"/>
            <w:tcBorders/>
          </w:tcPr>
          <w:p>
            <w:pPr>
              <w:pStyle w:val="Normal"/>
              <w:widowControl w:val="false"/>
              <w:suppressAutoHyphens w:val="true"/>
              <w:spacing w:before="0" w:after="0"/>
              <w:jc w:val="center"/>
              <w:rPr>
                <w:rFonts w:cs=""/>
                <w:kern w:val="0"/>
                <w:szCs w:val="22"/>
                <w:lang w:val="ru-RU" w:eastAsia="en-US" w:bidi="ar-SA"/>
              </w:rPr>
            </w:pPr>
            <w:r>
              <w:rPr>
                <w:rFonts w:eastAsia="Calibri" w:cs=""/>
                <w:b/>
                <w:kern w:val="0"/>
                <w:sz w:val="22"/>
                <w:szCs w:val="22"/>
                <w:lang w:val="ru-RU" w:eastAsia="en-US" w:bidi="ar-SA"/>
              </w:rPr>
              <w:t>1</w:t>
            </w:r>
          </w:p>
        </w:tc>
        <w:tc>
          <w:tcPr>
            <w:tcW w:w="6804" w:type="dxa"/>
            <w:tcBorders/>
          </w:tcPr>
          <w:p>
            <w:pPr>
              <w:pStyle w:val="Normal"/>
              <w:widowControl w:val="false"/>
              <w:suppressAutoHyphens w:val="true"/>
              <w:spacing w:before="0" w:after="0"/>
              <w:jc w:val="center"/>
              <w:rPr>
                <w:rFonts w:cs=""/>
                <w:kern w:val="0"/>
                <w:szCs w:val="22"/>
                <w:lang w:val="ru-RU" w:eastAsia="en-US" w:bidi="ar-SA"/>
              </w:rPr>
            </w:pPr>
            <w:r>
              <w:rPr>
                <w:rFonts w:eastAsia="Calibri" w:cs=""/>
                <w:b/>
                <w:kern w:val="0"/>
                <w:sz w:val="22"/>
                <w:szCs w:val="22"/>
                <w:lang w:val="ru-RU" w:eastAsia="en-US" w:bidi="ar-SA"/>
              </w:rPr>
              <w:t>2</w:t>
            </w:r>
          </w:p>
        </w:tc>
        <w:tc>
          <w:tcPr>
            <w:tcW w:w="1277" w:type="dxa"/>
            <w:tcBorders/>
          </w:tcPr>
          <w:p>
            <w:pPr>
              <w:pStyle w:val="Normal"/>
              <w:widowControl w:val="false"/>
              <w:suppressAutoHyphens w:val="true"/>
              <w:spacing w:before="0" w:after="0"/>
              <w:jc w:val="center"/>
              <w:rPr>
                <w:rFonts w:cs=""/>
                <w:kern w:val="0"/>
                <w:szCs w:val="22"/>
                <w:lang w:val="ru-RU" w:eastAsia="en-US" w:bidi="ar-SA"/>
              </w:rPr>
            </w:pPr>
            <w:r>
              <w:rPr>
                <w:rFonts w:eastAsia="Calibri" w:cs=""/>
                <w:b/>
                <w:kern w:val="0"/>
                <w:sz w:val="22"/>
                <w:szCs w:val="22"/>
                <w:lang w:val="ru-RU" w:eastAsia="en-US" w:bidi="ar-SA"/>
              </w:rPr>
              <w:t>4</w:t>
            </w:r>
          </w:p>
        </w:tc>
        <w:tc>
          <w:tcPr>
            <w:tcW w:w="1416" w:type="dxa"/>
            <w:tcBorders/>
          </w:tcPr>
          <w:p>
            <w:pPr>
              <w:pStyle w:val="Normal"/>
              <w:widowControl w:val="false"/>
              <w:suppressAutoHyphens w:val="true"/>
              <w:spacing w:before="0" w:after="0"/>
              <w:jc w:val="center"/>
              <w:rPr>
                <w:rFonts w:cs=""/>
                <w:kern w:val="0"/>
                <w:szCs w:val="22"/>
                <w:lang w:val="ru-RU" w:eastAsia="en-US" w:bidi="ar-SA"/>
              </w:rPr>
            </w:pPr>
            <w:r>
              <w:rPr>
                <w:rFonts w:eastAsia="Calibri" w:cs=""/>
                <w:b/>
                <w:kern w:val="0"/>
                <w:sz w:val="22"/>
                <w:szCs w:val="22"/>
                <w:lang w:val="ru-RU" w:eastAsia="en-US" w:bidi="ar-SA"/>
              </w:rPr>
              <w:t>5</w:t>
            </w:r>
          </w:p>
        </w:tc>
      </w:tr>
      <w:tr>
        <w:trPr>
          <w:trHeight w:val="339" w:hRule="atLeast"/>
        </w:trPr>
        <w:tc>
          <w:tcPr>
            <w:tcW w:w="703" w:type="dxa"/>
            <w:tcBorders/>
          </w:tcPr>
          <w:p>
            <w:pPr>
              <w:pStyle w:val="Normal"/>
              <w:widowControl w:val="false"/>
              <w:suppressAutoHyphens w:val="true"/>
              <w:spacing w:before="0" w:after="0"/>
              <w:jc w:val="center"/>
              <w:rPr>
                <w:rFonts w:eastAsia="Calibri"/>
                <w:b/>
                <w:sz w:val="22"/>
              </w:rPr>
            </w:pPr>
            <w:r>
              <w:rPr>
                <w:rFonts w:eastAsia="Calibri" w:cs=""/>
                <w:b/>
                <w:kern w:val="0"/>
                <w:sz w:val="22"/>
                <w:szCs w:val="22"/>
                <w:lang w:val="ru-RU" w:eastAsia="en-US" w:bidi="ar-SA"/>
              </w:rPr>
            </w:r>
          </w:p>
        </w:tc>
        <w:tc>
          <w:tcPr>
            <w:tcW w:w="6804" w:type="dxa"/>
            <w:tcBorders/>
            <w:vAlign w:val="center"/>
          </w:tcPr>
          <w:p>
            <w:pPr>
              <w:pStyle w:val="Normal"/>
              <w:widowControl w:val="false"/>
              <w:suppressAutoHyphens w:val="true"/>
              <w:spacing w:before="0" w:after="0"/>
              <w:jc w:val="center"/>
              <w:rPr>
                <w:rFonts w:eastAsia="Calibri"/>
                <w:b/>
                <w:sz w:val="22"/>
              </w:rPr>
            </w:pPr>
            <w:r>
              <w:rPr>
                <w:rFonts w:eastAsia="Calibri" w:cs=""/>
                <w:b/>
                <w:kern w:val="0"/>
                <w:szCs w:val="22"/>
                <w:lang w:val="ru-RU" w:eastAsia="en-US" w:bidi="ar-SA"/>
              </w:rPr>
              <w:t>Партия №1 (Рыбинская ГЭС)</w:t>
            </w:r>
          </w:p>
        </w:tc>
        <w:tc>
          <w:tcPr>
            <w:tcW w:w="1277" w:type="dxa"/>
            <w:tcBorders/>
            <w:vAlign w:val="center"/>
          </w:tcPr>
          <w:p>
            <w:pPr>
              <w:pStyle w:val="Normal"/>
              <w:widowControl w:val="false"/>
              <w:suppressAutoHyphens w:val="true"/>
              <w:spacing w:before="0" w:after="0"/>
              <w:jc w:val="center"/>
              <w:rPr>
                <w:rFonts w:eastAsia="Calibri"/>
                <w:b/>
                <w:sz w:val="22"/>
              </w:rPr>
            </w:pPr>
            <w:r>
              <w:rPr>
                <w:rFonts w:eastAsia="Calibri" w:cs=""/>
                <w:b/>
                <w:kern w:val="0"/>
                <w:sz w:val="22"/>
                <w:szCs w:val="22"/>
                <w:lang w:val="ru-RU" w:eastAsia="en-US" w:bidi="ar-SA"/>
              </w:rPr>
            </w:r>
          </w:p>
        </w:tc>
        <w:tc>
          <w:tcPr>
            <w:tcW w:w="1416" w:type="dxa"/>
            <w:tcBorders/>
            <w:vAlign w:val="center"/>
          </w:tcPr>
          <w:p>
            <w:pPr>
              <w:pStyle w:val="Normal"/>
              <w:widowControl w:val="false"/>
              <w:suppressAutoHyphens w:val="true"/>
              <w:spacing w:before="0" w:after="0"/>
              <w:jc w:val="center"/>
              <w:rPr>
                <w:rFonts w:eastAsia="Calibri"/>
                <w:b/>
                <w:sz w:val="22"/>
              </w:rPr>
            </w:pPr>
            <w:r>
              <w:rPr>
                <w:rFonts w:eastAsia="Calibri" w:cs=""/>
                <w:b/>
                <w:kern w:val="0"/>
                <w:sz w:val="22"/>
                <w:szCs w:val="22"/>
                <w:lang w:val="ru-RU" w:eastAsia="en-US" w:bidi="ar-SA"/>
              </w:rPr>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Комплекс охранный радиолокационный тепловизионный (90°), КОРТ «Х-500-90-ВТ3»</w:t>
            </w:r>
            <w:r>
              <w:rPr>
                <w:rFonts w:eastAsia="Calibri" w:cs="GOST-2.304-81typeA" w:ascii="GOST-2.304-81typeA" w:hAnsi="GOST-2.304-81typeA"/>
                <w:kern w:val="0"/>
                <w:sz w:val="28"/>
                <w:szCs w:val="28"/>
                <w:lang w:val="ru-RU" w:eastAsia="en-US" w:bidi="ar-SA"/>
              </w:rPr>
              <w:t xml:space="preserve"> </w:t>
            </w:r>
            <w:r>
              <w:rPr>
                <w:rFonts w:eastAsia="Calibri" w:cs=""/>
                <w:kern w:val="0"/>
                <w:szCs w:val="22"/>
                <w:lang w:val="ru-RU" w:eastAsia="x-none" w:bidi="ar-SA"/>
              </w:rPr>
              <w:t>ЮСДП.425918.020-69</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Комплекс охранный радиолокационный тепловизионный (180°), КОРТ «Х-500-180/2-ВТ3» ЮСДП.425918.020-114</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Комплект мониторинга «Земля» стационарный ЮСДП.425681.001 в составе:</w:t>
            </w:r>
          </w:p>
          <w:p>
            <w:pPr>
              <w:pStyle w:val="Normal"/>
              <w:widowControl/>
              <w:suppressAutoHyphens w:val="true"/>
              <w:spacing w:before="0" w:after="0"/>
              <w:jc w:val="left"/>
              <w:rPr>
                <w:sz w:val="22"/>
              </w:rPr>
            </w:pPr>
            <w:r>
              <w:rPr>
                <w:rFonts w:eastAsia="Calibri" w:cs=""/>
                <w:kern w:val="0"/>
                <w:szCs w:val="22"/>
                <w:lang w:val="ru-RU" w:eastAsia="x-none" w:bidi="ar-SA"/>
              </w:rPr>
              <w:t xml:space="preserve">сервер с установленным пакетом ПО, монитор </w:t>
            </w:r>
            <w:r>
              <w:rPr>
                <w:rFonts w:eastAsia="Calibri" w:cs=""/>
                <w:kern w:val="0"/>
                <w:szCs w:val="22"/>
                <w:lang w:val="en-US" w:eastAsia="x-none" w:bidi="ar-SA"/>
              </w:rPr>
              <w:t>LCD</w:t>
            </w:r>
            <w:r>
              <w:rPr>
                <w:rFonts w:eastAsia="Calibri" w:cs=""/>
                <w:kern w:val="0"/>
                <w:szCs w:val="22"/>
                <w:lang w:val="ru-RU" w:eastAsia="x-none" w:bidi="ar-SA"/>
              </w:rPr>
              <w:t xml:space="preserve"> 27”, клавиатура проводная </w:t>
            </w:r>
            <w:r>
              <w:rPr>
                <w:rFonts w:eastAsia="Calibri" w:cs=""/>
                <w:kern w:val="0"/>
                <w:szCs w:val="22"/>
                <w:lang w:val="en-US" w:eastAsia="x-none" w:bidi="ar-SA"/>
              </w:rPr>
              <w:t>USB</w:t>
            </w:r>
            <w:r>
              <w:rPr>
                <w:rFonts w:eastAsia="Calibri" w:cs=""/>
                <w:kern w:val="0"/>
                <w:szCs w:val="22"/>
                <w:lang w:val="ru-RU" w:eastAsia="x-none" w:bidi="ar-SA"/>
              </w:rPr>
              <w:t xml:space="preserve">, мышь проводная </w:t>
            </w:r>
            <w:r>
              <w:rPr>
                <w:rFonts w:eastAsia="Calibri" w:cs=""/>
                <w:kern w:val="0"/>
                <w:szCs w:val="22"/>
                <w:lang w:val="en-US" w:eastAsia="x-none" w:bidi="ar-SA"/>
              </w:rPr>
              <w:t>USB</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Комплект электропитания и коммутации ЮСДП.436112.001 в составе:</w:t>
            </w:r>
          </w:p>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шкаф электропитания и коммутации ЮСДП.436112.007, КМЧ для крепления шкафа на опоре, козырёк защитный</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Мачта телескопическая, М-250 ЮСДП.301563.018-06</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KVM-консоль SMK-980-19UBRU</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KVM-удлинитель ATEN CE775</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Медиаконвертер TP-Link MC210CS</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suppressAutoHyphens w:val="true"/>
              <w:spacing w:before="0" w:after="0"/>
              <w:ind w:left="502"/>
              <w:jc w:val="left"/>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center"/>
              <w:rPr>
                <w:sz w:val="22"/>
              </w:rPr>
            </w:pPr>
            <w:r>
              <w:rPr>
                <w:rFonts w:eastAsia="Calibri" w:cs=""/>
                <w:b/>
                <w:kern w:val="0"/>
                <w:szCs w:val="22"/>
                <w:lang w:val="ru-RU" w:eastAsia="en-US" w:bidi="ar-SA"/>
              </w:rPr>
              <w:t>Партия №2 (ВСП №2</w:t>
            </w:r>
            <w:r>
              <w:rPr>
                <w:rFonts w:eastAsia="Calibri" w:cs=""/>
                <w:kern w:val="0"/>
                <w:szCs w:val="22"/>
                <w:lang w:val="ru-RU" w:eastAsia="en-US" w:bidi="ar-SA"/>
              </w:rPr>
              <w:t xml:space="preserve"> </w:t>
            </w:r>
            <w:r>
              <w:rPr>
                <w:rFonts w:eastAsia="Calibri" w:cs=""/>
                <w:b/>
                <w:kern w:val="0"/>
                <w:szCs w:val="22"/>
                <w:lang w:val="ru-RU" w:eastAsia="en-US" w:bidi="ar-SA"/>
              </w:rPr>
              <w:t>Рыбинской ГЭС)</w:t>
            </w:r>
          </w:p>
        </w:tc>
        <w:tc>
          <w:tcPr>
            <w:tcW w:w="1277" w:type="dxa"/>
            <w:tcBorders/>
            <w:shd w:color="auto" w:fill="auto" w:val="clear"/>
            <w:vAlign w:val="center"/>
          </w:tcPr>
          <w:p>
            <w:pPr>
              <w:pStyle w:val="Normal"/>
              <w:widowControl/>
              <w:suppressAutoHyphens w:val="true"/>
              <w:spacing w:before="0" w:after="0"/>
              <w:jc w:val="center"/>
              <w:rPr>
                <w:rFonts w:eastAsia="Calibri" w:cs=""/>
                <w:kern w:val="0"/>
                <w:szCs w:val="22"/>
                <w:lang w:val="ru-RU" w:eastAsia="en-US" w:bidi="ar-SA"/>
              </w:rPr>
            </w:pPr>
            <w:r>
              <w:rPr>
                <w:rFonts w:eastAsia="Calibri" w:cs=""/>
                <w:kern w:val="0"/>
                <w:szCs w:val="22"/>
                <w:lang w:val="ru-RU" w:eastAsia="en-US" w:bidi="ar-SA"/>
              </w:rPr>
            </w:r>
          </w:p>
        </w:tc>
        <w:tc>
          <w:tcPr>
            <w:tcW w:w="1416" w:type="dxa"/>
            <w:tcBorders/>
            <w:shd w:color="auto" w:fill="auto" w:val="clear"/>
            <w:vAlign w:val="center"/>
          </w:tcPr>
          <w:p>
            <w:pPr>
              <w:pStyle w:val="Normal"/>
              <w:widowControl/>
              <w:suppressAutoHyphens w:val="true"/>
              <w:spacing w:before="0" w:after="0"/>
              <w:jc w:val="center"/>
              <w:rPr>
                <w:rFonts w:eastAsia="Calibri" w:cs=""/>
                <w:kern w:val="0"/>
                <w:szCs w:val="22"/>
                <w:lang w:val="ru-RU" w:eastAsia="en-US" w:bidi="ar-SA"/>
              </w:rPr>
            </w:pPr>
            <w:r>
              <w:rPr>
                <w:rFonts w:eastAsia="Calibri" w:cs=""/>
                <w:kern w:val="0"/>
                <w:szCs w:val="22"/>
                <w:lang w:val="ru-RU" w:eastAsia="en-US" w:bidi="ar-SA"/>
              </w:rPr>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Комплекс охранный радиолокационный тепловизионный (180°), КОРТ «Х-500-180/2-ВТ3» ЮСДП.425918.020-114</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b/>
                <w:lang w:eastAsia="x-none"/>
              </w:rPr>
            </w:pPr>
            <w:r>
              <w:rPr>
                <w:rFonts w:eastAsia="Calibri" w:cs=""/>
                <w:b/>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Комплект мониторинга «Земля» стационарный ЮСДП.425681.001 в составе:</w:t>
            </w:r>
          </w:p>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 xml:space="preserve">сервер с установленным пакетом ПО, монитор </w:t>
            </w:r>
            <w:r>
              <w:rPr>
                <w:rFonts w:eastAsia="Calibri" w:cs=""/>
                <w:kern w:val="0"/>
                <w:szCs w:val="22"/>
                <w:lang w:val="en-US" w:eastAsia="x-none" w:bidi="ar-SA"/>
              </w:rPr>
              <w:t>LCD</w:t>
            </w:r>
            <w:r>
              <w:rPr>
                <w:rFonts w:eastAsia="Calibri" w:cs=""/>
                <w:kern w:val="0"/>
                <w:szCs w:val="22"/>
                <w:lang w:val="ru-RU" w:eastAsia="x-none" w:bidi="ar-SA"/>
              </w:rPr>
              <w:t xml:space="preserve"> 27”, клавиатура проводная </w:t>
            </w:r>
            <w:r>
              <w:rPr>
                <w:rFonts w:eastAsia="Calibri" w:cs=""/>
                <w:kern w:val="0"/>
                <w:szCs w:val="22"/>
                <w:lang w:val="en-US" w:eastAsia="x-none" w:bidi="ar-SA"/>
              </w:rPr>
              <w:t>USB</w:t>
            </w:r>
            <w:r>
              <w:rPr>
                <w:rFonts w:eastAsia="Calibri" w:cs=""/>
                <w:kern w:val="0"/>
                <w:szCs w:val="22"/>
                <w:lang w:val="ru-RU" w:eastAsia="x-none" w:bidi="ar-SA"/>
              </w:rPr>
              <w:t xml:space="preserve">, мышь проводная </w:t>
            </w:r>
            <w:r>
              <w:rPr>
                <w:rFonts w:eastAsia="Calibri" w:cs=""/>
                <w:kern w:val="0"/>
                <w:szCs w:val="22"/>
                <w:lang w:val="en-US" w:eastAsia="x-none" w:bidi="ar-SA"/>
              </w:rPr>
              <w:t>USB</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b/>
                <w:lang w:eastAsia="x-none"/>
              </w:rPr>
            </w:pPr>
            <w:r>
              <w:rPr>
                <w:rFonts w:eastAsia="Calibri" w:cs=""/>
                <w:b/>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Комплект электропитания и коммутации ЮСДП.436112.001 в составе:</w:t>
            </w:r>
          </w:p>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шкаф электропитания и коммутации ЮСДП.436112.007, КМЧ для крепления шкафа на опоре, козырёк защитный</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b/>
                <w:lang w:eastAsia="x-none"/>
              </w:rPr>
            </w:pPr>
            <w:r>
              <w:rPr>
                <w:rFonts w:eastAsia="Calibri" w:cs=""/>
                <w:b/>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Мачта телескопическая, М-250 ЮСДП.301563.018-06</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KVM-консоль SMK-980-19UBRU</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KVM-удлинитель ATEN CE775</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Медиаконвертер TP-Link MC210CS</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suppressAutoHyphens w:val="true"/>
              <w:spacing w:before="0" w:after="0"/>
              <w:ind w:left="502"/>
              <w:jc w:val="left"/>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center"/>
              <w:rPr>
                <w:rFonts w:eastAsia="Calibri"/>
                <w:lang w:eastAsia="x-none"/>
              </w:rPr>
            </w:pPr>
            <w:r>
              <w:rPr>
                <w:rFonts w:eastAsia="Calibri" w:cs=""/>
                <w:b/>
                <w:kern w:val="0"/>
                <w:szCs w:val="22"/>
                <w:lang w:val="en-US" w:eastAsia="en-US" w:bidi="ar-SA"/>
              </w:rPr>
              <w:t>Партия №3 (</w:t>
            </w:r>
            <w:r>
              <w:rPr>
                <w:rFonts w:eastAsia="Calibri" w:cs=""/>
                <w:b/>
                <w:kern w:val="0"/>
                <w:szCs w:val="22"/>
                <w:lang w:val="ru-RU" w:eastAsia="en-US" w:bidi="ar-SA"/>
              </w:rPr>
              <w:t>Угличская ГЭС</w:t>
            </w:r>
            <w:r>
              <w:rPr>
                <w:rFonts w:eastAsia="Calibri" w:cs=""/>
                <w:b/>
                <w:kern w:val="0"/>
                <w:szCs w:val="22"/>
                <w:lang w:val="en-US" w:eastAsia="en-US" w:bidi="ar-SA"/>
              </w:rPr>
              <w:t>)</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val="false"/>
              <w:suppressAutoHyphens w:val="true"/>
              <w:spacing w:before="0" w:after="0"/>
              <w:jc w:val="left"/>
              <w:rPr>
                <w:sz w:val="22"/>
              </w:rPr>
            </w:pPr>
            <w:r>
              <w:rPr>
                <w:rFonts w:eastAsia="Calibri" w:cs=""/>
                <w:kern w:val="0"/>
                <w:szCs w:val="22"/>
                <w:lang w:val="ru-RU" w:eastAsia="x-none" w:bidi="ar-SA"/>
              </w:rPr>
              <w:t>Комплекс охранный радиолокационный тепловизионный (90°), КОРТ «Х-500-90-ВТ3»</w:t>
            </w:r>
            <w:r>
              <w:rPr>
                <w:rFonts w:eastAsia="Calibri" w:cs="GOST-2.304-81typeA" w:ascii="GOST-2.304-81typeA" w:hAnsi="GOST-2.304-81typeA"/>
                <w:kern w:val="0"/>
                <w:sz w:val="28"/>
                <w:szCs w:val="28"/>
                <w:lang w:val="ru-RU" w:eastAsia="en-US" w:bidi="ar-SA"/>
              </w:rPr>
              <w:t xml:space="preserve"> </w:t>
            </w:r>
            <w:r>
              <w:rPr>
                <w:rFonts w:eastAsia="Calibri" w:cs=""/>
                <w:kern w:val="0"/>
                <w:szCs w:val="22"/>
                <w:lang w:val="ru-RU" w:eastAsia="x-none" w:bidi="ar-SA"/>
              </w:rPr>
              <w:t>ЮСДП.425918.020-69</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Комплект мониторинга «Земля» стационарный ЮСДП.425681.001 в составе:</w:t>
            </w:r>
          </w:p>
          <w:p>
            <w:pPr>
              <w:pStyle w:val="Normal"/>
              <w:widowControl/>
              <w:suppressAutoHyphens w:val="true"/>
              <w:spacing w:before="0" w:after="0"/>
              <w:jc w:val="left"/>
              <w:rPr>
                <w:sz w:val="22"/>
              </w:rPr>
            </w:pPr>
            <w:r>
              <w:rPr>
                <w:rFonts w:eastAsia="Calibri" w:cs=""/>
                <w:kern w:val="0"/>
                <w:szCs w:val="22"/>
                <w:lang w:val="ru-RU" w:eastAsia="x-none" w:bidi="ar-SA"/>
              </w:rPr>
              <w:t xml:space="preserve">сервер с установленным пакетом ПО, монитор </w:t>
            </w:r>
            <w:r>
              <w:rPr>
                <w:rFonts w:eastAsia="Calibri" w:cs=""/>
                <w:kern w:val="0"/>
                <w:szCs w:val="22"/>
                <w:lang w:val="en-US" w:eastAsia="x-none" w:bidi="ar-SA"/>
              </w:rPr>
              <w:t>LCD</w:t>
            </w:r>
            <w:r>
              <w:rPr>
                <w:rFonts w:eastAsia="Calibri" w:cs=""/>
                <w:kern w:val="0"/>
                <w:szCs w:val="22"/>
                <w:lang w:val="ru-RU" w:eastAsia="x-none" w:bidi="ar-SA"/>
              </w:rPr>
              <w:t xml:space="preserve"> 27”, клавиатура проводная </w:t>
            </w:r>
            <w:r>
              <w:rPr>
                <w:rFonts w:eastAsia="Calibri" w:cs=""/>
                <w:kern w:val="0"/>
                <w:szCs w:val="22"/>
                <w:lang w:val="en-US" w:eastAsia="x-none" w:bidi="ar-SA"/>
              </w:rPr>
              <w:t>USB</w:t>
            </w:r>
            <w:r>
              <w:rPr>
                <w:rFonts w:eastAsia="Calibri" w:cs=""/>
                <w:kern w:val="0"/>
                <w:szCs w:val="22"/>
                <w:lang w:val="ru-RU" w:eastAsia="x-none" w:bidi="ar-SA"/>
              </w:rPr>
              <w:t xml:space="preserve">, мышь проводная </w:t>
            </w:r>
            <w:r>
              <w:rPr>
                <w:rFonts w:eastAsia="Calibri" w:cs=""/>
                <w:kern w:val="0"/>
                <w:szCs w:val="22"/>
                <w:lang w:val="en-US" w:eastAsia="x-none" w:bidi="ar-SA"/>
              </w:rPr>
              <w:t>USB</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Комплект электропитания и коммутации ЮСДП.436112.001 в составе:</w:t>
            </w:r>
          </w:p>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шкаф электропитания и коммутации ЮСДП.436112.007, КМЧ для крепления шкафа на опоре, козырёк защитный</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Мачта телескопическая, М-250 ЮСДП.301563.018-06</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KVM-консоль SMK-980-19UBRU</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KVM-удлинитель ATEN CE775</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Медиаконвертер TP-Link MC210CS</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suppressAutoHyphens w:val="true"/>
              <w:spacing w:before="0" w:after="0"/>
              <w:ind w:left="502"/>
              <w:jc w:val="left"/>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val="false"/>
              <w:suppressAutoHyphens w:val="true"/>
              <w:spacing w:before="0" w:after="0"/>
              <w:jc w:val="center"/>
              <w:rPr>
                <w:rFonts w:eastAsia="Calibri"/>
                <w:b/>
                <w:sz w:val="22"/>
              </w:rPr>
            </w:pPr>
            <w:r>
              <w:rPr>
                <w:rFonts w:eastAsia="Calibri" w:cs=""/>
                <w:b/>
                <w:kern w:val="0"/>
                <w:szCs w:val="22"/>
                <w:lang w:val="ru-RU" w:eastAsia="en-US" w:bidi="ar-SA"/>
              </w:rPr>
              <w:t>Партия №4 (ЗИП)</w:t>
            </w:r>
          </w:p>
        </w:tc>
        <w:tc>
          <w:tcPr>
            <w:tcW w:w="1277" w:type="dxa"/>
            <w:tcBorders/>
            <w:shd w:color="auto" w:fill="auto" w:val="clear"/>
            <w:vAlign w:val="center"/>
          </w:tcPr>
          <w:p>
            <w:pPr>
              <w:pStyle w:val="Normal"/>
              <w:widowControl/>
              <w:suppressAutoHyphens w:val="true"/>
              <w:spacing w:before="0" w:after="0"/>
              <w:jc w:val="center"/>
              <w:rPr>
                <w:rFonts w:eastAsia="Calibri" w:cs=""/>
                <w:kern w:val="0"/>
                <w:szCs w:val="22"/>
                <w:lang w:val="ru-RU" w:eastAsia="en-US" w:bidi="ar-SA"/>
              </w:rPr>
            </w:pPr>
            <w:r>
              <w:rPr>
                <w:rFonts w:eastAsia="Calibri" w:cs=""/>
                <w:kern w:val="0"/>
                <w:szCs w:val="22"/>
                <w:lang w:val="ru-RU" w:eastAsia="en-US" w:bidi="ar-SA"/>
              </w:rPr>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Комплекс охранный радиолокационный тепловизионный (90°), КОРТ «Х-500-90»</w:t>
            </w:r>
            <w:r>
              <w:rPr>
                <w:rFonts w:eastAsia="Calibri" w:cs="GOST-2.304-81typeA" w:ascii="GOST-2.304-81typeA" w:hAnsi="GOST-2.304-81typeA"/>
                <w:kern w:val="0"/>
                <w:sz w:val="28"/>
                <w:szCs w:val="28"/>
                <w:lang w:val="ru-RU" w:eastAsia="en-US" w:bidi="ar-SA"/>
              </w:rPr>
              <w:t xml:space="preserve"> </w:t>
            </w:r>
            <w:r>
              <w:rPr>
                <w:rFonts w:eastAsia="Calibri" w:cs=""/>
                <w:kern w:val="0"/>
                <w:szCs w:val="22"/>
                <w:lang w:val="ru-RU" w:eastAsia="x-none" w:bidi="ar-SA"/>
              </w:rPr>
              <w:t>ЮСДП.464213.008</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KVM-консоль SMK-980-19UBRU</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KVM-удлинитель ATEN CE775</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компл.</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Медиаконвертер TP-Link MC210CS</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Промышленный коммутатор NSGate NIS-3200-205GS</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Промышленный источник питания AD1024-24F</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1</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Источник питания MEAN WELL DRS-480-24</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2</w:t>
            </w:r>
          </w:p>
        </w:tc>
      </w:tr>
      <w:tr>
        <w:trPr>
          <w:trHeight w:val="20" w:hRule="atLeast"/>
        </w:trPr>
        <w:tc>
          <w:tcPr>
            <w:tcW w:w="703" w:type="dxa"/>
            <w:tcBorders/>
            <w:shd w:color="auto" w:fill="auto" w:val="clear"/>
            <w:vAlign w:val="center"/>
          </w:tcPr>
          <w:p>
            <w:pPr>
              <w:pStyle w:val="Normal"/>
              <w:widowControl w:val="false"/>
              <w:numPr>
                <w:ilvl w:val="0"/>
                <w:numId w:val="7"/>
              </w:numPr>
              <w:suppressAutoHyphens w:val="true"/>
              <w:spacing w:before="0" w:after="0"/>
              <w:jc w:val="center"/>
              <w:rPr>
                <w:rFonts w:eastAsia="Calibri"/>
                <w:lang w:eastAsia="x-none"/>
              </w:rPr>
            </w:pPr>
            <w:r>
              <w:rPr>
                <w:rFonts w:eastAsia="Calibri" w:cs=""/>
                <w:kern w:val="0"/>
                <w:szCs w:val="22"/>
                <w:lang w:val="ru-RU" w:eastAsia="x-none" w:bidi="ar-SA"/>
              </w:rPr>
            </w:r>
          </w:p>
        </w:tc>
        <w:tc>
          <w:tcPr>
            <w:tcW w:w="6804" w:type="dxa"/>
            <w:tcBorders/>
            <w:vAlign w:val="center"/>
          </w:tcPr>
          <w:p>
            <w:pPr>
              <w:pStyle w:val="Normal"/>
              <w:widowControl/>
              <w:suppressAutoHyphens w:val="true"/>
              <w:spacing w:before="0" w:after="0"/>
              <w:jc w:val="left"/>
              <w:rPr>
                <w:rFonts w:eastAsia="Calibri"/>
                <w:lang w:eastAsia="x-none"/>
              </w:rPr>
            </w:pPr>
            <w:r>
              <w:rPr>
                <w:rFonts w:eastAsia="Calibri" w:cs=""/>
                <w:kern w:val="0"/>
                <w:szCs w:val="22"/>
                <w:lang w:val="ru-RU" w:eastAsia="x-none" w:bidi="ar-SA"/>
              </w:rPr>
              <w:t>Комплект ПО на физическом носителе, ЮСДП.425979.007</w:t>
            </w:r>
          </w:p>
        </w:tc>
        <w:tc>
          <w:tcPr>
            <w:tcW w:w="1277" w:type="dxa"/>
            <w:tcBorders/>
            <w:shd w:color="auto" w:fill="auto" w:val="clear"/>
            <w:vAlign w:val="center"/>
          </w:tcPr>
          <w:p>
            <w:pPr>
              <w:pStyle w:val="Style42"/>
              <w:widowControl/>
              <w:suppressAutoHyphens w:val="true"/>
              <w:spacing w:before="0" w:after="0"/>
              <w:jc w:val="center"/>
              <w:rPr>
                <w:rFonts w:cs="Times New Roman"/>
              </w:rPr>
            </w:pPr>
            <w:r>
              <w:rPr>
                <w:rFonts w:eastAsia="Calibri" w:cs="Times New Roman" w:ascii="Calibri" w:hAnsi="Calibri"/>
                <w:kern w:val="0"/>
                <w:sz w:val="22"/>
                <w:szCs w:val="22"/>
                <w:lang w:val="ru-RU" w:eastAsia="en-US" w:bidi="ar-SA"/>
              </w:rPr>
              <w:t>шт.</w:t>
            </w:r>
          </w:p>
        </w:tc>
        <w:tc>
          <w:tcPr>
            <w:tcW w:w="1416" w:type="dxa"/>
            <w:tcBorders/>
            <w:shd w:color="auto" w:fill="auto" w:val="clear"/>
            <w:vAlign w:val="center"/>
          </w:tcPr>
          <w:p>
            <w:pPr>
              <w:pStyle w:val="Style42"/>
              <w:widowControl/>
              <w:suppressAutoHyphens w:val="true"/>
              <w:spacing w:before="0" w:after="0"/>
              <w:jc w:val="center"/>
              <w:rPr>
                <w:rFonts w:ascii="Calibri" w:hAnsi="Calibri" w:eastAsia="Calibri" w:cs=""/>
                <w:kern w:val="0"/>
                <w:sz w:val="22"/>
                <w:szCs w:val="22"/>
                <w:lang w:val="ru-RU" w:eastAsia="en-US" w:bidi="ar-SA"/>
              </w:rPr>
            </w:pPr>
            <w:r>
              <w:rPr>
                <w:rFonts w:eastAsia="Calibri" w:cs="" w:ascii="Calibri" w:hAnsi="Calibri"/>
                <w:kern w:val="0"/>
                <w:sz w:val="22"/>
                <w:szCs w:val="22"/>
                <w:lang w:val="ru-RU" w:eastAsia="en-US" w:bidi="ar-SA"/>
              </w:rPr>
              <w:t>3</w:t>
            </w:r>
          </w:p>
        </w:tc>
      </w:tr>
    </w:tbl>
    <w:p>
      <w:pPr>
        <w:pStyle w:val="Normal"/>
        <w:rPr>
          <w:rFonts w:eastAsia="Calibri"/>
          <w:szCs w:val="24"/>
          <w:lang w:eastAsia="x-none"/>
        </w:rPr>
      </w:pPr>
      <w:r>
        <w:rPr>
          <w:rFonts w:eastAsia="Calibri"/>
          <w:szCs w:val="24"/>
          <w:lang w:eastAsia="x-none"/>
        </w:rPr>
      </w:r>
      <w:bookmarkStart w:id="14" w:name="_Toc75446578"/>
      <w:bookmarkStart w:id="15" w:name="_Toc75446578"/>
      <w:bookmarkEnd w:id="15"/>
    </w:p>
    <w:p>
      <w:pPr>
        <w:pStyle w:val="Normal"/>
        <w:jc w:val="both"/>
        <w:rPr>
          <w:szCs w:val="24"/>
        </w:rPr>
      </w:pPr>
      <w:r>
        <w:rPr>
          <w:szCs w:val="24"/>
        </w:rPr>
      </w:r>
    </w:p>
    <w:p>
      <w:pPr>
        <w:pStyle w:val="Normal"/>
        <w:jc w:val="both"/>
        <w:rPr>
          <w:szCs w:val="24"/>
        </w:rPr>
      </w:pPr>
      <w:r>
        <w:rPr>
          <w:szCs w:val="24"/>
        </w:rPr>
        <w:t>Таблица 1.2 Перечень и объем закупаемых сопутствующих услуг Рыбинской и Угличской ГЭС Каскада Верхневолжских ГЭС</w:t>
      </w:r>
    </w:p>
    <w:tbl>
      <w:tblPr>
        <w:tblStyle w:val="afffff"/>
        <w:tblW w:w="10207"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709"/>
        <w:gridCol w:w="6805"/>
        <w:gridCol w:w="1276"/>
        <w:gridCol w:w="1416"/>
      </w:tblGrid>
      <w:tr>
        <w:trPr/>
        <w:tc>
          <w:tcPr>
            <w:tcW w:w="709" w:type="dxa"/>
            <w:tcBorders/>
            <w:vAlign w:val="center"/>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 xml:space="preserve">№ </w:t>
            </w:r>
            <w:r>
              <w:rPr>
                <w:rFonts w:eastAsia="Calibri" w:cs=""/>
                <w:kern w:val="0"/>
                <w:sz w:val="22"/>
                <w:szCs w:val="22"/>
                <w:lang w:val="ru-RU" w:eastAsia="x-none" w:bidi="ar-SA"/>
              </w:rPr>
              <w:t>п/п</w:t>
            </w:r>
          </w:p>
        </w:tc>
        <w:tc>
          <w:tcPr>
            <w:tcW w:w="6805" w:type="dxa"/>
            <w:tcBorders/>
            <w:vAlign w:val="center"/>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Наименование услуг</w:t>
            </w:r>
          </w:p>
        </w:tc>
        <w:tc>
          <w:tcPr>
            <w:tcW w:w="1276" w:type="dxa"/>
            <w:tcBorders/>
            <w:vAlign w:val="center"/>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Единица измерения</w:t>
            </w:r>
          </w:p>
        </w:tc>
        <w:tc>
          <w:tcPr>
            <w:tcW w:w="1416" w:type="dxa"/>
            <w:tcBorders/>
            <w:vAlign w:val="center"/>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Количество</w:t>
            </w:r>
          </w:p>
        </w:tc>
      </w:tr>
      <w:tr>
        <w:trPr/>
        <w:tc>
          <w:tcPr>
            <w:tcW w:w="709" w:type="dxa"/>
            <w:tcBorders/>
          </w:tcPr>
          <w:p>
            <w:pPr>
              <w:pStyle w:val="Normal"/>
              <w:widowControl/>
              <w:suppressAutoHyphens w:val="true"/>
              <w:spacing w:before="0" w:after="0"/>
              <w:jc w:val="center"/>
              <w:rPr>
                <w:b/>
                <w:sz w:val="22"/>
                <w:lang w:eastAsia="x-none"/>
              </w:rPr>
            </w:pPr>
            <w:r>
              <w:rPr>
                <w:rFonts w:eastAsia="Calibri" w:cs=""/>
                <w:b/>
                <w:kern w:val="0"/>
                <w:sz w:val="22"/>
                <w:szCs w:val="22"/>
                <w:lang w:val="ru-RU" w:eastAsia="x-none" w:bidi="ar-SA"/>
              </w:rPr>
              <w:t>1</w:t>
            </w:r>
          </w:p>
        </w:tc>
        <w:tc>
          <w:tcPr>
            <w:tcW w:w="6805" w:type="dxa"/>
            <w:tcBorders/>
          </w:tcPr>
          <w:p>
            <w:pPr>
              <w:pStyle w:val="Normal"/>
              <w:widowControl/>
              <w:suppressAutoHyphens w:val="true"/>
              <w:spacing w:before="0" w:after="0"/>
              <w:jc w:val="center"/>
              <w:rPr>
                <w:b/>
                <w:sz w:val="22"/>
                <w:lang w:eastAsia="x-none"/>
              </w:rPr>
            </w:pPr>
            <w:r>
              <w:rPr>
                <w:rFonts w:eastAsia="Calibri" w:cs=""/>
                <w:b/>
                <w:kern w:val="0"/>
                <w:sz w:val="22"/>
                <w:szCs w:val="22"/>
                <w:lang w:val="ru-RU" w:eastAsia="x-none" w:bidi="ar-SA"/>
              </w:rPr>
              <w:t>2</w:t>
            </w:r>
          </w:p>
        </w:tc>
        <w:tc>
          <w:tcPr>
            <w:tcW w:w="1276" w:type="dxa"/>
            <w:tcBorders/>
          </w:tcPr>
          <w:p>
            <w:pPr>
              <w:pStyle w:val="Normal"/>
              <w:widowControl/>
              <w:suppressAutoHyphens w:val="true"/>
              <w:spacing w:before="0" w:after="0"/>
              <w:jc w:val="center"/>
              <w:rPr>
                <w:b/>
                <w:sz w:val="22"/>
                <w:lang w:eastAsia="x-none"/>
              </w:rPr>
            </w:pPr>
            <w:r>
              <w:rPr>
                <w:rFonts w:eastAsia="Calibri" w:cs=""/>
                <w:b/>
                <w:kern w:val="0"/>
                <w:sz w:val="22"/>
                <w:szCs w:val="22"/>
                <w:lang w:val="ru-RU" w:eastAsia="x-none" w:bidi="ar-SA"/>
              </w:rPr>
              <w:t>3</w:t>
            </w:r>
          </w:p>
        </w:tc>
        <w:tc>
          <w:tcPr>
            <w:tcW w:w="1416" w:type="dxa"/>
            <w:tcBorders/>
          </w:tcPr>
          <w:p>
            <w:pPr>
              <w:pStyle w:val="Normal"/>
              <w:widowControl/>
              <w:suppressAutoHyphens w:val="true"/>
              <w:spacing w:before="0" w:after="0"/>
              <w:jc w:val="center"/>
              <w:rPr>
                <w:b/>
                <w:sz w:val="22"/>
                <w:lang w:eastAsia="x-none"/>
              </w:rPr>
            </w:pPr>
            <w:r>
              <w:rPr>
                <w:rFonts w:eastAsia="Calibri" w:cs=""/>
                <w:b/>
                <w:kern w:val="0"/>
                <w:sz w:val="22"/>
                <w:szCs w:val="22"/>
                <w:lang w:val="ru-RU" w:eastAsia="x-none" w:bidi="ar-SA"/>
              </w:rPr>
              <w:t>4</w:t>
            </w:r>
          </w:p>
        </w:tc>
      </w:tr>
      <w:tr>
        <w:trPr>
          <w:trHeight w:val="307" w:hRule="atLeast"/>
        </w:trPr>
        <w:tc>
          <w:tcPr>
            <w:tcW w:w="709" w:type="dxa"/>
            <w:tcBorders/>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1</w:t>
            </w:r>
          </w:p>
        </w:tc>
        <w:tc>
          <w:tcPr>
            <w:tcW w:w="6805" w:type="dxa"/>
            <w:tcBorders/>
          </w:tcPr>
          <w:p>
            <w:pPr>
              <w:pStyle w:val="Normal"/>
              <w:widowControl/>
              <w:suppressAutoHyphens w:val="true"/>
              <w:spacing w:before="0" w:after="0"/>
              <w:jc w:val="left"/>
              <w:rPr>
                <w:sz w:val="22"/>
                <w:lang w:eastAsia="x-none"/>
              </w:rPr>
            </w:pPr>
            <w:r>
              <w:rPr>
                <w:rFonts w:eastAsia="Calibri" w:cs=""/>
                <w:kern w:val="0"/>
                <w:sz w:val="22"/>
                <w:szCs w:val="22"/>
                <w:lang w:val="ru-RU" w:eastAsia="x-none" w:bidi="ar-SA"/>
              </w:rPr>
              <w:t xml:space="preserve">Услуга шефмонтажа оборудования </w:t>
            </w:r>
            <w:r>
              <w:rPr>
                <w:rFonts w:eastAsia="Calibri" w:cs=""/>
                <w:kern w:val="0"/>
                <w:szCs w:val="22"/>
                <w:lang w:val="ru-RU" w:eastAsia="x-none" w:bidi="ar-SA"/>
              </w:rPr>
              <w:t>Рыбинской ГЭС</w:t>
            </w:r>
          </w:p>
        </w:tc>
        <w:tc>
          <w:tcPr>
            <w:tcW w:w="1276" w:type="dxa"/>
            <w:tcBorders/>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усл. ед.</w:t>
            </w:r>
          </w:p>
        </w:tc>
        <w:tc>
          <w:tcPr>
            <w:tcW w:w="1416" w:type="dxa"/>
            <w:tcBorders/>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1</w:t>
            </w:r>
          </w:p>
        </w:tc>
      </w:tr>
      <w:tr>
        <w:trPr/>
        <w:tc>
          <w:tcPr>
            <w:tcW w:w="709" w:type="dxa"/>
            <w:tcBorders/>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2</w:t>
            </w:r>
          </w:p>
        </w:tc>
        <w:tc>
          <w:tcPr>
            <w:tcW w:w="6805" w:type="dxa"/>
            <w:tcBorders/>
          </w:tcPr>
          <w:p>
            <w:pPr>
              <w:pStyle w:val="Normal"/>
              <w:widowControl/>
              <w:suppressAutoHyphens w:val="true"/>
              <w:spacing w:before="0" w:after="0"/>
              <w:jc w:val="left"/>
              <w:rPr>
                <w:sz w:val="22"/>
                <w:lang w:eastAsia="x-none"/>
              </w:rPr>
            </w:pPr>
            <w:r>
              <w:rPr>
                <w:rFonts w:eastAsia="Calibri" w:cs=""/>
                <w:kern w:val="0"/>
                <w:sz w:val="22"/>
                <w:szCs w:val="22"/>
                <w:lang w:val="ru-RU" w:eastAsia="x-none" w:bidi="ar-SA"/>
              </w:rPr>
              <w:t xml:space="preserve">Услуга шефналадки оборудования </w:t>
            </w:r>
            <w:r>
              <w:rPr>
                <w:rFonts w:eastAsia="Calibri" w:cs=""/>
                <w:kern w:val="0"/>
                <w:szCs w:val="22"/>
                <w:lang w:val="ru-RU" w:eastAsia="x-none" w:bidi="ar-SA"/>
              </w:rPr>
              <w:t>Рыбинской ГЭС</w:t>
            </w:r>
          </w:p>
        </w:tc>
        <w:tc>
          <w:tcPr>
            <w:tcW w:w="1276" w:type="dxa"/>
            <w:tcBorders/>
          </w:tcPr>
          <w:p>
            <w:pPr>
              <w:pStyle w:val="Normal"/>
              <w:widowControl/>
              <w:suppressAutoHyphens w:val="true"/>
              <w:spacing w:before="0" w:after="0"/>
              <w:jc w:val="center"/>
              <w:rPr>
                <w:sz w:val="22"/>
                <w:lang w:val="x-none" w:eastAsia="x-none"/>
              </w:rPr>
            </w:pPr>
            <w:r>
              <w:rPr>
                <w:rFonts w:eastAsia="Calibri" w:cs=""/>
                <w:kern w:val="0"/>
                <w:sz w:val="22"/>
                <w:szCs w:val="22"/>
                <w:lang w:val="ru-RU" w:eastAsia="x-none" w:bidi="ar-SA"/>
              </w:rPr>
              <w:t xml:space="preserve">усл. </w:t>
            </w:r>
            <w:r>
              <w:rPr>
                <w:rFonts w:eastAsia="Calibri" w:cs=""/>
                <w:kern w:val="0"/>
                <w:sz w:val="22"/>
                <w:szCs w:val="22"/>
                <w:lang w:val="en-US" w:eastAsia="x-none" w:bidi="ar-SA"/>
              </w:rPr>
              <w:t>ед.</w:t>
            </w:r>
          </w:p>
        </w:tc>
        <w:tc>
          <w:tcPr>
            <w:tcW w:w="1416" w:type="dxa"/>
            <w:tcBorders/>
          </w:tcPr>
          <w:p>
            <w:pPr>
              <w:pStyle w:val="Normal"/>
              <w:widowControl/>
              <w:suppressAutoHyphens w:val="true"/>
              <w:spacing w:before="0" w:after="0"/>
              <w:jc w:val="center"/>
              <w:rPr>
                <w:sz w:val="22"/>
                <w:lang w:val="en-US" w:eastAsia="x-none"/>
              </w:rPr>
            </w:pPr>
            <w:r>
              <w:rPr>
                <w:rFonts w:eastAsia="Calibri" w:cs=""/>
                <w:kern w:val="0"/>
                <w:sz w:val="22"/>
                <w:szCs w:val="22"/>
                <w:lang w:val="en-US" w:eastAsia="x-none" w:bidi="ar-SA"/>
              </w:rPr>
              <w:t>1</w:t>
            </w:r>
          </w:p>
        </w:tc>
      </w:tr>
      <w:tr>
        <w:trPr/>
        <w:tc>
          <w:tcPr>
            <w:tcW w:w="709" w:type="dxa"/>
            <w:tcBorders/>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3</w:t>
            </w:r>
          </w:p>
        </w:tc>
        <w:tc>
          <w:tcPr>
            <w:tcW w:w="6805" w:type="dxa"/>
            <w:tcBorders/>
            <w:vAlign w:val="center"/>
          </w:tcPr>
          <w:p>
            <w:pPr>
              <w:pStyle w:val="Normal"/>
              <w:widowControl/>
              <w:suppressAutoHyphens w:val="true"/>
              <w:spacing w:before="0" w:after="0"/>
              <w:jc w:val="left"/>
              <w:rPr>
                <w:rFonts w:eastAsia="Calibri"/>
                <w:sz w:val="22"/>
              </w:rPr>
            </w:pPr>
            <w:r>
              <w:rPr>
                <w:rFonts w:eastAsia="Calibri" w:cs=""/>
                <w:kern w:val="0"/>
                <w:sz w:val="22"/>
                <w:szCs w:val="22"/>
                <w:lang w:val="ru-RU" w:eastAsia="en-US" w:bidi="ar-SA"/>
              </w:rPr>
              <w:t>Услуга шефмонтажа оборудования ВСП №2 Рыбинской ГЭС</w:t>
            </w:r>
          </w:p>
        </w:tc>
        <w:tc>
          <w:tcPr>
            <w:tcW w:w="1276" w:type="dxa"/>
            <w:tcBorders/>
          </w:tcPr>
          <w:p>
            <w:pPr>
              <w:pStyle w:val="Normal"/>
              <w:widowControl/>
              <w:suppressAutoHyphens w:val="true"/>
              <w:spacing w:before="0" w:after="0"/>
              <w:jc w:val="center"/>
              <w:rPr>
                <w:sz w:val="22"/>
                <w:lang w:val="x-none" w:eastAsia="x-none"/>
              </w:rPr>
            </w:pPr>
            <w:r>
              <w:rPr>
                <w:rFonts w:eastAsia="Calibri" w:cs=""/>
                <w:kern w:val="0"/>
                <w:sz w:val="22"/>
                <w:szCs w:val="22"/>
                <w:lang w:val="ru-RU" w:eastAsia="x-none" w:bidi="ar-SA"/>
              </w:rPr>
              <w:t xml:space="preserve">усл. </w:t>
            </w:r>
            <w:r>
              <w:rPr>
                <w:rFonts w:eastAsia="Calibri" w:cs=""/>
                <w:kern w:val="0"/>
                <w:sz w:val="22"/>
                <w:szCs w:val="22"/>
                <w:lang w:val="en-US" w:eastAsia="x-none" w:bidi="ar-SA"/>
              </w:rPr>
              <w:t>ед.</w:t>
            </w:r>
          </w:p>
        </w:tc>
        <w:tc>
          <w:tcPr>
            <w:tcW w:w="1416" w:type="dxa"/>
            <w:tcBorders/>
          </w:tcPr>
          <w:p>
            <w:pPr>
              <w:pStyle w:val="Normal"/>
              <w:widowControl/>
              <w:suppressAutoHyphens w:val="true"/>
              <w:spacing w:before="0" w:after="0"/>
              <w:jc w:val="center"/>
              <w:rPr>
                <w:sz w:val="22"/>
                <w:lang w:val="en-US" w:eastAsia="x-none"/>
              </w:rPr>
            </w:pPr>
            <w:r>
              <w:rPr>
                <w:rFonts w:eastAsia="Calibri" w:cs=""/>
                <w:kern w:val="0"/>
                <w:sz w:val="22"/>
                <w:szCs w:val="22"/>
                <w:lang w:val="en-US" w:eastAsia="x-none" w:bidi="ar-SA"/>
              </w:rPr>
              <w:t>1</w:t>
            </w:r>
          </w:p>
        </w:tc>
      </w:tr>
      <w:tr>
        <w:trPr/>
        <w:tc>
          <w:tcPr>
            <w:tcW w:w="709" w:type="dxa"/>
            <w:tcBorders/>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4</w:t>
            </w:r>
          </w:p>
        </w:tc>
        <w:tc>
          <w:tcPr>
            <w:tcW w:w="6805" w:type="dxa"/>
            <w:tcBorders/>
            <w:vAlign w:val="center"/>
          </w:tcPr>
          <w:p>
            <w:pPr>
              <w:pStyle w:val="Normal"/>
              <w:widowControl/>
              <w:suppressAutoHyphens w:val="true"/>
              <w:spacing w:before="0" w:after="0"/>
              <w:jc w:val="left"/>
              <w:rPr>
                <w:rFonts w:eastAsia="Calibri"/>
                <w:sz w:val="22"/>
              </w:rPr>
            </w:pPr>
            <w:r>
              <w:rPr>
                <w:rFonts w:eastAsia="Calibri" w:cs=""/>
                <w:kern w:val="0"/>
                <w:sz w:val="22"/>
                <w:szCs w:val="22"/>
                <w:lang w:val="ru-RU" w:eastAsia="en-US" w:bidi="ar-SA"/>
              </w:rPr>
              <w:t>Услуга шефналадки оборудования ВСП №2 Рыбинской ГЭС</w:t>
            </w:r>
          </w:p>
        </w:tc>
        <w:tc>
          <w:tcPr>
            <w:tcW w:w="1276" w:type="dxa"/>
            <w:tcBorders/>
          </w:tcPr>
          <w:p>
            <w:pPr>
              <w:pStyle w:val="Normal"/>
              <w:widowControl/>
              <w:suppressAutoHyphens w:val="true"/>
              <w:spacing w:before="0" w:after="0"/>
              <w:jc w:val="center"/>
              <w:rPr>
                <w:sz w:val="22"/>
                <w:lang w:val="x-none" w:eastAsia="x-none"/>
              </w:rPr>
            </w:pPr>
            <w:r>
              <w:rPr>
                <w:rFonts w:eastAsia="Calibri" w:cs=""/>
                <w:kern w:val="0"/>
                <w:sz w:val="22"/>
                <w:szCs w:val="22"/>
                <w:lang w:val="ru-RU" w:eastAsia="x-none" w:bidi="ar-SA"/>
              </w:rPr>
              <w:t xml:space="preserve">усл. </w:t>
            </w:r>
            <w:r>
              <w:rPr>
                <w:rFonts w:eastAsia="Calibri" w:cs=""/>
                <w:kern w:val="0"/>
                <w:sz w:val="22"/>
                <w:szCs w:val="22"/>
                <w:lang w:val="en-US" w:eastAsia="x-none" w:bidi="ar-SA"/>
              </w:rPr>
              <w:t>ед.</w:t>
            </w:r>
          </w:p>
        </w:tc>
        <w:tc>
          <w:tcPr>
            <w:tcW w:w="1416" w:type="dxa"/>
            <w:tcBorders/>
          </w:tcPr>
          <w:p>
            <w:pPr>
              <w:pStyle w:val="Normal"/>
              <w:widowControl/>
              <w:suppressAutoHyphens w:val="true"/>
              <w:spacing w:before="0" w:after="0"/>
              <w:jc w:val="center"/>
              <w:rPr>
                <w:sz w:val="22"/>
                <w:lang w:val="en-US" w:eastAsia="x-none"/>
              </w:rPr>
            </w:pPr>
            <w:r>
              <w:rPr>
                <w:rFonts w:eastAsia="Calibri" w:cs=""/>
                <w:kern w:val="0"/>
                <w:sz w:val="22"/>
                <w:szCs w:val="22"/>
                <w:lang w:val="en-US" w:eastAsia="x-none" w:bidi="ar-SA"/>
              </w:rPr>
              <w:t>1</w:t>
            </w:r>
          </w:p>
        </w:tc>
      </w:tr>
      <w:tr>
        <w:trPr/>
        <w:tc>
          <w:tcPr>
            <w:tcW w:w="709" w:type="dxa"/>
            <w:tcBorders/>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5</w:t>
            </w:r>
          </w:p>
        </w:tc>
        <w:tc>
          <w:tcPr>
            <w:tcW w:w="6805" w:type="dxa"/>
            <w:tcBorders/>
          </w:tcPr>
          <w:p>
            <w:pPr>
              <w:pStyle w:val="Normal"/>
              <w:widowControl/>
              <w:suppressAutoHyphens w:val="true"/>
              <w:spacing w:before="0" w:after="0"/>
              <w:jc w:val="left"/>
              <w:rPr>
                <w:sz w:val="22"/>
                <w:lang w:eastAsia="x-none"/>
              </w:rPr>
            </w:pPr>
            <w:r>
              <w:rPr>
                <w:rFonts w:eastAsia="Calibri" w:cs=""/>
                <w:kern w:val="0"/>
                <w:sz w:val="22"/>
                <w:szCs w:val="22"/>
                <w:lang w:val="ru-RU" w:eastAsia="en-US" w:bidi="ar-SA"/>
              </w:rPr>
              <w:t>Услуга шефмонтажа оборудования Угличской ГЭС</w:t>
            </w:r>
          </w:p>
        </w:tc>
        <w:tc>
          <w:tcPr>
            <w:tcW w:w="1276" w:type="dxa"/>
            <w:tcBorders/>
          </w:tcPr>
          <w:p>
            <w:pPr>
              <w:pStyle w:val="Normal"/>
              <w:widowControl/>
              <w:suppressAutoHyphens w:val="true"/>
              <w:spacing w:before="0" w:after="0"/>
              <w:jc w:val="center"/>
              <w:rPr>
                <w:sz w:val="22"/>
                <w:lang w:val="x-none" w:eastAsia="x-none"/>
              </w:rPr>
            </w:pPr>
            <w:r>
              <w:rPr>
                <w:rFonts w:eastAsia="Calibri" w:cs=""/>
                <w:kern w:val="0"/>
                <w:sz w:val="22"/>
                <w:szCs w:val="22"/>
                <w:lang w:val="ru-RU" w:eastAsia="x-none" w:bidi="ar-SA"/>
              </w:rPr>
              <w:t xml:space="preserve">усл. </w:t>
            </w:r>
            <w:r>
              <w:rPr>
                <w:rFonts w:eastAsia="Calibri" w:cs=""/>
                <w:kern w:val="0"/>
                <w:sz w:val="22"/>
                <w:szCs w:val="22"/>
                <w:lang w:val="en-US" w:eastAsia="x-none" w:bidi="ar-SA"/>
              </w:rPr>
              <w:t>ед.</w:t>
            </w:r>
          </w:p>
        </w:tc>
        <w:tc>
          <w:tcPr>
            <w:tcW w:w="1416" w:type="dxa"/>
            <w:tcBorders/>
          </w:tcPr>
          <w:p>
            <w:pPr>
              <w:pStyle w:val="Normal"/>
              <w:widowControl/>
              <w:suppressAutoHyphens w:val="true"/>
              <w:spacing w:before="0" w:after="0"/>
              <w:jc w:val="center"/>
              <w:rPr>
                <w:sz w:val="22"/>
                <w:lang w:val="en-US" w:eastAsia="x-none"/>
              </w:rPr>
            </w:pPr>
            <w:r>
              <w:rPr>
                <w:rFonts w:eastAsia="Calibri" w:cs=""/>
                <w:kern w:val="0"/>
                <w:sz w:val="22"/>
                <w:szCs w:val="22"/>
                <w:lang w:val="en-US" w:eastAsia="x-none" w:bidi="ar-SA"/>
              </w:rPr>
              <w:t>1</w:t>
            </w:r>
          </w:p>
        </w:tc>
      </w:tr>
      <w:tr>
        <w:trPr/>
        <w:tc>
          <w:tcPr>
            <w:tcW w:w="709" w:type="dxa"/>
            <w:tcBorders/>
          </w:tcPr>
          <w:p>
            <w:pPr>
              <w:pStyle w:val="Normal"/>
              <w:widowControl/>
              <w:suppressAutoHyphens w:val="true"/>
              <w:spacing w:before="0" w:after="0"/>
              <w:jc w:val="center"/>
              <w:rPr>
                <w:sz w:val="22"/>
                <w:lang w:eastAsia="x-none"/>
              </w:rPr>
            </w:pPr>
            <w:r>
              <w:rPr>
                <w:rFonts w:eastAsia="Calibri" w:cs=""/>
                <w:kern w:val="0"/>
                <w:sz w:val="22"/>
                <w:szCs w:val="22"/>
                <w:lang w:val="ru-RU" w:eastAsia="x-none" w:bidi="ar-SA"/>
              </w:rPr>
              <w:t>6</w:t>
            </w:r>
          </w:p>
        </w:tc>
        <w:tc>
          <w:tcPr>
            <w:tcW w:w="6805" w:type="dxa"/>
            <w:tcBorders/>
          </w:tcPr>
          <w:p>
            <w:pPr>
              <w:pStyle w:val="Normal"/>
              <w:widowControl/>
              <w:suppressAutoHyphens w:val="true"/>
              <w:spacing w:before="0" w:after="0"/>
              <w:jc w:val="left"/>
              <w:rPr>
                <w:sz w:val="22"/>
                <w:lang w:eastAsia="x-none"/>
              </w:rPr>
            </w:pPr>
            <w:r>
              <w:rPr>
                <w:rFonts w:eastAsia="Calibri" w:cs=""/>
                <w:kern w:val="0"/>
                <w:sz w:val="22"/>
                <w:szCs w:val="22"/>
                <w:lang w:val="ru-RU" w:eastAsia="en-US" w:bidi="ar-SA"/>
              </w:rPr>
              <w:t>Услуга шефналадки оборудования Угличской ГЭС</w:t>
            </w:r>
          </w:p>
        </w:tc>
        <w:tc>
          <w:tcPr>
            <w:tcW w:w="1276" w:type="dxa"/>
            <w:tcBorders/>
          </w:tcPr>
          <w:p>
            <w:pPr>
              <w:pStyle w:val="Normal"/>
              <w:widowControl/>
              <w:suppressAutoHyphens w:val="true"/>
              <w:spacing w:before="0" w:after="0"/>
              <w:jc w:val="center"/>
              <w:rPr>
                <w:sz w:val="22"/>
                <w:lang w:val="x-none" w:eastAsia="x-none"/>
              </w:rPr>
            </w:pPr>
            <w:r>
              <w:rPr>
                <w:rFonts w:eastAsia="Calibri" w:cs=""/>
                <w:kern w:val="0"/>
                <w:sz w:val="22"/>
                <w:szCs w:val="22"/>
                <w:lang w:val="ru-RU" w:eastAsia="x-none" w:bidi="ar-SA"/>
              </w:rPr>
              <w:t xml:space="preserve">усл. </w:t>
            </w:r>
            <w:r>
              <w:rPr>
                <w:rFonts w:eastAsia="Calibri" w:cs=""/>
                <w:kern w:val="0"/>
                <w:sz w:val="22"/>
                <w:szCs w:val="22"/>
                <w:lang w:val="en-US" w:eastAsia="x-none" w:bidi="ar-SA"/>
              </w:rPr>
              <w:t>ед.</w:t>
            </w:r>
          </w:p>
        </w:tc>
        <w:tc>
          <w:tcPr>
            <w:tcW w:w="1416" w:type="dxa"/>
            <w:tcBorders/>
          </w:tcPr>
          <w:p>
            <w:pPr>
              <w:pStyle w:val="Normal"/>
              <w:widowControl/>
              <w:suppressAutoHyphens w:val="true"/>
              <w:spacing w:before="0" w:after="0"/>
              <w:jc w:val="center"/>
              <w:rPr>
                <w:sz w:val="22"/>
                <w:lang w:val="en-US" w:eastAsia="x-none"/>
              </w:rPr>
            </w:pPr>
            <w:r>
              <w:rPr>
                <w:rFonts w:eastAsia="Calibri" w:cs=""/>
                <w:kern w:val="0"/>
                <w:sz w:val="22"/>
                <w:szCs w:val="22"/>
                <w:lang w:val="en-US" w:eastAsia="x-none" w:bidi="ar-SA"/>
              </w:rPr>
              <w:t>1</w:t>
            </w:r>
          </w:p>
        </w:tc>
      </w:tr>
    </w:tbl>
    <w:p>
      <w:pPr>
        <w:pStyle w:val="Normal"/>
        <w:rPr>
          <w:rFonts w:eastAsia="Calibri"/>
          <w:szCs w:val="24"/>
          <w:lang w:eastAsia="x-none"/>
        </w:rPr>
      </w:pPr>
      <w:r>
        <w:rPr>
          <w:rFonts w:eastAsia="Calibri"/>
          <w:szCs w:val="24"/>
          <w:lang w:eastAsia="x-none"/>
        </w:rPr>
      </w:r>
    </w:p>
    <w:p>
      <w:pPr>
        <w:pStyle w:val="Heading3"/>
        <w:numPr>
          <w:ilvl w:val="2"/>
          <w:numId w:val="1"/>
        </w:numPr>
        <w:ind w:hanging="0" w:left="0"/>
        <w:rPr/>
      </w:pPr>
      <w:bookmarkStart w:id="16" w:name="_Toc141728501"/>
      <w:r>
        <w:rPr/>
        <w:t>Требования к срокам поставки продукции</w:t>
      </w:r>
      <w:r>
        <w:rPr>
          <w:lang w:val="ru-RU"/>
        </w:rPr>
        <w:t xml:space="preserve"> и оказания сопутствующих услуг</w:t>
      </w:r>
      <w:r>
        <w:rPr/>
        <w:t xml:space="preserve"> </w:t>
      </w:r>
      <w:bookmarkEnd w:id="16"/>
    </w:p>
    <w:p>
      <w:pPr>
        <w:pStyle w:val="Normal"/>
        <w:rPr>
          <w:rFonts w:eastAsia="Calibri"/>
          <w:szCs w:val="24"/>
          <w:lang w:eastAsia="x-none"/>
        </w:rPr>
      </w:pPr>
      <w:r>
        <w:rPr>
          <w:rFonts w:eastAsia="Calibri"/>
          <w:szCs w:val="24"/>
          <w:lang w:eastAsia="x-none"/>
        </w:rPr>
      </w:r>
    </w:p>
    <w:p>
      <w:pPr>
        <w:pStyle w:val="Normal"/>
        <w:rPr>
          <w:rFonts w:eastAsia="Calibri"/>
          <w:szCs w:val="24"/>
          <w:lang w:eastAsia="x-none"/>
        </w:rPr>
      </w:pPr>
      <w:r>
        <w:rPr>
          <w:rFonts w:eastAsia="Calibri"/>
          <w:szCs w:val="24"/>
          <w:lang w:eastAsia="x-none"/>
        </w:rPr>
        <w:t xml:space="preserve">Таблица 2.1 </w:t>
      </w:r>
      <w:bookmarkStart w:id="17" w:name="_Hlk50465284"/>
      <w:r>
        <w:rPr>
          <w:rFonts w:eastAsia="Calibri"/>
          <w:szCs w:val="24"/>
          <w:lang w:eastAsia="x-none"/>
        </w:rPr>
        <w:t xml:space="preserve">Требования по срокам </w:t>
      </w:r>
      <w:bookmarkEnd w:id="17"/>
      <w:r>
        <w:rPr>
          <w:rFonts w:eastAsia="Calibri"/>
          <w:szCs w:val="24"/>
          <w:lang w:eastAsia="x-none"/>
        </w:rPr>
        <w:t xml:space="preserve">поставки продукции </w:t>
      </w:r>
    </w:p>
    <w:tbl>
      <w:tblPr>
        <w:tblW w:w="10207"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709"/>
        <w:gridCol w:w="3686"/>
        <w:gridCol w:w="2976"/>
        <w:gridCol w:w="2835"/>
      </w:tblGrid>
      <w:tr>
        <w:trPr/>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rPr>
            </w:pPr>
            <w:r>
              <w:rPr>
                <w:sz w:val="22"/>
              </w:rPr>
              <w:t xml:space="preserve">№ </w:t>
            </w:r>
            <w:r>
              <w:rPr>
                <w:sz w:val="22"/>
              </w:rPr>
              <w:t>п/п</w:t>
            </w:r>
          </w:p>
        </w:tc>
        <w:tc>
          <w:tcPr>
            <w:tcW w:w="36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rPr>
            </w:pPr>
            <w:r>
              <w:rPr>
                <w:sz w:val="22"/>
              </w:rPr>
              <w:t>Наименование продукции / партии продукции</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rPr>
            </w:pPr>
            <w:r>
              <w:rPr>
                <w:sz w:val="22"/>
              </w:rPr>
              <w:t>Требования к началу срока поставки продукции</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Требования к окончанию срока поставки продукции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22"/>
              </w:rPr>
            </w:pPr>
            <w:r>
              <w:rPr>
                <w:b/>
                <w:sz w:val="22"/>
              </w:rPr>
              <w:t>1</w:t>
            </w:r>
          </w:p>
        </w:tc>
        <w:tc>
          <w:tcPr>
            <w:tcW w:w="36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22"/>
              </w:rPr>
            </w:pPr>
            <w:r>
              <w:rPr>
                <w:b/>
                <w:sz w:val="22"/>
              </w:rPr>
              <w:t>2</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rPr>
            </w:pPr>
            <w:r>
              <w:rPr>
                <w:b/>
                <w:sz w:val="22"/>
              </w:rPr>
              <w:t>3</w:t>
            </w:r>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rPr>
            </w:pPr>
            <w:r>
              <w:rPr>
                <w:b/>
                <w:sz w:val="22"/>
              </w:rPr>
              <w:t>4</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rPr>
            </w:pPr>
            <w:r>
              <w:rPr>
                <w:sz w:val="22"/>
              </w:rPr>
              <w:t>1</w:t>
            </w:r>
          </w:p>
        </w:tc>
        <w:tc>
          <w:tcPr>
            <w:tcW w:w="36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rPr>
            </w:pPr>
            <w:r>
              <w:rPr>
                <w:rFonts w:eastAsia="Times New Roman" w:cs="Times New Roman"/>
                <w:bCs/>
                <w:spacing w:val="-6"/>
                <w:sz w:val="22"/>
                <w:szCs w:val="24"/>
              </w:rPr>
              <w:t>Партия №1 (Рыбинская ГЭС)</w:t>
            </w:r>
          </w:p>
        </w:tc>
        <w:tc>
          <w:tcPr>
            <w:tcW w:w="2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С даты подписания договора</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Не позднее 16.04.2027 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rPr>
            </w:pPr>
            <w:r>
              <w:rPr>
                <w:sz w:val="22"/>
              </w:rPr>
              <w:t>2</w:t>
            </w:r>
          </w:p>
        </w:tc>
        <w:tc>
          <w:tcPr>
            <w:tcW w:w="36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Times New Roman" w:cs="Times New Roman"/>
                <w:bCs/>
                <w:spacing w:val="-6"/>
                <w:sz w:val="22"/>
                <w:szCs w:val="24"/>
              </w:rPr>
            </w:pPr>
            <w:r>
              <w:rPr>
                <w:rFonts w:eastAsia="Times New Roman" w:cs="Times New Roman"/>
                <w:bCs/>
                <w:spacing w:val="-6"/>
                <w:sz w:val="22"/>
                <w:szCs w:val="24"/>
              </w:rPr>
              <w:t>Партия №2 (ВСП №2 Рыбинской ГЭС)</w:t>
            </w:r>
          </w:p>
        </w:tc>
        <w:tc>
          <w:tcPr>
            <w:tcW w:w="2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С даты подписания договора</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Не позднее 16.04.2027 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rPr>
            </w:pPr>
            <w:r>
              <w:rPr>
                <w:sz w:val="22"/>
              </w:rPr>
              <w:t>3</w:t>
            </w:r>
          </w:p>
        </w:tc>
        <w:tc>
          <w:tcPr>
            <w:tcW w:w="36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Times New Roman" w:cs="Times New Roman"/>
                <w:bCs/>
                <w:spacing w:val="-6"/>
                <w:sz w:val="22"/>
                <w:szCs w:val="24"/>
              </w:rPr>
            </w:pPr>
            <w:r>
              <w:rPr>
                <w:rFonts w:eastAsia="Times New Roman" w:cs="Times New Roman"/>
                <w:bCs/>
                <w:spacing w:val="-6"/>
                <w:sz w:val="22"/>
                <w:szCs w:val="24"/>
              </w:rPr>
              <w:t>Партия №3 (Угличская ГЭС)</w:t>
            </w:r>
          </w:p>
        </w:tc>
        <w:tc>
          <w:tcPr>
            <w:tcW w:w="2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С даты подписания договора</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Не позднее 16.04.2027 г.</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rPr>
            </w:pPr>
            <w:r>
              <w:rPr>
                <w:sz w:val="22"/>
              </w:rPr>
              <w:t>4</w:t>
            </w:r>
          </w:p>
        </w:tc>
        <w:tc>
          <w:tcPr>
            <w:tcW w:w="36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rPr>
            </w:pPr>
            <w:r>
              <w:rPr>
                <w:rFonts w:eastAsia="Times New Roman" w:cs="Times New Roman"/>
                <w:bCs/>
                <w:spacing w:val="-6"/>
                <w:sz w:val="22"/>
                <w:szCs w:val="24"/>
              </w:rPr>
              <w:t>Партия №4 (ЗИП)</w:t>
            </w:r>
          </w:p>
        </w:tc>
        <w:tc>
          <w:tcPr>
            <w:tcW w:w="2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С даты подписания договора</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rPr>
            </w:pPr>
            <w:r>
              <w:rPr>
                <w:sz w:val="22"/>
              </w:rPr>
              <w:t>Не позднее 16.04.2027 г.</w:t>
            </w:r>
          </w:p>
        </w:tc>
      </w:tr>
    </w:tbl>
    <w:p>
      <w:pPr>
        <w:pStyle w:val="Normal"/>
        <w:rPr>
          <w:rFonts w:eastAsia="Calibri"/>
          <w:szCs w:val="24"/>
          <w:lang w:eastAsia="x-none"/>
        </w:rPr>
      </w:pPr>
      <w:r>
        <w:rPr>
          <w:rFonts w:eastAsia="Calibri"/>
          <w:szCs w:val="24"/>
          <w:lang w:eastAsia="x-none"/>
        </w:rPr>
      </w:r>
    </w:p>
    <w:p>
      <w:pPr>
        <w:pStyle w:val="Normal"/>
        <w:rPr>
          <w:rFonts w:eastAsia="Calibri"/>
          <w:szCs w:val="24"/>
          <w:lang w:eastAsia="x-none"/>
        </w:rPr>
      </w:pPr>
      <w:r>
        <w:rPr>
          <w:rFonts w:eastAsia="Calibri"/>
          <w:szCs w:val="24"/>
          <w:lang w:eastAsia="x-none"/>
        </w:rPr>
      </w:r>
    </w:p>
    <w:p>
      <w:pPr>
        <w:pStyle w:val="Normal"/>
        <w:rPr>
          <w:rFonts w:eastAsia="Calibri"/>
          <w:szCs w:val="24"/>
          <w:lang w:eastAsia="x-none"/>
        </w:rPr>
      </w:pPr>
      <w:r>
        <w:rPr>
          <w:rFonts w:eastAsia="Calibri"/>
          <w:szCs w:val="24"/>
          <w:lang w:eastAsia="x-none"/>
        </w:rPr>
        <w:t>Таблица 2.2 Требования по срокам оказания сопутствующих услуг</w:t>
      </w:r>
    </w:p>
    <w:tbl>
      <w:tblPr>
        <w:tblStyle w:val="afffff"/>
        <w:tblW w:w="10207"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709"/>
        <w:gridCol w:w="2269"/>
        <w:gridCol w:w="3115"/>
        <w:gridCol w:w="4113"/>
      </w:tblGrid>
      <w:tr>
        <w:trPr/>
        <w:tc>
          <w:tcPr>
            <w:tcW w:w="709" w:type="dxa"/>
            <w:tcBorders/>
            <w:vAlign w:val="center"/>
          </w:tcPr>
          <w:p>
            <w:pPr>
              <w:pStyle w:val="Normal"/>
              <w:widowControl/>
              <w:suppressAutoHyphens w:val="true"/>
              <w:spacing w:before="0" w:after="0"/>
              <w:jc w:val="center"/>
              <w:rPr>
                <w:sz w:val="22"/>
              </w:rPr>
            </w:pPr>
            <w:r>
              <w:rPr>
                <w:rFonts w:eastAsia="Calibri" w:cs=""/>
                <w:kern w:val="0"/>
                <w:sz w:val="22"/>
                <w:szCs w:val="22"/>
                <w:lang w:val="ru-RU" w:eastAsia="en-US" w:bidi="ar-SA"/>
              </w:rPr>
              <w:t xml:space="preserve">№ </w:t>
            </w:r>
            <w:r>
              <w:rPr>
                <w:rFonts w:eastAsia="Calibri" w:cs=""/>
                <w:kern w:val="0"/>
                <w:sz w:val="22"/>
                <w:szCs w:val="22"/>
                <w:lang w:val="ru-RU" w:eastAsia="en-US" w:bidi="ar-SA"/>
              </w:rPr>
              <w:t>п/п</w:t>
            </w:r>
          </w:p>
        </w:tc>
        <w:tc>
          <w:tcPr>
            <w:tcW w:w="2269" w:type="dxa"/>
            <w:tcBorders/>
            <w:vAlign w:val="center"/>
          </w:tcPr>
          <w:p>
            <w:pPr>
              <w:pStyle w:val="Normal"/>
              <w:widowControl/>
              <w:suppressAutoHyphens w:val="true"/>
              <w:spacing w:before="0" w:after="0"/>
              <w:jc w:val="center"/>
              <w:rPr>
                <w:sz w:val="22"/>
              </w:rPr>
            </w:pPr>
            <w:r>
              <w:rPr>
                <w:rFonts w:eastAsia="Calibri" w:cs=""/>
                <w:kern w:val="0"/>
                <w:sz w:val="22"/>
                <w:szCs w:val="22"/>
                <w:lang w:val="ru-RU" w:eastAsia="en-US" w:bidi="ar-SA"/>
              </w:rPr>
              <w:t>Наименование услуг</w:t>
            </w:r>
          </w:p>
        </w:tc>
        <w:tc>
          <w:tcPr>
            <w:tcW w:w="3115" w:type="dxa"/>
            <w:tcBorders/>
            <w:vAlign w:val="center"/>
          </w:tcPr>
          <w:p>
            <w:pPr>
              <w:pStyle w:val="Normal"/>
              <w:widowControl/>
              <w:suppressAutoHyphens w:val="true"/>
              <w:spacing w:before="0" w:after="0"/>
              <w:jc w:val="center"/>
              <w:rPr>
                <w:sz w:val="22"/>
              </w:rPr>
            </w:pPr>
            <w:r>
              <w:rPr>
                <w:rFonts w:eastAsia="Calibri" w:cs=""/>
                <w:kern w:val="0"/>
                <w:sz w:val="22"/>
                <w:szCs w:val="22"/>
                <w:lang w:val="ru-RU" w:eastAsia="en-US" w:bidi="ar-SA"/>
              </w:rPr>
              <w:t>Требования к началу срока оказания услуг</w:t>
            </w:r>
          </w:p>
        </w:tc>
        <w:tc>
          <w:tcPr>
            <w:tcW w:w="4113" w:type="dxa"/>
            <w:tcBorders/>
            <w:vAlign w:val="center"/>
          </w:tcPr>
          <w:p>
            <w:pPr>
              <w:pStyle w:val="Normal"/>
              <w:widowControl/>
              <w:suppressAutoHyphens w:val="true"/>
              <w:spacing w:before="0" w:after="0"/>
              <w:jc w:val="center"/>
              <w:rPr>
                <w:sz w:val="22"/>
              </w:rPr>
            </w:pPr>
            <w:r>
              <w:rPr>
                <w:rFonts w:eastAsia="Calibri" w:cs=""/>
                <w:kern w:val="0"/>
                <w:sz w:val="22"/>
                <w:szCs w:val="22"/>
                <w:lang w:val="ru-RU" w:eastAsia="en-US" w:bidi="ar-SA"/>
              </w:rPr>
              <w:t>Требования к окончанию срока оказания услуг</w:t>
            </w:r>
          </w:p>
        </w:tc>
      </w:tr>
      <w:tr>
        <w:trPr/>
        <w:tc>
          <w:tcPr>
            <w:tcW w:w="709" w:type="dxa"/>
            <w:tcBorders/>
            <w:vAlign w:val="center"/>
          </w:tcPr>
          <w:p>
            <w:pPr>
              <w:pStyle w:val="Normal"/>
              <w:widowControl/>
              <w:suppressAutoHyphens w:val="true"/>
              <w:spacing w:before="0" w:after="0"/>
              <w:jc w:val="center"/>
              <w:rPr>
                <w:b/>
                <w:sz w:val="22"/>
              </w:rPr>
            </w:pPr>
            <w:r>
              <w:rPr>
                <w:rFonts w:eastAsia="Calibri" w:cs=""/>
                <w:b/>
                <w:kern w:val="0"/>
                <w:sz w:val="22"/>
                <w:szCs w:val="22"/>
                <w:lang w:val="ru-RU" w:eastAsia="en-US" w:bidi="ar-SA"/>
              </w:rPr>
              <w:t>1</w:t>
            </w:r>
          </w:p>
        </w:tc>
        <w:tc>
          <w:tcPr>
            <w:tcW w:w="2269" w:type="dxa"/>
            <w:tcBorders/>
            <w:vAlign w:val="center"/>
          </w:tcPr>
          <w:p>
            <w:pPr>
              <w:pStyle w:val="Normal"/>
              <w:widowControl/>
              <w:suppressAutoHyphens w:val="true"/>
              <w:spacing w:before="0" w:after="0"/>
              <w:jc w:val="center"/>
              <w:rPr>
                <w:b/>
                <w:sz w:val="22"/>
              </w:rPr>
            </w:pPr>
            <w:r>
              <w:rPr>
                <w:rFonts w:eastAsia="Calibri" w:cs=""/>
                <w:b/>
                <w:kern w:val="0"/>
                <w:sz w:val="22"/>
                <w:szCs w:val="22"/>
                <w:lang w:val="ru-RU" w:eastAsia="en-US" w:bidi="ar-SA"/>
              </w:rPr>
              <w:t>2</w:t>
            </w:r>
          </w:p>
        </w:tc>
        <w:tc>
          <w:tcPr>
            <w:tcW w:w="3115" w:type="dxa"/>
            <w:tcBorders/>
            <w:vAlign w:val="center"/>
          </w:tcPr>
          <w:p>
            <w:pPr>
              <w:pStyle w:val="Normal"/>
              <w:widowControl/>
              <w:suppressAutoHyphens w:val="true"/>
              <w:spacing w:before="0" w:after="0"/>
              <w:jc w:val="center"/>
              <w:rPr>
                <w:b/>
                <w:sz w:val="22"/>
              </w:rPr>
            </w:pPr>
            <w:r>
              <w:rPr>
                <w:rFonts w:eastAsia="Calibri" w:cs=""/>
                <w:b/>
                <w:kern w:val="0"/>
                <w:sz w:val="22"/>
                <w:szCs w:val="22"/>
                <w:lang w:val="ru-RU" w:eastAsia="en-US" w:bidi="ar-SA"/>
              </w:rPr>
              <w:t>3</w:t>
            </w:r>
          </w:p>
        </w:tc>
        <w:tc>
          <w:tcPr>
            <w:tcW w:w="4113" w:type="dxa"/>
            <w:tcBorders/>
            <w:vAlign w:val="center"/>
          </w:tcPr>
          <w:p>
            <w:pPr>
              <w:pStyle w:val="Normal"/>
              <w:widowControl/>
              <w:suppressAutoHyphens w:val="true"/>
              <w:spacing w:before="0" w:after="0"/>
              <w:jc w:val="center"/>
              <w:rPr>
                <w:b/>
                <w:sz w:val="22"/>
              </w:rPr>
            </w:pPr>
            <w:r>
              <w:rPr>
                <w:rFonts w:eastAsia="Calibri" w:cs=""/>
                <w:b/>
                <w:kern w:val="0"/>
                <w:sz w:val="22"/>
                <w:szCs w:val="22"/>
                <w:lang w:val="ru-RU" w:eastAsia="en-US" w:bidi="ar-SA"/>
              </w:rPr>
              <w:t>4</w:t>
            </w:r>
          </w:p>
        </w:tc>
      </w:tr>
      <w:tr>
        <w:trPr/>
        <w:tc>
          <w:tcPr>
            <w:tcW w:w="709" w:type="dxa"/>
            <w:tcBorders/>
            <w:vAlign w:val="center"/>
          </w:tcPr>
          <w:p>
            <w:pPr>
              <w:pStyle w:val="Normal"/>
              <w:widowControl/>
              <w:suppressAutoHyphens w:val="true"/>
              <w:spacing w:before="0" w:after="0"/>
              <w:jc w:val="center"/>
              <w:rPr>
                <w:sz w:val="22"/>
              </w:rPr>
            </w:pPr>
            <w:r>
              <w:rPr>
                <w:rFonts w:eastAsia="Calibri" w:cs=""/>
                <w:kern w:val="0"/>
                <w:sz w:val="22"/>
                <w:szCs w:val="22"/>
                <w:lang w:val="ru-RU" w:eastAsia="en-US" w:bidi="ar-SA"/>
              </w:rPr>
              <w:t>1</w:t>
            </w:r>
          </w:p>
        </w:tc>
        <w:tc>
          <w:tcPr>
            <w:tcW w:w="2269" w:type="dxa"/>
            <w:tcBorders/>
            <w:vAlign w:val="center"/>
          </w:tcPr>
          <w:p>
            <w:pPr>
              <w:pStyle w:val="Normal"/>
              <w:widowControl w:val="false"/>
              <w:suppressAutoHyphens w:val="true"/>
              <w:spacing w:before="0" w:after="0"/>
              <w:jc w:val="left"/>
              <w:rPr>
                <w:sz w:val="22"/>
              </w:rPr>
            </w:pPr>
            <w:r>
              <w:rPr>
                <w:rFonts w:eastAsia="Calibri" w:cs=""/>
                <w:kern w:val="0"/>
                <w:sz w:val="22"/>
                <w:szCs w:val="22"/>
                <w:lang w:val="ru-RU" w:eastAsia="en-US" w:bidi="ar-SA"/>
              </w:rPr>
              <w:t>Услуга шефмонтажа оборудования</w:t>
            </w:r>
          </w:p>
        </w:tc>
        <w:tc>
          <w:tcPr>
            <w:tcW w:w="3115" w:type="dxa"/>
            <w:tcBorders/>
            <w:vAlign w:val="center"/>
          </w:tcPr>
          <w:p>
            <w:pPr>
              <w:pStyle w:val="Normal"/>
              <w:widowControl w:val="false"/>
              <w:suppressAutoHyphens w:val="true"/>
              <w:spacing w:before="0" w:after="0"/>
              <w:jc w:val="center"/>
              <w:rPr>
                <w:sz w:val="22"/>
              </w:rPr>
            </w:pPr>
            <w:r>
              <w:rPr>
                <w:rFonts w:eastAsia="Calibri" w:cs=""/>
                <w:kern w:val="0"/>
                <w:sz w:val="22"/>
                <w:szCs w:val="22"/>
                <w:lang w:val="ru-RU" w:eastAsia="en-US" w:bidi="ar-SA"/>
              </w:rPr>
              <w:t>Не позднее 10 календарных дней с даты направления заявки</w:t>
            </w:r>
          </w:p>
        </w:tc>
        <w:tc>
          <w:tcPr>
            <w:tcW w:w="4113" w:type="dxa"/>
            <w:tcBorders/>
            <w:vAlign w:val="center"/>
          </w:tcPr>
          <w:p>
            <w:pPr>
              <w:pStyle w:val="Normal"/>
              <w:widowControl w:val="false"/>
              <w:suppressAutoHyphens w:val="true"/>
              <w:spacing w:before="0" w:after="0"/>
              <w:jc w:val="center"/>
              <w:rPr>
                <w:sz w:val="22"/>
              </w:rPr>
            </w:pPr>
            <w:r>
              <w:rPr>
                <w:rFonts w:eastAsia="Calibri" w:cs=""/>
                <w:kern w:val="0"/>
                <w:sz w:val="22"/>
                <w:szCs w:val="22"/>
                <w:lang w:val="ru-RU" w:eastAsia="en-US" w:bidi="ar-SA"/>
              </w:rPr>
              <w:t>Не позднее 30 календарных дней с даты направления заявки, но не позднее 15.05.2027 г.</w:t>
            </w:r>
          </w:p>
        </w:tc>
      </w:tr>
      <w:tr>
        <w:trPr/>
        <w:tc>
          <w:tcPr>
            <w:tcW w:w="709" w:type="dxa"/>
            <w:tcBorders/>
            <w:vAlign w:val="center"/>
          </w:tcPr>
          <w:p>
            <w:pPr>
              <w:pStyle w:val="Normal"/>
              <w:widowControl/>
              <w:suppressAutoHyphens w:val="true"/>
              <w:spacing w:before="0" w:after="0"/>
              <w:jc w:val="center"/>
              <w:rPr>
                <w:sz w:val="22"/>
              </w:rPr>
            </w:pPr>
            <w:r>
              <w:rPr>
                <w:rFonts w:eastAsia="Calibri" w:cs=""/>
                <w:kern w:val="0"/>
                <w:sz w:val="22"/>
                <w:szCs w:val="22"/>
                <w:lang w:val="ru-RU" w:eastAsia="en-US" w:bidi="ar-SA"/>
              </w:rPr>
              <w:t>2</w:t>
            </w:r>
          </w:p>
        </w:tc>
        <w:tc>
          <w:tcPr>
            <w:tcW w:w="2269" w:type="dxa"/>
            <w:tcBorders/>
            <w:vAlign w:val="center"/>
          </w:tcPr>
          <w:p>
            <w:pPr>
              <w:pStyle w:val="Normal"/>
              <w:widowControl w:val="false"/>
              <w:suppressAutoHyphens w:val="true"/>
              <w:spacing w:before="0" w:after="0"/>
              <w:jc w:val="left"/>
              <w:rPr>
                <w:sz w:val="22"/>
              </w:rPr>
            </w:pPr>
            <w:r>
              <w:rPr>
                <w:rFonts w:eastAsia="Calibri" w:cs=""/>
                <w:kern w:val="0"/>
                <w:sz w:val="22"/>
                <w:szCs w:val="22"/>
                <w:lang w:val="ru-RU" w:eastAsia="en-US" w:bidi="ar-SA"/>
              </w:rPr>
              <w:t>Услуга шефналадки оборудования</w:t>
            </w:r>
          </w:p>
        </w:tc>
        <w:tc>
          <w:tcPr>
            <w:tcW w:w="3115" w:type="dxa"/>
            <w:tcBorders/>
            <w:vAlign w:val="center"/>
          </w:tcPr>
          <w:p>
            <w:pPr>
              <w:pStyle w:val="Normal"/>
              <w:widowControl w:val="false"/>
              <w:suppressAutoHyphens w:val="true"/>
              <w:spacing w:before="0" w:after="0"/>
              <w:jc w:val="center"/>
              <w:rPr>
                <w:sz w:val="22"/>
              </w:rPr>
            </w:pPr>
            <w:r>
              <w:rPr>
                <w:rFonts w:eastAsia="Calibri" w:cs=""/>
                <w:kern w:val="0"/>
                <w:sz w:val="22"/>
                <w:szCs w:val="22"/>
                <w:lang w:val="ru-RU" w:eastAsia="en-US" w:bidi="ar-SA"/>
              </w:rPr>
              <w:t>Не позднее 10 календарных дней с даты направления заявки</w:t>
            </w:r>
          </w:p>
        </w:tc>
        <w:tc>
          <w:tcPr>
            <w:tcW w:w="4113" w:type="dxa"/>
            <w:tcBorders/>
            <w:vAlign w:val="center"/>
          </w:tcPr>
          <w:p>
            <w:pPr>
              <w:pStyle w:val="Normal"/>
              <w:widowControl w:val="false"/>
              <w:suppressAutoHyphens w:val="true"/>
              <w:spacing w:before="0" w:after="0"/>
              <w:jc w:val="center"/>
              <w:rPr>
                <w:sz w:val="22"/>
              </w:rPr>
            </w:pPr>
            <w:r>
              <w:rPr>
                <w:rFonts w:eastAsia="Calibri" w:cs=""/>
                <w:kern w:val="0"/>
                <w:sz w:val="22"/>
                <w:szCs w:val="22"/>
                <w:lang w:val="ru-RU" w:eastAsia="en-US" w:bidi="ar-SA"/>
              </w:rPr>
              <w:t>Не позднее 30 календарных дней с даты направления заявки, но не позднее 30.05.2027 г</w:t>
            </w:r>
          </w:p>
        </w:tc>
      </w:tr>
    </w:tbl>
    <w:p>
      <w:pPr>
        <w:sectPr>
          <w:footerReference w:type="default" r:id="rId2"/>
          <w:type w:val="nextPage"/>
          <w:pgSz w:w="11906" w:h="16838"/>
          <w:pgMar w:left="1418" w:right="1134" w:gutter="0" w:header="0" w:top="1134" w:footer="788" w:bottom="851"/>
          <w:pgNumType w:fmt="decimal"/>
          <w:formProt w:val="false"/>
          <w:textDirection w:val="lrTb"/>
          <w:docGrid w:type="default" w:linePitch="360" w:charSpace="0"/>
        </w:sectPr>
      </w:pPr>
    </w:p>
    <w:p>
      <w:pPr>
        <w:pStyle w:val="ListParagraph"/>
        <w:keepNext w:val="true"/>
        <w:numPr>
          <w:ilvl w:val="1"/>
          <w:numId w:val="1"/>
        </w:numPr>
        <w:tabs>
          <w:tab w:val="clear" w:pos="708"/>
          <w:tab w:val="left" w:pos="2552" w:leader="none"/>
          <w:tab w:val="left" w:pos="3261" w:leader="none"/>
        </w:tabs>
        <w:suppressAutoHyphens w:val="false"/>
        <w:spacing w:before="120" w:after="60"/>
        <w:contextualSpacing/>
        <w:outlineLvl w:val="3"/>
        <w:rPr>
          <w:b/>
          <w:bCs/>
          <w:lang w:val="x-none" w:eastAsia="x-none"/>
        </w:rPr>
      </w:pPr>
      <w:bookmarkStart w:id="18" w:name="_Toc141728503"/>
      <w:bookmarkStart w:id="19" w:name="_Toc46743511"/>
      <w:r>
        <w:rPr>
          <w:b/>
          <w:bCs/>
          <w:lang w:val="x-none" w:eastAsia="x-none"/>
        </w:rPr>
        <w:t xml:space="preserve">Требования к </w:t>
      </w:r>
      <w:bookmarkEnd w:id="19"/>
      <w:r>
        <w:rPr>
          <w:b/>
          <w:bCs/>
          <w:lang w:val="x-none" w:eastAsia="x-none"/>
        </w:rPr>
        <w:t>качеству продукции</w:t>
      </w:r>
      <w:bookmarkEnd w:id="18"/>
    </w:p>
    <w:p>
      <w:pPr>
        <w:pStyle w:val="Normal"/>
        <w:rPr>
          <w:rFonts w:eastAsia="Calibri"/>
          <w:szCs w:val="24"/>
          <w:lang w:eastAsia="x-none"/>
        </w:rPr>
      </w:pPr>
      <w:r>
        <w:rPr>
          <w:rFonts w:eastAsia="Calibri"/>
          <w:szCs w:val="24"/>
          <w:lang w:eastAsia="x-none"/>
        </w:rPr>
      </w:r>
    </w:p>
    <w:p>
      <w:pPr>
        <w:pStyle w:val="Normal"/>
        <w:rPr>
          <w:rFonts w:eastAsia="Calibri"/>
          <w:szCs w:val="24"/>
          <w:lang w:eastAsia="x-none"/>
        </w:rPr>
      </w:pPr>
      <w:r>
        <w:rPr>
          <w:rFonts w:eastAsia="Calibri"/>
          <w:szCs w:val="24"/>
          <w:lang w:eastAsia="x-none"/>
        </w:rPr>
        <w:t>Таблица 2.2. Требования к качеству продукции</w:t>
      </w:r>
    </w:p>
    <w:p>
      <w:pPr>
        <w:pStyle w:val="Normal"/>
        <w:jc w:val="both"/>
        <w:rPr>
          <w:rFonts w:eastAsia="Times New Roman" w:cs="Times New Roman"/>
          <w:bCs/>
          <w:spacing w:val="-6"/>
          <w:szCs w:val="24"/>
        </w:rPr>
      </w:pPr>
      <w:r>
        <w:rPr>
          <w:rFonts w:eastAsia="Times New Roman" w:cs="Times New Roman"/>
          <w:bCs/>
          <w:color w:val="000000"/>
          <w:spacing w:val="-6"/>
        </w:rPr>
        <w:t xml:space="preserve">Наименование продукции (позиции № 1-30 Таблицы 1.1): </w:t>
      </w:r>
      <w:r>
        <w:rPr>
          <w:rFonts w:eastAsia="Times New Roman" w:cs="Times New Roman"/>
          <w:bCs/>
          <w:spacing w:val="-6"/>
          <w:szCs w:val="24"/>
        </w:rPr>
        <w:t>ОКПД2</w:t>
      </w:r>
      <w:r>
        <w:rPr>
          <w:rFonts w:eastAsia="Times New Roman" w:cs="Times New Roman"/>
          <w:bCs/>
          <w:spacing w:val="-6"/>
          <w:szCs w:val="24"/>
          <w:highlight w:val="yellow"/>
        </w:rPr>
        <w:t>…</w:t>
      </w:r>
      <w:r>
        <w:rPr>
          <w:rFonts w:eastAsia="Times New Roman" w:cs="Times New Roman"/>
          <w:bCs/>
          <w:spacing w:val="-6"/>
          <w:szCs w:val="24"/>
        </w:rPr>
        <w:t xml:space="preserve"> </w:t>
      </w:r>
      <w:r>
        <w:rPr>
          <w:rFonts w:eastAsia="Times New Roman" w:cs="Times New Roman"/>
          <w:spacing w:val="-6"/>
          <w:szCs w:val="24"/>
        </w:rPr>
        <w:t xml:space="preserve">Поставка </w:t>
      </w:r>
      <w:r>
        <w:rPr>
          <w:rFonts w:eastAsia="Times New Roman"/>
          <w:spacing w:val="-6"/>
        </w:rPr>
        <w:t>комплекса охранного радиолокационного тепловизионного</w:t>
      </w:r>
      <w:r>
        <w:rPr>
          <w:rFonts w:eastAsia="Calibri"/>
          <w:lang w:eastAsia="x-none"/>
        </w:rPr>
        <w:t xml:space="preserve"> </w:t>
      </w:r>
      <w:r>
        <w:rPr>
          <w:rFonts w:eastAsia="Times New Roman" w:cs="Times New Roman"/>
          <w:bCs/>
          <w:spacing w:val="-6"/>
          <w:szCs w:val="24"/>
        </w:rPr>
        <w:t>для Рыбинской и Угличской ГЭС Каскада Верхневолжских ГЭС</w:t>
      </w:r>
    </w:p>
    <w:tbl>
      <w:tblPr>
        <w:tblpPr w:vertAnchor="text" w:horzAnchor="text" w:leftFromText="180" w:rightFromText="180" w:tblpX="0" w:tblpY="1"/>
        <w:tblW w:w="14454"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845"/>
        <w:gridCol w:w="2836"/>
        <w:gridCol w:w="35"/>
        <w:gridCol w:w="4359"/>
        <w:gridCol w:w="6379"/>
      </w:tblGrid>
      <w:tr>
        <w:trPr>
          <w:trHeight w:val="280" w:hRule="atLeast"/>
        </w:trPr>
        <w:tc>
          <w:tcPr>
            <w:tcW w:w="845" w:type="dxa"/>
            <w:tcBorders>
              <w:top w:val="single" w:sz="4"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pPr>
            <w:r>
              <w:rPr>
                <w:b/>
                <w:bCs/>
                <w:color w:val="000000"/>
                <w:sz w:val="22"/>
              </w:rPr>
              <w:t xml:space="preserve">№ </w:t>
            </w:r>
            <w:r>
              <w:rPr>
                <w:b/>
                <w:bCs/>
                <w:color w:val="000000"/>
                <w:sz w:val="22"/>
              </w:rPr>
              <w:t>п/п</w:t>
            </w:r>
          </w:p>
        </w:tc>
        <w:tc>
          <w:tcPr>
            <w:tcW w:w="7230" w:type="dxa"/>
            <w:gridSpan w:val="3"/>
            <w:tcBorders>
              <w:top w:val="single" w:sz="4" w:space="0" w:color="000000"/>
              <w:left w:val="single" w:sz="6" w:space="0" w:color="000000"/>
              <w:bottom w:val="single" w:sz="6" w:space="0" w:color="000000"/>
              <w:right w:val="single" w:sz="6" w:space="0" w:color="000000"/>
            </w:tcBorders>
            <w:shd w:color="auto" w:fill="auto" w:val="clear"/>
            <w:vAlign w:val="center"/>
          </w:tcPr>
          <w:p>
            <w:pPr>
              <w:pStyle w:val="Normal"/>
              <w:widowControl w:val="false"/>
              <w:jc w:val="center"/>
              <w:rPr/>
            </w:pPr>
            <w:r>
              <w:rPr>
                <w:b/>
                <w:bCs/>
                <w:color w:val="000000"/>
                <w:sz w:val="22"/>
              </w:rPr>
              <w:t>Наименование параметра</w:t>
            </w:r>
          </w:p>
        </w:tc>
        <w:tc>
          <w:tcPr>
            <w:tcW w:w="6379" w:type="dxa"/>
            <w:tcBorders>
              <w:top w:val="single" w:sz="4"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center"/>
              <w:rPr>
                <w:b/>
                <w:sz w:val="22"/>
              </w:rPr>
            </w:pPr>
            <w:r>
              <w:rPr>
                <w:b/>
                <w:sz w:val="22"/>
              </w:rPr>
              <w:t>Требование заказчика</w:t>
            </w:r>
          </w:p>
        </w:tc>
      </w:tr>
      <w:tr>
        <w:trPr>
          <w:trHeight w:val="298"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b/>
                <w:bCs/>
                <w:color w:val="000000"/>
                <w:sz w:val="22"/>
              </w:rPr>
            </w:pPr>
            <w:r>
              <w:rPr>
                <w:b/>
                <w:bCs/>
                <w:color w:val="000000"/>
                <w:sz w:val="22"/>
              </w:rPr>
              <w:t>1</w:t>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jc w:val="center"/>
              <w:rPr>
                <w:b/>
                <w:bCs/>
                <w:color w:val="000000"/>
                <w:sz w:val="22"/>
              </w:rPr>
            </w:pPr>
            <w:r>
              <w:rPr>
                <w:b/>
                <w:bCs/>
                <w:color w:val="000000"/>
                <w:sz w:val="22"/>
              </w:rPr>
              <w:t>2</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center"/>
              <w:rPr>
                <w:b/>
                <w:sz w:val="22"/>
              </w:rPr>
            </w:pPr>
            <w:r>
              <w:rPr>
                <w:b/>
                <w:sz w:val="22"/>
              </w:rPr>
              <w:t>3</w:t>
            </w:r>
          </w:p>
        </w:tc>
      </w:tr>
      <w:tr>
        <w:trPr>
          <w:trHeight w:val="252"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b/>
                <w:sz w:val="22"/>
              </w:rPr>
            </w:pPr>
            <w:r>
              <w:rPr>
                <w:b/>
                <w:sz w:val="22"/>
              </w:rPr>
              <w:t>Требования к техническим и функциональным характеристикам (включая гарантируемые показатели)</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b/>
                <w:sz w:val="22"/>
                <w:lang w:val="en-US"/>
              </w:rPr>
            </w:pPr>
            <w:r>
              <w:rPr>
                <w:b/>
                <w:sz w:val="22"/>
              </w:rPr>
              <w:t>1.1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b/>
                <w:sz w:val="22"/>
              </w:rPr>
            </w:pPr>
            <w:r>
              <w:rPr>
                <w:b/>
                <w:sz w:val="22"/>
              </w:rPr>
              <w:t>Комплекс охранный радиолокационный тепловизионный (90°), КОРТ «Х-500-90-ВТ3» ЮСДП.425918.020-69</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b/>
                <w:sz w:val="22"/>
              </w:rPr>
            </w:pPr>
            <w:r>
              <w:rPr>
                <w:b/>
                <w:sz w:val="22"/>
              </w:rPr>
              <w:t>1.1.1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rFonts w:eastAsia="Calibri"/>
                <w:b/>
                <w:sz w:val="22"/>
                <w:lang w:eastAsia="x-none"/>
              </w:rPr>
              <w:t>Тепловизионный комплекс в составе:</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b/>
                <w:sz w:val="22"/>
              </w:rPr>
            </w:pPr>
            <w:r>
              <w:rPr>
                <w:b/>
                <w:sz w:val="22"/>
              </w:rPr>
              <w:t>1.1.1.1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rFonts w:eastAsia="Calibri"/>
                <w:b/>
                <w:sz w:val="22"/>
                <w:lang w:eastAsia="x-none"/>
              </w:rPr>
              <w:t>Тепловизионная камера</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Тип детектора</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Неохлаждаемый микроболометр</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val="en-US" w:eastAsia="ru-RU"/>
              </w:rPr>
            </w:pPr>
            <w:r>
              <w:rPr>
                <w:rFonts w:eastAsia="" w:eastAsiaTheme="minorEastAsia"/>
                <w:color w:val="000000"/>
                <w:sz w:val="22"/>
                <w:lang w:eastAsia="ru-RU"/>
              </w:rPr>
              <w:t>Разрешение</w:t>
            </w:r>
            <w:r>
              <w:rPr>
                <w:rFonts w:eastAsia="" w:eastAsiaTheme="minorEastAsia"/>
                <w:color w:val="000000"/>
                <w:sz w:val="22"/>
                <w:lang w:val="en-US" w:eastAsia="ru-RU"/>
              </w:rPr>
              <w:t>,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640х512</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Размер чувствительного элемента, мкм, не хуже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17</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Спектральный диапазон, мкм,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8-14</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Температурная чувствительность, мК, не более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40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Фокусное расстояние объектива, мм,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60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Формат сжатия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H.264; H.265; MJPEG</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Частота обновления кадров, кадров/с,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25</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b/>
                <w:sz w:val="22"/>
              </w:rPr>
            </w:pPr>
            <w:r>
              <w:rPr>
                <w:b/>
                <w:sz w:val="22"/>
              </w:rPr>
              <w:t>1.1.1.2</w:t>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sz w:val="22"/>
              </w:rPr>
            </w:pPr>
            <w:r>
              <w:rPr>
                <w:rFonts w:eastAsia="" w:eastAsiaTheme="minorEastAsia"/>
                <w:b/>
                <w:color w:val="000000"/>
                <w:sz w:val="22"/>
                <w:lang w:eastAsia="ru-RU"/>
              </w:rPr>
              <w:t>Видеокамера</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sz w:val="22"/>
              </w:rPr>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Разрешение матрицы,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1/2,8" Exmor CMOS</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Разрешение изображения,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1920х1080 Full HD</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sz w:val="22"/>
              </w:rPr>
            </w:pPr>
            <w:r>
              <w:rPr>
                <w:sz w:val="22"/>
              </w:rPr>
              <w:t>Оптический зум,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40x</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sz w:val="22"/>
              </w:rPr>
            </w:pPr>
            <w:r>
              <w:rPr>
                <w:sz w:val="22"/>
              </w:rPr>
              <w:t>Фокусное расстояние объектива, мм,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6,8-272</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sz w:val="22"/>
              </w:rPr>
            </w:pPr>
            <w:r>
              <w:rPr>
                <w:sz w:val="22"/>
              </w:rPr>
              <w:t>Автофокус</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Да, следящий</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1.1.1.3</w:t>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sz w:val="22"/>
              </w:rPr>
            </w:pPr>
            <w:r>
              <w:rPr>
                <w:rFonts w:eastAsia="" w:eastAsiaTheme="minorEastAsia"/>
                <w:b/>
                <w:color w:val="000000"/>
                <w:sz w:val="22"/>
                <w:lang w:eastAsia="ru-RU"/>
              </w:rPr>
              <w:t>Поворотная платформа</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sz w:val="22"/>
              </w:rPr>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Угол поворота по горизонтали, град</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непрерывное 360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Угол по вертикали, град,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±90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Скорость вращения по горизонтали, град/сек,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до 80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Скорость вращения по вертикали, град/сек,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до 60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Количество предустановок</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128 и более</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b/>
                <w:sz w:val="22"/>
                <w:lang w:eastAsia="x-none"/>
              </w:rPr>
              <w:t>1.1.1.4</w:t>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sz w:val="22"/>
              </w:rPr>
            </w:pPr>
            <w:r>
              <w:rPr>
                <w:rFonts w:eastAsia="" w:eastAsiaTheme="minorEastAsia"/>
                <w:b/>
                <w:color w:val="000000"/>
                <w:sz w:val="22"/>
                <w:lang w:eastAsia="ru-RU"/>
              </w:rPr>
              <w:t>Системные характеристики:</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sz w:val="22"/>
              </w:rPr>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Интерфейс управления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Ethernet</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sz w:val="22"/>
              </w:rPr>
            </w:pPr>
            <w:r>
              <w:rPr>
                <w:sz w:val="22"/>
              </w:rPr>
              <w:t>Сетевые протоколы</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TCP/IP; UDP; HTTP; FTP; DDNS; DHCP; PPPoE; UPnP; RTSP; NTP; ONVIF; Pelco-DE</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1.1.2</w:t>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sz w:val="22"/>
              </w:rPr>
            </w:pPr>
            <w:r>
              <w:rPr>
                <w:b/>
                <w:sz w:val="22"/>
              </w:rPr>
              <w:t>Радиолокационная станция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sz w:val="22"/>
              </w:rPr>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lang w:eastAsia="x-none"/>
              </w:rPr>
            </w:pPr>
            <w:r>
              <w:rPr>
                <w:rFonts w:eastAsia="Calibri"/>
                <w:b/>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b/>
                <w:sz w:val="22"/>
              </w:rPr>
            </w:pPr>
            <w:r>
              <w:rPr>
                <w:sz w:val="22"/>
              </w:rPr>
              <w:t>Импульсная мощность излучения, Вт, не более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0,006</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Максимальная инструментальная дальность, не менее,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500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Минимальная инструментальная дальность, не более,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16</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Ширина рабочего сектора по азимуту, не менее, град</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90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Ширина рабочего сектора по углу места, не менее, град</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15</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Максимальная дальность обнаружения человека (ЭПР не менее 0,5 м2), не менее,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500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Максимальная дальность обнаружения автомобиля (ЭПР не менее 3 м2), не менее,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500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lang w:eastAsia="x-none"/>
              </w:rPr>
            </w:pPr>
            <w:r>
              <w:rPr>
                <w:rFonts w:eastAsia="Calibri"/>
                <w:b/>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Разрешение по дальности, не более,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9</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lang w:eastAsia="x-none"/>
              </w:rPr>
            </w:pPr>
            <w:r>
              <w:rPr>
                <w:rFonts w:eastAsia="Calibri"/>
                <w:b/>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Инструментальный диапазон радиальных скоростей обнаруживаемых объектов, не хуже, км/ч</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от 0,5 до 120</w:t>
            </w:r>
          </w:p>
        </w:tc>
      </w:tr>
      <w:tr>
        <w:trPr>
          <w:trHeight w:val="389"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Точность определения дальности объекта, не хуже,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1,5</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Точность определения азимута объекта, не хуже, град</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w:t>
            </w:r>
          </w:p>
        </w:tc>
      </w:tr>
      <w:tr>
        <w:trPr>
          <w:trHeight w:val="261"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Максимальное количество одновременно вычисляемых траекторий,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256</w:t>
            </w:r>
          </w:p>
        </w:tc>
      </w:tr>
      <w:tr>
        <w:trPr>
          <w:trHeight w:val="261"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Частота обновления выходной (траекторной) информации, не менее, Гц</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3</w:t>
            </w:r>
          </w:p>
        </w:tc>
      </w:tr>
      <w:tr>
        <w:trPr>
          <w:trHeight w:val="261"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Время обнаружения траектории объекта, не более, с</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3</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Внешние интерфейсы</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Ethernet</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Степень защиты оболочки (IP), не ниже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54</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Степень механической прочности (IK), не ниже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7</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lang w:eastAsia="x-none"/>
              </w:rPr>
            </w:pPr>
            <w:r>
              <w:rPr>
                <w:rFonts w:eastAsia="Calibri"/>
                <w:b/>
                <w:lang w:eastAsia="x-none"/>
              </w:rPr>
              <w:t>1.2</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b/>
                <w:sz w:val="22"/>
                <w:lang w:eastAsia="x-none"/>
              </w:rPr>
            </w:pPr>
            <w:r>
              <w:rPr>
                <w:rFonts w:eastAsia="Calibri"/>
                <w:b/>
                <w:sz w:val="22"/>
                <w:lang w:eastAsia="x-none"/>
              </w:rPr>
              <w:t>Комплекс охранный радиолокационный тепловизионный (180°), КОРТ «Х-500-180/2-ВТ3» ЮСДП.425918.020-114</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b/>
                <w:sz w:val="22"/>
              </w:rPr>
            </w:pPr>
            <w:r>
              <w:rPr>
                <w:b/>
                <w:sz w:val="22"/>
              </w:rPr>
              <w:t>1.2.1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rFonts w:eastAsia="Calibri"/>
                <w:b/>
                <w:sz w:val="22"/>
                <w:lang w:eastAsia="x-none"/>
              </w:rPr>
              <w:t>Тепловизионный комплекс в составе:</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b/>
                <w:sz w:val="22"/>
              </w:rPr>
            </w:pPr>
            <w:r>
              <w:rPr>
                <w:b/>
                <w:sz w:val="22"/>
              </w:rPr>
              <w:t>1.2.1.1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rFonts w:eastAsia="Calibri"/>
                <w:b/>
                <w:sz w:val="22"/>
                <w:lang w:eastAsia="x-none"/>
              </w:rPr>
              <w:t>Тепловизионная камера</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Тип детектора</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Неохлаждаемый микроболометр</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Разрешение,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640х512</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Размер чувствительного элемента, мкм, не хуже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17</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Спектральный диапазон, мкм,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8-14</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Температурная чувствительность, мК, не более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40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Фокусное расстояние объектива, мм,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60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Формат сжатия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H.264; H.265; MJPEG</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Частота обновления кадров, кадров/с,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25</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b/>
                <w:sz w:val="22"/>
              </w:rPr>
            </w:pPr>
            <w:r>
              <w:rPr>
                <w:b/>
                <w:sz w:val="22"/>
              </w:rPr>
              <w:t>1.2.1.2</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rFonts w:eastAsia="" w:eastAsiaTheme="minorEastAsia"/>
                <w:b/>
                <w:color w:val="000000"/>
                <w:sz w:val="22"/>
                <w:lang w:eastAsia="ru-RU"/>
              </w:rPr>
              <w:t>Видеокамера</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Разрешение матрицы,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1/2,8" Exmor CMOS</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Разрешение изображения,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1920х1080 Full HD</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sz w:val="22"/>
              </w:rPr>
            </w:pPr>
            <w:r>
              <w:rPr>
                <w:sz w:val="22"/>
              </w:rPr>
              <w:t>Оптический зум,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40x</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sz w:val="22"/>
              </w:rPr>
            </w:pPr>
            <w:r>
              <w:rPr>
                <w:sz w:val="22"/>
              </w:rPr>
              <w:t>Фокусное расстояние объектива, мм,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6,8-272</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sz w:val="22"/>
              </w:rPr>
            </w:pPr>
            <w:r>
              <w:rPr>
                <w:sz w:val="22"/>
              </w:rPr>
              <w:t>Автофокус</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Да, следящий</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1.2.1.3</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rFonts w:eastAsia="" w:eastAsiaTheme="minorEastAsia"/>
                <w:b/>
                <w:color w:val="000000"/>
                <w:sz w:val="22"/>
                <w:lang w:eastAsia="ru-RU"/>
              </w:rPr>
              <w:t>Поворотная платформа</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Угол поворота по горизонтали, град,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непрерывное 360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Угол по вертикали, град,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±90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Скорость вращения по горизонтали, град/сек,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до 80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Скорость вращения по вертикали, град/сек,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до 60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Количество предустановок</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128 и более</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b/>
                <w:sz w:val="22"/>
                <w:lang w:eastAsia="x-none"/>
              </w:rPr>
              <w:t>1.2.1.4</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rFonts w:eastAsia="" w:eastAsiaTheme="minorEastAsia"/>
                <w:b/>
                <w:color w:val="000000"/>
                <w:sz w:val="22"/>
                <w:lang w:eastAsia="ru-RU"/>
              </w:rPr>
              <w:t>Системные характеристики:</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sz w:val="22"/>
              </w:rPr>
              <w:t>Интерфейс управления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sz w:val="22"/>
              </w:rPr>
              <w:t>Ethernet</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lang w:eastAsia="x-none"/>
              </w:rPr>
            </w:pPr>
            <w:r>
              <w:rPr>
                <w:rFonts w:eastAsia="Calibri"/>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sz w:val="22"/>
              </w:rPr>
            </w:pPr>
            <w:r>
              <w:rPr>
                <w:sz w:val="22"/>
              </w:rPr>
              <w:t>Сетевые протоколы</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sz w:val="22"/>
              </w:rPr>
            </w:pPr>
            <w:r>
              <w:rPr>
                <w:sz w:val="22"/>
              </w:rPr>
              <w:t>TCP/IP; UDP; HTTP; FTP; DDNS; DHCP; PPPoE; UPnP; RTSP; NTP; ONVIF; Pelco-DE</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1.2.2</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sz w:val="22"/>
              </w:rPr>
            </w:pPr>
            <w:r>
              <w:rPr>
                <w:b/>
                <w:sz w:val="22"/>
              </w:rPr>
              <w:t>Радиолокационная станция</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b/>
                <w:sz w:val="22"/>
              </w:rPr>
            </w:pPr>
            <w:r>
              <w:rPr>
                <w:sz w:val="22"/>
              </w:rPr>
              <w:t>Импульсная мощность излучения, Вт, не более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2</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Максимальная инструментальная дальность, не менее,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500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Минимальная инструментальная дальность, не более,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20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Ширина рабочего сектора по азимуту, не менее, град</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180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Ширина рабочего сектора по углу места, не менее, град</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Максимальная дальность обнаружения человека (ЭПР не менее 0,5 м2), не менее,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500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Максимальная дальность обнаружения автомобиля (ЭПР не менее 3 м2), не менее,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500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Разрешение по дальности, не более,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9</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Инструментальный диапазон радиальных скоростей обнаруживаемых объектов, не хуже, км/ч</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от 0,5 до 120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Точность определения дальности объекта, не хуже,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1,5</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Точность определения азимута объекта, не хуже, град</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1</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Максимальное количество одновременно вычисляемых траекторий,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256</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Частота обновления выходной (траекторной) информации, не менее, Гц</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3</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Время обнаружения траектории объекта, не более, с</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3</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Внешние интерфейсы</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Ethernet</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Степень защиты оболочки (IP), не ниже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tcPr>
          <w:p>
            <w:pPr>
              <w:pStyle w:val="Style42"/>
              <w:jc w:val="center"/>
              <w:rPr>
                <w:rFonts w:eastAsia="" w:eastAsiaTheme="minorEastAsia"/>
                <w:color w:val="000000"/>
                <w:sz w:val="22"/>
                <w:lang w:eastAsia="ru-RU"/>
              </w:rPr>
            </w:pPr>
            <w:r>
              <w:rPr>
                <w:rFonts w:eastAsia="" w:eastAsiaTheme="minorEastAsia"/>
                <w:color w:val="000000"/>
                <w:sz w:val="22"/>
                <w:lang w:eastAsia="ru-RU"/>
              </w:rPr>
              <w:t>54</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Style42"/>
              <w:rPr>
                <w:rFonts w:eastAsia="" w:eastAsiaTheme="minorEastAsia"/>
                <w:color w:val="000000"/>
                <w:sz w:val="22"/>
                <w:lang w:eastAsia="ru-RU"/>
              </w:rPr>
            </w:pPr>
            <w:r>
              <w:rPr>
                <w:rFonts w:eastAsia="" w:eastAsiaTheme="minorEastAsia"/>
                <w:color w:val="000000"/>
                <w:sz w:val="22"/>
                <w:lang w:eastAsia="ru-RU"/>
              </w:rPr>
              <w:t>Степень механической прочности (IK), не ниже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7</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1.3</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b/>
                <w:sz w:val="22"/>
              </w:rPr>
            </w:pPr>
            <w:r>
              <w:rPr>
                <w:b/>
                <w:sz w:val="22"/>
              </w:rPr>
              <w:t>Комплект мониторинга «Земля» стационарный ЮСДП.425681.001 в составе:</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1.3.1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b/>
                <w:sz w:val="22"/>
              </w:rPr>
            </w:pPr>
            <w:r>
              <w:rPr>
                <w:b/>
                <w:sz w:val="22"/>
              </w:rPr>
              <w:t>Сервер с установленным пакетом ПО</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Исполнение корпуса:</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19"</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Блок питания, Вт,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sz w:val="22"/>
                <w:lang w:eastAsia="ru-RU"/>
              </w:rPr>
              <w:t>650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Корпусный вентилятор,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sz w:val="22"/>
                <w:lang w:eastAsia="ru-RU"/>
              </w:rPr>
              <w:t>80 мм, 2шт</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CPU (сервер), не хуже: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sz w:val="22"/>
                <w:lang w:eastAsia="ru-RU"/>
              </w:rPr>
              <w:t>Intel® Core i7-14700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sz w:val="22"/>
              </w:rPr>
              <w:t>Кол-во ядер/потоков,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20/28</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sz w:val="22"/>
              </w:rPr>
              <w:t>Базовая частота процессора, ГГц,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5,4</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sz w:val="22"/>
              </w:rPr>
              <w:t>ОЗУ, не менее: </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val="en-US" w:eastAsia="ru-RU"/>
              </w:rPr>
            </w:pPr>
            <w:r>
              <w:rPr>
                <w:rFonts w:eastAsia="" w:eastAsiaTheme="minorEastAsia"/>
                <w:sz w:val="22"/>
                <w:lang w:val="en-US" w:eastAsia="ru-RU"/>
              </w:rPr>
              <w:t>RAM DIMM DDR5 16GB 4800MHz</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sz w:val="22"/>
              </w:rPr>
              <w:t>Жесткий диск, не хуже: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sz w:val="22"/>
                <w:lang w:eastAsia="ru-RU"/>
              </w:rPr>
              <w:t>SSD 256 GB 2.5" SATA RU</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sz w:val="22"/>
              </w:rPr>
              <w:t xml:space="preserve">Материнская плата, не хуже: </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sz w:val="22"/>
                <w:lang w:eastAsia="ru-RU"/>
              </w:rPr>
              <w:t xml:space="preserve">с поддержкой </w:t>
            </w:r>
            <w:r>
              <w:rPr>
                <w:rFonts w:eastAsia="" w:eastAsiaTheme="minorEastAsia"/>
                <w:color w:val="000000"/>
                <w:sz w:val="22"/>
                <w:lang w:eastAsia="ru-RU"/>
              </w:rPr>
              <w:t>RAID 0,1,5,10, разъемы 2 x HDMI, 1 x DP, 1xVGA</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sz w:val="22"/>
              </w:rPr>
              <w:t>Видеокарта,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sz w:val="22"/>
                <w:lang w:val="en-US" w:eastAsia="ru-RU"/>
              </w:rPr>
            </w:pPr>
            <w:r>
              <w:rPr>
                <w:rFonts w:eastAsia="" w:eastAsiaTheme="minorEastAsia"/>
                <w:sz w:val="22"/>
                <w:lang w:val="en-US" w:eastAsia="ru-RU"/>
              </w:rPr>
              <w:t>GPU</w:t>
            </w:r>
            <w:r>
              <w:rPr>
                <w:rFonts w:eastAsia="" w:eastAsiaTheme="minorEastAsia"/>
                <w:color w:val="000000"/>
                <w:sz w:val="22"/>
                <w:lang w:val="en-US" w:eastAsia="ru-RU"/>
              </w:rPr>
              <w:t> NVIDIA RTX A1000 8GB</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sz w:val="22"/>
              </w:rPr>
              <w:t>Сетевой адаптер:</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sz w:val="22"/>
                <w:lang w:eastAsia="ru-RU"/>
              </w:rPr>
            </w:pPr>
            <w:r>
              <w:rPr>
                <w:rFonts w:eastAsia="" w:eastAsiaTheme="minorEastAsia"/>
                <w:sz w:val="22"/>
                <w:lang w:eastAsia="ru-RU"/>
              </w:rPr>
              <w:t>1 x RJ45 2.5 G</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sz w:val="22"/>
              </w:rPr>
              <w:t>Клавиатура USB, мышь USB</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в комплекте</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Операционная система:</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val="en-US" w:eastAsia="ru-RU"/>
              </w:rPr>
            </w:pPr>
            <w:r>
              <w:rPr>
                <w:rFonts w:eastAsia="" w:eastAsiaTheme="minorEastAsia"/>
                <w:color w:val="000000"/>
                <w:sz w:val="22"/>
                <w:lang w:val="en-US" w:eastAsia="ru-RU"/>
              </w:rPr>
              <w:t>Astra Linux Special Edition 1.7 (</w:t>
            </w:r>
            <w:r>
              <w:rPr>
                <w:rFonts w:eastAsia="" w:eastAsiaTheme="minorEastAsia"/>
                <w:color w:val="000000"/>
                <w:sz w:val="22"/>
                <w:lang w:eastAsia="ru-RU"/>
              </w:rPr>
              <w:t>Воронеж</w:t>
            </w:r>
            <w:r>
              <w:rPr>
                <w:rFonts w:eastAsia="" w:eastAsiaTheme="minorEastAsia"/>
                <w:color w:val="000000"/>
                <w:sz w:val="22"/>
                <w:lang w:val="en-US" w:eastAsia="ru-RU"/>
              </w:rPr>
              <w:t>)</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Наличие в Реестре российской промышленной продукции (Постановление Правительства Российской Федерации от 23.12.2024 N 1875)</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да</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1.3.2</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rFonts w:eastAsia="Calibri"/>
                <w:b/>
                <w:sz w:val="22"/>
                <w:lang w:eastAsia="x-none"/>
              </w:rPr>
              <w:t xml:space="preserve">Монитор </w:t>
            </w:r>
            <w:r>
              <w:rPr>
                <w:b/>
                <w:sz w:val="22"/>
              </w:rPr>
              <w:t>27"(с наличием встроенных колонок)</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rPr>
              <w:t>Диагональ экрана (дюйм),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27"</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lang w:val="en-US"/>
              </w:rPr>
              <w:t>Разрешение</w:t>
            </w:r>
            <w:r>
              <w:rPr>
                <w:sz w:val="22"/>
              </w:rPr>
              <w:t>, не менее</w:t>
            </w:r>
            <w:r>
              <w:rPr>
                <w:sz w:val="22"/>
                <w:lang w:val="en-US"/>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2560x1440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lang w:val="en-US"/>
              </w:rPr>
              <w:t>Тип подсветки матрицы: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LСD</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lang w:val="en-US"/>
              </w:rPr>
              <w:t>Технология изготовления матрицы: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IPS</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lang w:val="en-US"/>
              </w:rPr>
              <w:t>Соотношение сторон:</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16:9</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rPr>
              <w:t>Яркость, кд/м2,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250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lang w:val="en-US"/>
              </w:rPr>
              <w:t>Контрастность</w:t>
            </w:r>
            <w:r>
              <w:rPr>
                <w:sz w:val="22"/>
              </w:rPr>
              <w:t>, не менее</w:t>
            </w:r>
            <w:r>
              <w:rPr>
                <w:sz w:val="22"/>
                <w:lang w:val="en-US"/>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1000:1</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rPr>
              <w:t>Мах количество цветов, млн.,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16,7</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rPr>
              <w:t>Время отклика пикселей, мс., не более: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5</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rPr>
              <w:t>Мах частота обновления экрана, Гц,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75</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tcPr>
          <w:p>
            <w:pPr>
              <w:pStyle w:val="41"/>
              <w:widowControl w:val="false"/>
              <w:rPr>
                <w:sz w:val="22"/>
              </w:rPr>
            </w:pPr>
            <w:r>
              <w:rPr>
                <w:sz w:val="22"/>
                <w:lang w:val="en-US"/>
              </w:rPr>
              <w:t>Видеоразъемы: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HDMI, DisplayPort, VGA</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Наличие в Реестре российской промышленной продукции (Постановление Правительства Российской Федерации от 23.12.2024 N 1875)</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eastAsia="ru-RU"/>
              </w:rPr>
              <w:t>да</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1.3.3</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b/>
                <w:sz w:val="22"/>
              </w:rPr>
              <w:t>Клавиатура проводная USB</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Интерфейс подключения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val="en-US" w:eastAsia="ru-RU"/>
              </w:rPr>
              <w:t>USB</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1.3.4</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b/>
                <w:sz w:val="22"/>
              </w:rPr>
              <w:t>Мышь проводная USB</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Интерфейс подключения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Style42"/>
              <w:jc w:val="center"/>
              <w:rPr>
                <w:rFonts w:eastAsia="" w:eastAsiaTheme="minorEastAsia"/>
                <w:color w:val="000000"/>
                <w:sz w:val="22"/>
                <w:lang w:eastAsia="ru-RU"/>
              </w:rPr>
            </w:pPr>
            <w:r>
              <w:rPr>
                <w:rFonts w:eastAsia="" w:eastAsiaTheme="minorEastAsia"/>
                <w:color w:val="000000"/>
                <w:sz w:val="22"/>
                <w:lang w:val="en-US" w:eastAsia="ru-RU"/>
              </w:rPr>
              <w:t>USB</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1.5</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rPr>
                <w:rFonts w:eastAsia="Calibri"/>
                <w:b/>
                <w:sz w:val="22"/>
                <w:lang w:eastAsia="x-none"/>
              </w:rPr>
            </w:pPr>
            <w:r>
              <w:rPr>
                <w:rFonts w:eastAsia="Calibri"/>
                <w:b/>
                <w:sz w:val="22"/>
                <w:lang w:eastAsia="x-none"/>
              </w:rPr>
              <w:t>Комплект электропитания и коммутации ЮСДП.436112.001 в составе:</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1.5.1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b/>
                <w:sz w:val="22"/>
                <w:lang w:eastAsia="x-none"/>
              </w:rPr>
            </w:pPr>
            <w:r>
              <w:rPr>
                <w:rFonts w:eastAsia="Calibri"/>
                <w:b/>
                <w:sz w:val="22"/>
                <w:lang w:eastAsia="x-none"/>
              </w:rPr>
              <w:t>шкаф электропитания и коммутации ЮСДП.436112.007</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Cтeпeнь зaщиты oбoлoчки (</w:t>
            </w:r>
            <w:r>
              <w:rPr>
                <w:rFonts w:eastAsia="Times New Roman" w:cs="Times New Roman"/>
                <w:sz w:val="22"/>
                <w:lang w:val="en-US"/>
              </w:rPr>
              <w:t>IP</w:t>
            </w:r>
            <w:r>
              <w:rPr>
                <w:rFonts w:eastAsia="Times New Roman" w:cs="Times New Roman"/>
                <w:sz w:val="22"/>
              </w:rPr>
              <w:t>), не ниже: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IP66</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Teмпepaтypa экcплyaтaции, диапазон не 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w:t>
            </w:r>
            <w:r>
              <w:rPr>
                <w:sz w:val="22"/>
              </w:rPr>
              <w:t>35</w:t>
            </w:r>
            <w:r>
              <w:rPr>
                <w:sz w:val="22"/>
                <w:lang w:val="en-US"/>
              </w:rPr>
              <w:t>…+</w:t>
            </w:r>
            <w:r>
              <w:rPr>
                <w:sz w:val="22"/>
              </w:rPr>
              <w:t>4</w:t>
            </w:r>
            <w:r>
              <w:rPr>
                <w:sz w:val="22"/>
                <w:lang w:val="en-US"/>
              </w:rPr>
              <w:t>0 °C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Тип монтажа</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навесной</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1.5.2</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b/>
                <w:sz w:val="22"/>
                <w:lang w:eastAsia="x-none"/>
              </w:rPr>
            </w:pPr>
            <w:r>
              <w:rPr>
                <w:rFonts w:eastAsia="Calibri"/>
                <w:b/>
                <w:sz w:val="22"/>
                <w:lang w:eastAsia="x-none"/>
              </w:rPr>
              <w:t>КМЧ для крепления шкафа на опоре</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Комплект монтажных частей для крепления шкафа на опоре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lang w:val="en-US"/>
              </w:rPr>
              <w:t>да</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1.5.3</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b/>
                <w:sz w:val="22"/>
                <w:lang w:eastAsia="x-none"/>
              </w:rPr>
            </w:pPr>
            <w:r>
              <w:rPr>
                <w:rFonts w:eastAsia="Calibri"/>
                <w:b/>
                <w:sz w:val="22"/>
                <w:lang w:eastAsia="x-none"/>
              </w:rPr>
              <w:t>Козырёк защитный</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Защита от атмосферных осадков</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lang w:val="en-US"/>
              </w:rPr>
              <w:t>да</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1.6</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b/>
                <w:sz w:val="22"/>
                <w:lang w:val="en-US" w:eastAsia="x-none"/>
              </w:rPr>
            </w:pPr>
            <w:r>
              <w:rPr>
                <w:rFonts w:eastAsia="Calibri"/>
                <w:b/>
                <w:sz w:val="22"/>
                <w:lang w:val="en-US" w:eastAsia="x-none"/>
              </w:rPr>
              <w:t xml:space="preserve">Мачта телескопическая, </w:t>
            </w:r>
            <w:r>
              <w:rPr>
                <w:rFonts w:eastAsia="Calibri"/>
                <w:b/>
                <w:sz w:val="22"/>
                <w:lang w:eastAsia="x-none"/>
              </w:rPr>
              <w:t>М-250</w:t>
            </w:r>
            <w:r>
              <w:rPr>
                <w:rFonts w:eastAsia="Calibri"/>
                <w:b/>
                <w:sz w:val="22"/>
                <w:lang w:val="en-US" w:eastAsia="x-none"/>
              </w:rPr>
              <w:t xml:space="preserve"> ЮСДП.301563.018-06</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Функционал - обеспечение подъёма оборудования на высоту</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suppressAutoHyphens w:val="false"/>
              <w:rPr>
                <w:rFonts w:eastAsia="Times New Roman" w:cs="Times New Roman"/>
                <w:sz w:val="22"/>
              </w:rPr>
            </w:pPr>
            <w:r>
              <w:rPr>
                <w:rFonts w:eastAsia="Times New Roman" w:cs="Times New Roman"/>
                <w:sz w:val="22"/>
              </w:rPr>
              <w:t>Мачта представляет собой типовую металлическую выдвижную</w:t>
            </w:r>
          </w:p>
          <w:p>
            <w:pPr>
              <w:pStyle w:val="Normal"/>
              <w:suppressAutoHyphens w:val="false"/>
              <w:rPr>
                <w:rFonts w:eastAsia="Times New Roman" w:cs="Times New Roman"/>
                <w:sz w:val="22"/>
              </w:rPr>
            </w:pPr>
            <w:r>
              <w:rPr>
                <w:rFonts w:eastAsia="Times New Roman" w:cs="Times New Roman"/>
                <w:sz w:val="22"/>
              </w:rPr>
              <w:t>мачту квадратного сечения с элементами её крепления к основанию.</w:t>
            </w:r>
          </w:p>
          <w:p>
            <w:pPr>
              <w:pStyle w:val="Normal"/>
              <w:suppressAutoHyphens w:val="false"/>
              <w:rPr>
                <w:rFonts w:eastAsia="Times New Roman" w:cs="Times New Roman"/>
                <w:sz w:val="22"/>
              </w:rPr>
            </w:pPr>
            <w:r>
              <w:rPr>
                <w:rFonts w:eastAsia="Times New Roman" w:cs="Times New Roman"/>
                <w:sz w:val="22"/>
              </w:rPr>
              <w:t>Конструкция: стационарный сварной каркас (станок) в виде прямоугольной фермы из стальных профилей, предназначен для</w:t>
            </w:r>
          </w:p>
          <w:p>
            <w:pPr>
              <w:pStyle w:val="Normal"/>
              <w:suppressAutoHyphens w:val="false"/>
              <w:rPr>
                <w:rFonts w:eastAsia="Times New Roman" w:cs="Times New Roman"/>
                <w:sz w:val="22"/>
              </w:rPr>
            </w:pPr>
            <w:r>
              <w:rPr>
                <w:rFonts w:eastAsia="Times New Roman" w:cs="Times New Roman"/>
                <w:sz w:val="22"/>
              </w:rPr>
              <w:t>подъема (опускания) секций при монтаже ма</w:t>
            </w:r>
            <w:bookmarkStart w:id="20" w:name="_GoBack"/>
            <w:bookmarkEnd w:id="20"/>
            <w:r>
              <w:rPr>
                <w:rFonts w:eastAsia="Times New Roman" w:cs="Times New Roman"/>
                <w:sz w:val="22"/>
              </w:rPr>
              <w:t xml:space="preserve">чты. Внутри каркаса при помощи троса редуктора перемещается каретка, на которую при подъеме устанавливается секция мачты. Вращение барабану передается электромотором. Ствол мачты состоит из ферм. Ферма представляет собой стальную четырехгранную сварную конструкцию квадратного сечения. Продольные образующие фермы выполнены из стального профиля. </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Высота мачты, 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4</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Наличие в составе электролебёдки 220 В</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Наличие в составе стационарного подъёмника</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Наличие в составе комплекта оттяжек</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Наличие в составе комплекта такелажа и кольев для растяжки станка</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Верхняя секция с опорными площадками</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Температура эксплуатации, диапазон не 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-40…+60 °C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Возможность эксплуатации при скорости ветра до, м/с,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30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Возможность эксплуатации при обледенении с толщиной слоя до, см,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1</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Эксплуатация в ветровых районах по СНиП2.01.07-85</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sz w:val="22"/>
                <w:lang w:val="en-US"/>
              </w:rPr>
              <w:t>I…III</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1.7</w:t>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rFonts w:eastAsia="Calibri"/>
                <w:b/>
                <w:sz w:val="22"/>
                <w:lang w:eastAsia="x-none"/>
              </w:rPr>
              <w:t>KVM-консоль SMK-980-19UBRU</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sz w:val="22"/>
              </w:rPr>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Тип</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Консоль для монтажа в 19' стойку</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Диагональ экрана</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19''</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Разрешение экрана,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1280 x 1024 (SXGA)</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Угол обзора (гор./верт.),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160°/160°</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Количество KVM входов,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8</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Температура эксплуатации, °C, </w:t>
            </w:r>
            <w:r>
              <w:rPr>
                <w:rFonts w:eastAsia="Times New Roman" w:cs="Times New Roman"/>
                <w:sz w:val="22"/>
              </w:rPr>
              <w:t>диапазон не 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0…+50 °C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Влажность, </w:t>
            </w:r>
            <w:r>
              <w:rPr>
                <w:rFonts w:eastAsia="Times New Roman" w:cs="Times New Roman"/>
                <w:sz w:val="22"/>
              </w:rPr>
              <w:t>диапазон не 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20 ~ 80 % ( без конденсата )</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Интерфейс подключения клавиатуры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USB</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1.8</w:t>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rFonts w:eastAsia="Calibri"/>
                <w:b/>
                <w:sz w:val="22"/>
                <w:lang w:eastAsia="x-none"/>
              </w:rPr>
              <w:t>KVM-удлинитель ATEN CE775</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sz w:val="22"/>
              </w:rPr>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Рабочее расстояние, не менее, м</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300м</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Разъемы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RJ-45, RS-232, USB  тип А, VGA, Гнездо аудио</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От устройства к устройству</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Категория 5 / Категория 5e / Категория 6</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Рабочая температура, </w:t>
            </w:r>
            <w:r>
              <w:rPr>
                <w:rFonts w:eastAsia="Times New Roman" w:cs="Times New Roman"/>
                <w:sz w:val="22"/>
              </w:rPr>
              <w:t>диапазон не 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0…+40 °C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Calibri"/>
                <w:sz w:val="22"/>
                <w:lang w:eastAsia="x-none"/>
              </w:rPr>
            </w:pPr>
            <w:r>
              <w:rPr>
                <w:rFonts w:eastAsia="Calibri"/>
                <w:sz w:val="22"/>
                <w:lang w:eastAsia="x-none"/>
              </w:rPr>
              <w:t>Видео,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rFonts w:eastAsia="Calibri"/>
                <w:sz w:val="22"/>
                <w:lang w:eastAsia="x-none"/>
              </w:rPr>
              <w:t>1920x1200 @ 60Hz (150 м);</w:t>
              <w:br/>
              <w:t>1280x1024 @ 60Hz (300 м)</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Влажность при эксплуатации</w:t>
            </w:r>
            <w:r>
              <w:rPr>
                <w:sz w:val="22"/>
              </w:rPr>
              <w:t xml:space="preserve">, </w:t>
            </w:r>
            <w:r>
              <w:rPr>
                <w:rFonts w:eastAsia="Times New Roman" w:cs="Times New Roman"/>
                <w:sz w:val="22"/>
              </w:rPr>
              <w:t>диапазон не уже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Times New Roman" w:cs="Times New Roman"/>
                <w:sz w:val="22"/>
              </w:rPr>
            </w:pPr>
            <w:r>
              <w:rPr>
                <w:rFonts w:eastAsia="Times New Roman" w:cs="Times New Roman"/>
                <w:sz w:val="22"/>
              </w:rPr>
              <w:t xml:space="preserve">от 10% до 90% без </w:t>
            </w:r>
            <w:r>
              <w:rPr>
                <w:rFonts w:eastAsia="Calibri"/>
                <w:sz w:val="22"/>
                <w:lang w:val="en-US" w:eastAsia="x-none"/>
              </w:rPr>
              <w:t>конденсата</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1.9</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rFonts w:eastAsia="Calibri"/>
                <w:b/>
                <w:sz w:val="22"/>
                <w:lang w:eastAsia="x-none"/>
              </w:rPr>
              <w:t>Медиаконвертер TP-Link MC210CS</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Интерфейсы: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rFonts w:eastAsia="Calibri"/>
                <w:sz w:val="22"/>
                <w:lang w:val="en-US" w:eastAsia="x-none"/>
              </w:rPr>
              <w:t>100BASE-T, 1000BASE-LX/LH, 1000BASE-T</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Сетевые протоколы и стандарты: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802.3ab, 802.3i, 802.3u, 802.3z</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Среда передачи данных</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витая пара, оптоволокно</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Скорость передачи данных,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1 Гбит/с</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Управление потоком передачи данных:</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Full-duplex</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Порты,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ascii="Calibri" w:hAnsi="Calibri" w:asciiTheme="minorHAnsi" w:hAnsiTheme="minorHAnsi"/>
                <w:sz w:val="22"/>
              </w:rPr>
            </w:pPr>
            <w:r>
              <w:rPr>
                <w:sz w:val="22"/>
              </w:rPr>
              <w:t>1xRJ-45, 1xSC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Длина поддерживаемого кабеля витая пара,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100 м</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rFonts w:eastAsia="Times New Roman" w:cs="Times New Roman"/>
                <w:sz w:val="22"/>
              </w:rPr>
              <w:t>Длина поддерживаемого оптического кабеля,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20 км</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Рабочая температура, </w:t>
            </w:r>
            <w:r>
              <w:rPr>
                <w:rFonts w:eastAsia="Times New Roman" w:cs="Times New Roman"/>
                <w:sz w:val="22"/>
              </w:rPr>
              <w:t>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0…+40 °C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Влажность воздуха при эксплуатации, </w:t>
            </w:r>
            <w:r>
              <w:rPr>
                <w:rFonts w:eastAsia="Times New Roman" w:cs="Times New Roman"/>
                <w:sz w:val="22"/>
              </w:rPr>
              <w:t>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rFonts w:eastAsia="Times New Roman" w:cs="Times New Roman"/>
                <w:sz w:val="22"/>
              </w:rPr>
              <w:t>от 10% до 90% без конденсата</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1.10</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rFonts w:eastAsia="Calibri"/>
                <w:b/>
                <w:sz w:val="22"/>
                <w:lang w:eastAsia="x-none"/>
              </w:rPr>
              <w:t>Промышленный коммутатор NSGate NIS-3200-205GS</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Интерфейсы: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val="en-US" w:eastAsia="x-none"/>
              </w:rPr>
            </w:pPr>
            <w:r>
              <w:rPr>
                <w:rFonts w:eastAsia="Calibri"/>
                <w:sz w:val="22"/>
                <w:lang w:val="en-US" w:eastAsia="x-none"/>
              </w:rPr>
              <w:t>4</w:t>
            </w:r>
            <w:r>
              <w:rPr>
                <w:rFonts w:eastAsia="Calibri"/>
                <w:sz w:val="22"/>
                <w:lang w:eastAsia="x-none"/>
              </w:rPr>
              <w:t>х</w:t>
            </w:r>
            <w:r>
              <w:rPr>
                <w:rFonts w:eastAsia="Calibri"/>
                <w:sz w:val="22"/>
                <w:lang w:val="en-US" w:eastAsia="x-none"/>
              </w:rPr>
              <w:t>Ethernet 10/100/1000Base-T,</w:t>
            </w:r>
          </w:p>
          <w:p>
            <w:pPr>
              <w:pStyle w:val="Normal"/>
              <w:jc w:val="center"/>
              <w:rPr>
                <w:sz w:val="22"/>
                <w:lang w:val="en-US"/>
              </w:rPr>
            </w:pPr>
            <w:r>
              <w:rPr>
                <w:sz w:val="22"/>
                <w:lang w:val="en-US"/>
              </w:rPr>
              <w:t>1</w:t>
            </w:r>
            <w:r>
              <w:rPr>
                <w:sz w:val="22"/>
              </w:rPr>
              <w:t>х</w:t>
            </w:r>
            <w:r>
              <w:rPr>
                <w:sz w:val="22"/>
                <w:lang w:val="en-US"/>
              </w:rPr>
              <w:t>Ethernet 100/1000Base-X,</w:t>
            </w:r>
          </w:p>
          <w:p>
            <w:pPr>
              <w:pStyle w:val="Normal"/>
              <w:jc w:val="center"/>
              <w:rPr>
                <w:sz w:val="22"/>
                <w:lang w:val="en-US"/>
              </w:rPr>
            </w:pPr>
            <w:r>
              <w:rPr>
                <w:sz w:val="22"/>
                <w:lang w:val="en-US"/>
              </w:rPr>
              <w:t>1</w:t>
            </w:r>
            <w:r>
              <w:rPr>
                <w:sz w:val="22"/>
              </w:rPr>
              <w:t>х</w:t>
            </w:r>
            <w:r>
              <w:rPr>
                <w:sz w:val="22"/>
                <w:lang w:val="en-US"/>
              </w:rPr>
              <w:t>Ethernet Gigabit TP/SFP</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Порты,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ascii="Calibri" w:hAnsi="Calibri" w:asciiTheme="minorHAnsi" w:hAnsiTheme="minorHAnsi"/>
                <w:sz w:val="22"/>
              </w:rPr>
            </w:pPr>
            <w:r>
              <w:rPr>
                <w:sz w:val="22"/>
              </w:rPr>
              <w:t>4xRJ-45, 1xSFP, 1х</w:t>
            </w:r>
            <w:r>
              <w:rPr>
                <w:sz w:val="22"/>
                <w:lang w:val="en-US"/>
              </w:rPr>
              <w:t>Combo</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Сетевые протоколы и стандарты:</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val="en-US" w:eastAsia="x-none"/>
              </w:rPr>
            </w:pPr>
            <w:r>
              <w:rPr>
                <w:rFonts w:eastAsia="Calibri"/>
                <w:sz w:val="22"/>
                <w:lang w:val="en-US" w:eastAsia="x-none"/>
              </w:rPr>
              <w:t>802.3/802.3u/802.3ab/802.3z,</w:t>
            </w:r>
          </w:p>
          <w:p>
            <w:pPr>
              <w:pStyle w:val="Normal"/>
              <w:jc w:val="center"/>
              <w:rPr>
                <w:rFonts w:eastAsia="Calibri"/>
                <w:sz w:val="22"/>
                <w:lang w:val="en-US" w:eastAsia="x-none"/>
              </w:rPr>
            </w:pPr>
            <w:r>
              <w:rPr>
                <w:rFonts w:eastAsia="Calibri"/>
                <w:sz w:val="22"/>
                <w:lang w:val="en-US" w:eastAsia="x-none"/>
              </w:rPr>
              <w:t xml:space="preserve">802.3x Flow Control </w:t>
            </w:r>
            <w:r>
              <w:rPr>
                <w:rFonts w:eastAsia="Calibri"/>
                <w:sz w:val="22"/>
                <w:lang w:eastAsia="x-none"/>
              </w:rPr>
              <w:t>в</w:t>
            </w:r>
            <w:r>
              <w:rPr>
                <w:rFonts w:eastAsia="Calibri"/>
                <w:sz w:val="22"/>
                <w:lang w:val="en-US" w:eastAsia="x-none"/>
              </w:rPr>
              <w:t xml:space="preserve"> </w:t>
            </w:r>
            <w:r>
              <w:rPr>
                <w:rFonts w:eastAsia="Calibri"/>
                <w:sz w:val="22"/>
                <w:lang w:eastAsia="x-none"/>
              </w:rPr>
              <w:t>режиме</w:t>
            </w:r>
            <w:r>
              <w:rPr>
                <w:rFonts w:eastAsia="Calibri"/>
                <w:sz w:val="22"/>
                <w:lang w:val="en-US" w:eastAsia="x-none"/>
              </w:rPr>
              <w:t xml:space="preserve"> Full duplex,</w:t>
            </w:r>
          </w:p>
          <w:p>
            <w:pPr>
              <w:pStyle w:val="Normal"/>
              <w:jc w:val="center"/>
              <w:rPr>
                <w:rFonts w:eastAsia="Calibri"/>
                <w:sz w:val="22"/>
                <w:lang w:val="en-US" w:eastAsia="x-none"/>
              </w:rPr>
            </w:pPr>
            <w:r>
              <w:rPr>
                <w:rFonts w:eastAsia="Calibri"/>
                <w:sz w:val="22"/>
                <w:lang w:val="en-US" w:eastAsia="x-none"/>
              </w:rPr>
              <w:t>Back Pressure в режиме Half duplex,</w:t>
            </w:r>
          </w:p>
          <w:p>
            <w:pPr>
              <w:pStyle w:val="Normal"/>
              <w:jc w:val="center"/>
              <w:rPr>
                <w:rFonts w:eastAsia="Calibri"/>
                <w:sz w:val="22"/>
                <w:lang w:val="en-US" w:eastAsia="x-none"/>
              </w:rPr>
            </w:pPr>
            <w:r>
              <w:rPr>
                <w:rFonts w:eastAsia="Calibri"/>
                <w:sz w:val="22"/>
                <w:lang w:val="en-US" w:eastAsia="x-none"/>
              </w:rPr>
              <w:t>Поддержка Autonegotiation &amp; Auto-MDIX</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Среда передачи данных:</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витая пара, оптоволокно</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Пропускная способность,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12 Гбит/с</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Напряжение питания,  диапазон не уже :</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highlight w:val="yellow"/>
                <w:lang w:eastAsia="x-none"/>
              </w:rPr>
            </w:pPr>
            <w:r>
              <w:rPr>
                <w:rFonts w:eastAsia="Calibri"/>
                <w:sz w:val="22"/>
                <w:lang w:eastAsia="x-none"/>
              </w:rPr>
              <w:t>12</w:t>
            </w:r>
            <w:r>
              <w:rPr>
                <w:sz w:val="22"/>
              </w:rPr>
              <w:t>…</w:t>
            </w:r>
            <w:r>
              <w:rPr>
                <w:rFonts w:eastAsia="Calibri"/>
                <w:sz w:val="22"/>
                <w:lang w:eastAsia="x-none"/>
              </w:rPr>
              <w:t>48 VDC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Рабочая температура, </w:t>
            </w:r>
            <w:r>
              <w:rPr>
                <w:rFonts w:eastAsia="Times New Roman" w:cs="Times New Roman"/>
                <w:sz w:val="22"/>
              </w:rPr>
              <w:t>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-40…+75 °C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Монтаж на DIN-рейку</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Cтeпeнь зaщиты корпуса (</w:t>
            </w:r>
            <w:r>
              <w:rPr>
                <w:rFonts w:eastAsia="Times New Roman" w:cs="Times New Roman"/>
                <w:sz w:val="22"/>
                <w:lang w:val="en-US"/>
              </w:rPr>
              <w:t>IP</w:t>
            </w:r>
            <w:r>
              <w:rPr>
                <w:rFonts w:eastAsia="Times New Roman" w:cs="Times New Roman"/>
                <w:sz w:val="22"/>
              </w:rPr>
              <w:t>), не ниже: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highlight w:val="yellow"/>
              </w:rPr>
            </w:pPr>
            <w:r>
              <w:rPr>
                <w:sz w:val="22"/>
              </w:rPr>
              <w:t>IP30</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1.11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rFonts w:eastAsia="Calibri"/>
                <w:b/>
                <w:sz w:val="22"/>
                <w:lang w:eastAsia="x-none"/>
              </w:rPr>
              <w:t>Промышленный источник питания AD1024-24F</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Входное напряжение,</w:t>
            </w:r>
            <w:r>
              <w:rPr>
                <w:rFonts w:eastAsia="Times New Roman" w:cs="Times New Roman"/>
                <w:sz w:val="22"/>
              </w:rPr>
              <w:t xml:space="preserve"> 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rFonts w:eastAsia="Calibri"/>
                <w:sz w:val="22"/>
                <w:lang w:val="en-US" w:eastAsia="x-none"/>
              </w:rPr>
              <w:t>100-240</w:t>
            </w:r>
            <w:r>
              <w:rPr>
                <w:rFonts w:eastAsia="Calibri"/>
                <w:sz w:val="22"/>
                <w:lang w:eastAsia="x-none"/>
              </w:rPr>
              <w:t xml:space="preserve"> </w:t>
            </w:r>
            <w:r>
              <w:rPr>
                <w:rFonts w:eastAsia="Calibri"/>
                <w:sz w:val="22"/>
                <w:lang w:val="en-US" w:eastAsia="x-none"/>
              </w:rPr>
              <w:t>VAC</w:t>
            </w:r>
            <w:r>
              <w:rPr>
                <w:rFonts w:eastAsia="Calibri"/>
                <w:sz w:val="22"/>
                <w:lang w:eastAsia="x-none"/>
              </w:rPr>
              <w:t xml:space="preserve"> </w:t>
            </w:r>
            <w:r>
              <w:rPr>
                <w:rFonts w:eastAsia="Calibri"/>
                <w:sz w:val="22"/>
                <w:lang w:val="en-US" w:eastAsia="x-none"/>
              </w:rPr>
              <w:t>/</w:t>
            </w:r>
            <w:r>
              <w:rPr>
                <w:rFonts w:eastAsia="Calibri"/>
                <w:sz w:val="22"/>
                <w:lang w:eastAsia="x-none"/>
              </w:rPr>
              <w:t xml:space="preserve"> </w:t>
            </w:r>
            <w:r>
              <w:rPr>
                <w:rFonts w:eastAsia="Calibri"/>
                <w:sz w:val="22"/>
                <w:lang w:val="en-US" w:eastAsia="x-none"/>
              </w:rPr>
              <w:t>120-370</w:t>
            </w:r>
            <w:r>
              <w:rPr>
                <w:rFonts w:eastAsia="Calibri"/>
                <w:sz w:val="22"/>
                <w:lang w:eastAsia="x-none"/>
              </w:rPr>
              <w:t xml:space="preserve"> </w:t>
            </w:r>
            <w:r>
              <w:rPr>
                <w:rFonts w:eastAsia="Calibri"/>
                <w:sz w:val="22"/>
                <w:lang w:val="en-US" w:eastAsia="x-none"/>
              </w:rPr>
              <w:t>VDC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sz w:val="22"/>
              </w:rPr>
              <w:t>Выходное напряжение: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24V</w:t>
            </w:r>
            <w:r>
              <w:rPr>
                <w:rFonts w:eastAsia="Calibri"/>
                <w:sz w:val="22"/>
                <w:lang w:val="en-US" w:eastAsia="x-none"/>
              </w:rPr>
              <w:t>DC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Пульсации выходного напряжения, не более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150 mV p-p</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sz w:val="22"/>
              </w:rPr>
              <w:t>Выходной ток,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1А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Тип клемм для подключения: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винтовые</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Монтаж на DIN-рейку</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highlight w:val="yellow"/>
              </w:rPr>
            </w:pPr>
            <w:r>
              <w:rPr>
                <w:sz w:val="22"/>
              </w:rPr>
              <w:t>Защита от короткого замыкания, от перегрева и перенапряжения по выходным цепям</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highlight w:val="yellow"/>
              </w:rPr>
            </w:pPr>
            <w:r>
              <w:rPr>
                <w:rFonts w:eastAsia="Calibri"/>
                <w:sz w:val="22"/>
                <w:lang w:eastAsia="x-none"/>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Рабочая температура, </w:t>
            </w:r>
            <w:r>
              <w:rPr>
                <w:rFonts w:eastAsia="Times New Roman" w:cs="Times New Roman"/>
                <w:sz w:val="22"/>
              </w:rPr>
              <w:t>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-40…+70 °C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Влажность воздуха при эксплуатации, </w:t>
            </w:r>
            <w:r>
              <w:rPr>
                <w:rFonts w:eastAsia="Times New Roman" w:cs="Times New Roman"/>
                <w:sz w:val="22"/>
              </w:rPr>
              <w:t>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rFonts w:eastAsia="Times New Roman" w:cs="Times New Roman"/>
                <w:sz w:val="22"/>
              </w:rPr>
              <w:t>от 5% до 95% без конденсата</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1.12</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b/>
                <w:sz w:val="22"/>
                <w:lang w:eastAsia="x-none"/>
              </w:rPr>
            </w:pPr>
            <w:r>
              <w:rPr>
                <w:rFonts w:eastAsia="Calibri"/>
                <w:b/>
                <w:sz w:val="22"/>
                <w:lang w:eastAsia="x-none"/>
              </w:rPr>
              <w:t>Источник питания MEAN WELL DRS-480-24</w:t>
            </w:r>
          </w:p>
        </w:tc>
      </w:tr>
      <w:tr>
        <w:trPr>
          <w:trHeight w:val="2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Входное напряжение,</w:t>
            </w:r>
            <w:r>
              <w:rPr>
                <w:rFonts w:eastAsia="Times New Roman" w:cs="Times New Roman"/>
                <w:sz w:val="22"/>
              </w:rPr>
              <w:t xml:space="preserve"> 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rFonts w:eastAsia="Calibri"/>
                <w:sz w:val="22"/>
                <w:lang w:eastAsia="x-none"/>
              </w:rPr>
              <w:t>90</w:t>
            </w:r>
            <w:r>
              <w:rPr>
                <w:rFonts w:eastAsia="Calibri"/>
                <w:sz w:val="22"/>
                <w:lang w:val="en-US" w:eastAsia="x-none"/>
              </w:rPr>
              <w:t>-</w:t>
            </w:r>
            <w:r>
              <w:rPr>
                <w:rFonts w:eastAsia="Calibri"/>
                <w:sz w:val="22"/>
                <w:lang w:eastAsia="x-none"/>
              </w:rPr>
              <w:t xml:space="preserve">305 </w:t>
            </w:r>
            <w:r>
              <w:rPr>
                <w:rFonts w:eastAsia="Calibri"/>
                <w:sz w:val="22"/>
                <w:lang w:val="en-US" w:eastAsia="x-none"/>
              </w:rPr>
              <w:t>VAC</w:t>
            </w:r>
            <w:r>
              <w:rPr>
                <w:rFonts w:eastAsia="Calibri"/>
                <w:sz w:val="22"/>
                <w:lang w:eastAsia="x-none"/>
              </w:rPr>
              <w:t xml:space="preserve"> </w:t>
            </w:r>
            <w:r>
              <w:rPr>
                <w:rFonts w:eastAsia="Calibri"/>
                <w:sz w:val="22"/>
                <w:lang w:val="en-US" w:eastAsia="x-none"/>
              </w:rPr>
              <w:t>/</w:t>
            </w:r>
            <w:r>
              <w:rPr>
                <w:rFonts w:eastAsia="Calibri"/>
                <w:sz w:val="22"/>
                <w:lang w:eastAsia="x-none"/>
              </w:rPr>
              <w:t xml:space="preserve"> </w:t>
            </w:r>
            <w:r>
              <w:rPr>
                <w:rFonts w:eastAsia="Calibri"/>
                <w:sz w:val="22"/>
                <w:lang w:val="en-US" w:eastAsia="x-none"/>
              </w:rPr>
              <w:t>12</w:t>
            </w:r>
            <w:r>
              <w:rPr>
                <w:rFonts w:eastAsia="Calibri"/>
                <w:sz w:val="22"/>
                <w:lang w:eastAsia="x-none"/>
              </w:rPr>
              <w:t>7</w:t>
            </w:r>
            <w:r>
              <w:rPr>
                <w:rFonts w:eastAsia="Calibri"/>
                <w:sz w:val="22"/>
                <w:lang w:val="en-US" w:eastAsia="x-none"/>
              </w:rPr>
              <w:t>-</w:t>
            </w:r>
            <w:r>
              <w:rPr>
                <w:rFonts w:eastAsia="Calibri"/>
                <w:sz w:val="22"/>
                <w:lang w:eastAsia="x-none"/>
              </w:rPr>
              <w:t xml:space="preserve">431 </w:t>
            </w:r>
            <w:r>
              <w:rPr>
                <w:rFonts w:eastAsia="Calibri"/>
                <w:sz w:val="22"/>
                <w:lang w:val="en-US" w:eastAsia="x-none"/>
              </w:rPr>
              <w:t>VDC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sz w:val="22"/>
              </w:rPr>
              <w:t>Выходное напряжение: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24V</w:t>
            </w:r>
            <w:r>
              <w:rPr>
                <w:rFonts w:eastAsia="Calibri"/>
                <w:sz w:val="22"/>
                <w:lang w:val="en-US" w:eastAsia="x-none"/>
              </w:rPr>
              <w:t>DC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eastAsia="x-none"/>
              </w:rPr>
            </w:pPr>
            <w:r>
              <w:rPr>
                <w:rFonts w:eastAsia="Calibri"/>
                <w:sz w:val="22"/>
                <w:lang w:val="en-US"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Пульсации выходного напряжения, не более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2400 mV p-p</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sz w:val="22"/>
              </w:rPr>
              <w:t>Выходной ток, не менее: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20А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Тип клемм для подключения:</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винтовые</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rFonts w:eastAsia="Times New Roman" w:cs="Times New Roman"/>
                <w:sz w:val="22"/>
              </w:rPr>
            </w:pPr>
            <w:r>
              <w:rPr>
                <w:rFonts w:eastAsia="Times New Roman" w:cs="Times New Roman"/>
                <w:sz w:val="22"/>
              </w:rPr>
              <w:t>Монтаж на DIN-рейку</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Защита от короткого замыкания, от перегрева и перенапряжения по выходным цепям</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rFonts w:eastAsia="Calibri"/>
                <w:sz w:val="22"/>
                <w:lang w:eastAsia="x-none"/>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Функция ИБП и зарядного устройства аккумулятора</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Встроенный интерфейс MODBus</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Встроенный релейный модуль, не менее шт</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rFonts w:eastAsia="Calibri"/>
                <w:sz w:val="22"/>
                <w:lang w:eastAsia="x-none"/>
              </w:rPr>
            </w:pPr>
            <w:r>
              <w:rPr>
                <w:rFonts w:eastAsia="Calibri"/>
                <w:sz w:val="22"/>
                <w:lang w:eastAsia="x-none"/>
              </w:rPr>
              <w:t>4</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Регулировка тока заряда аккумулятора, </w:t>
            </w:r>
            <w:r>
              <w:rPr>
                <w:rFonts w:eastAsia="Times New Roman" w:cs="Times New Roman"/>
                <w:sz w:val="22"/>
              </w:rPr>
              <w:t>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20…100 %</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Выбор характеристики заряда аккумулятора DIP-переключателем</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rFonts w:eastAsia="Calibri"/>
                <w:sz w:val="22"/>
                <w:lang w:eastAsia="x-none"/>
              </w:rPr>
              <w:t>да</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Рабочая температура, </w:t>
            </w:r>
            <w:r>
              <w:rPr>
                <w:rFonts w:eastAsia="Times New Roman" w:cs="Times New Roman"/>
                <w:sz w:val="22"/>
              </w:rPr>
              <w:t>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sz w:val="22"/>
              </w:rPr>
              <w:t>-30…+70 °C</w:t>
            </w:r>
          </w:p>
        </w:tc>
      </w:tr>
      <w:tr>
        <w:trPr>
          <w:trHeight w:val="2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Влажность воздуха при эксплуатации, </w:t>
            </w:r>
            <w:r>
              <w:rPr>
                <w:rFonts w:eastAsia="Times New Roman" w:cs="Times New Roman"/>
                <w:sz w:val="22"/>
              </w:rPr>
              <w:t>диапазон не уже</w:t>
            </w:r>
            <w:r>
              <w:rPr>
                <w:sz w:val="22"/>
              </w:rPr>
              <w:t>:</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rPr>
            </w:pPr>
            <w:r>
              <w:rPr>
                <w:rFonts w:eastAsia="Times New Roman" w:cs="Times New Roman"/>
                <w:sz w:val="22"/>
              </w:rPr>
              <w:t>от 20% до 90% без конденсата</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1.13</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b/>
                <w:sz w:val="22"/>
                <w:lang w:eastAsia="x-none"/>
              </w:rPr>
            </w:pPr>
            <w:r>
              <w:rPr>
                <w:rFonts w:eastAsia="Calibri"/>
                <w:b/>
                <w:sz w:val="22"/>
                <w:lang w:eastAsia="x-none"/>
              </w:rPr>
              <w:t>Комплект ПО на физическом носителе</w:t>
            </w:r>
          </w:p>
        </w:tc>
      </w:tr>
      <w:tr>
        <w:trPr>
          <w:trHeight w:val="20"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eastAsia="x-none"/>
              </w:rPr>
            </w:pPr>
            <w:r>
              <w:rPr>
                <w:rFonts w:eastAsia="Calibri"/>
                <w:sz w:val="22"/>
                <w:lang w:eastAsia="x-none"/>
              </w:rPr>
            </w:r>
          </w:p>
        </w:tc>
        <w:tc>
          <w:tcPr>
            <w:tcW w:w="7230" w:type="dxa"/>
            <w:gridSpan w:val="3"/>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rPr>
                <w:sz w:val="22"/>
              </w:rPr>
            </w:pPr>
            <w:r>
              <w:rPr>
                <w:sz w:val="22"/>
              </w:rPr>
              <w:t xml:space="preserve">Дистрибутив специализированного ПО с необходимыми для установки и развёртывания модулями на </w:t>
            </w:r>
            <w:r>
              <w:rPr>
                <w:sz w:val="22"/>
                <w:lang w:val="en-US"/>
              </w:rPr>
              <w:t>USB</w:t>
            </w:r>
            <w:r>
              <w:rPr>
                <w:sz w:val="22"/>
              </w:rPr>
              <w:t xml:space="preserve"> </w:t>
            </w:r>
            <w:r>
              <w:rPr>
                <w:sz w:val="22"/>
                <w:lang w:val="en-US"/>
              </w:rPr>
              <w:t>Flash</w:t>
            </w:r>
            <w:r>
              <w:rPr>
                <w:sz w:val="22"/>
              </w:rPr>
              <w:t>-диске</w:t>
            </w:r>
          </w:p>
        </w:tc>
        <w:tc>
          <w:tcPr>
            <w:tcW w:w="6379" w:type="dxa"/>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jc w:val="center"/>
              <w:rPr>
                <w:sz w:val="22"/>
                <w:lang w:val="en-US"/>
              </w:rPr>
            </w:pPr>
            <w:r>
              <w:rPr>
                <w:rFonts w:eastAsia="Calibri"/>
                <w:sz w:val="22"/>
                <w:lang w:eastAsia="x-none"/>
              </w:rPr>
              <w:t>да</w:t>
            </w:r>
          </w:p>
        </w:tc>
      </w:tr>
      <w:tr>
        <w:trPr>
          <w:trHeight w:val="278"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b/>
                <w:sz w:val="22"/>
                <w:lang w:eastAsia="x-none"/>
              </w:rPr>
            </w:pPr>
            <w:r>
              <w:rPr>
                <w:rFonts w:eastAsia="Calibri"/>
                <w:b/>
                <w:sz w:val="22"/>
                <w:lang w:eastAsia="x-none"/>
              </w:rPr>
              <w:t>2.</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b/>
              </w:rPr>
            </w:pPr>
            <w:r>
              <w:rPr>
                <w:b/>
                <w:sz w:val="22"/>
              </w:rPr>
              <w:t>Требования к доставке, маркировке, упаковке, транспортировке, перемещению, условиям хранения, приемке и испытаниям</w:t>
            </w:r>
          </w:p>
        </w:tc>
      </w:tr>
      <w:tr>
        <w:trPr>
          <w:trHeight w:val="560" w:hRule="atLeast"/>
        </w:trPr>
        <w:tc>
          <w:tcPr>
            <w:tcW w:w="845" w:type="dxa"/>
            <w:vMerge w:val="restart"/>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sz w:val="22"/>
              </w:rPr>
            </w:pPr>
            <w:r>
              <w:rPr>
                <w:rFonts w:eastAsia="Calibri"/>
                <w:sz w:val="22"/>
              </w:rPr>
              <w:t>2.1</w:t>
            </w:r>
          </w:p>
        </w:tc>
        <w:tc>
          <w:tcPr>
            <w:tcW w:w="2871" w:type="dxa"/>
            <w:gridSpan w:val="2"/>
            <w:vMerge w:val="restart"/>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rFonts w:eastAsia="Calibri"/>
                <w:sz w:val="22"/>
              </w:rPr>
              <w:t>Место поставки</w:t>
            </w:r>
          </w:p>
        </w:tc>
        <w:tc>
          <w:tcPr>
            <w:tcW w:w="10738" w:type="dxa"/>
            <w:gridSpan w:val="2"/>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color w:val="FF0000"/>
                <w:sz w:val="22"/>
              </w:rPr>
            </w:pPr>
            <w:r>
              <w:rPr>
                <w:sz w:val="22"/>
              </w:rPr>
              <w:t>Партия №1 в соответствии с табл.1.1 - Рыбинская ГЭС – 152917, Российская Федерация, Ярославская область, г. Рыбинск, ул. Вяземского д.31</w:t>
            </w:r>
          </w:p>
        </w:tc>
      </w:tr>
      <w:tr>
        <w:trPr>
          <w:trHeight w:val="56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rPr>
            </w:pPr>
            <w:r>
              <w:rPr>
                <w:rFonts w:eastAsia="Calibri"/>
                <w:sz w:val="22"/>
              </w:rPr>
            </w:r>
          </w:p>
        </w:tc>
        <w:tc>
          <w:tcPr>
            <w:tcW w:w="2871" w:type="dxa"/>
            <w:gridSpan w:val="2"/>
            <w:vMerge w:val="continue"/>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rFonts w:eastAsia="Calibri"/>
                <w:sz w:val="22"/>
              </w:rPr>
            </w:pPr>
            <w:r>
              <w:rPr>
                <w:rFonts w:eastAsia="Calibri"/>
                <w:sz w:val="22"/>
              </w:rPr>
            </w:r>
          </w:p>
        </w:tc>
        <w:tc>
          <w:tcPr>
            <w:tcW w:w="10738" w:type="dxa"/>
            <w:gridSpan w:val="2"/>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rFonts w:eastAsia="Calibri"/>
                <w:sz w:val="22"/>
              </w:rPr>
            </w:pPr>
            <w:r>
              <w:rPr>
                <w:rFonts w:eastAsia="Calibri"/>
                <w:sz w:val="22"/>
              </w:rPr>
              <w:t xml:space="preserve">Партия №2 </w:t>
            </w:r>
            <w:r>
              <w:rPr>
                <w:sz w:val="22"/>
              </w:rPr>
              <w:t xml:space="preserve"> в соответствии с табл.1.1 -  ВСП №2 Рыбинской ГЭС – 152917, Российская Федерация, Ярославская область, г. Рыбинск, ул. Вяземского д.31</w:t>
            </w:r>
          </w:p>
        </w:tc>
      </w:tr>
      <w:tr>
        <w:trPr>
          <w:trHeight w:val="56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rPr>
            </w:pPr>
            <w:r>
              <w:rPr>
                <w:rFonts w:eastAsia="Calibri"/>
                <w:sz w:val="22"/>
              </w:rPr>
            </w:r>
          </w:p>
        </w:tc>
        <w:tc>
          <w:tcPr>
            <w:tcW w:w="2871" w:type="dxa"/>
            <w:gridSpan w:val="2"/>
            <w:vMerge w:val="continue"/>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rFonts w:eastAsia="Calibri"/>
                <w:sz w:val="22"/>
              </w:rPr>
            </w:pPr>
            <w:r>
              <w:rPr>
                <w:rFonts w:eastAsia="Calibri"/>
                <w:sz w:val="22"/>
              </w:rPr>
            </w:r>
          </w:p>
        </w:tc>
        <w:tc>
          <w:tcPr>
            <w:tcW w:w="10738" w:type="dxa"/>
            <w:gridSpan w:val="2"/>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sz w:val="22"/>
              </w:rPr>
            </w:pPr>
            <w:r>
              <w:rPr>
                <w:rFonts w:eastAsia="Calibri"/>
                <w:sz w:val="22"/>
              </w:rPr>
              <w:t>Партия №3 в соответствии с табл.1.1 - Угличская ГЭС – 152615, Российская Федерация, Ярославская область, г. Углич, ул. Спасская д. 33.</w:t>
            </w:r>
          </w:p>
        </w:tc>
      </w:tr>
      <w:tr>
        <w:trPr>
          <w:trHeight w:val="560" w:hRule="atLeast"/>
        </w:trPr>
        <w:tc>
          <w:tcPr>
            <w:tcW w:w="845" w:type="dxa"/>
            <w:vMerge w:val="continue"/>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rPr>
            </w:pPr>
            <w:r>
              <w:rPr>
                <w:rFonts w:eastAsia="Calibri"/>
                <w:sz w:val="22"/>
              </w:rPr>
            </w:r>
          </w:p>
        </w:tc>
        <w:tc>
          <w:tcPr>
            <w:tcW w:w="2871" w:type="dxa"/>
            <w:gridSpan w:val="2"/>
            <w:vMerge w:val="continue"/>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rFonts w:eastAsia="Calibri"/>
                <w:sz w:val="22"/>
              </w:rPr>
            </w:pPr>
            <w:r>
              <w:rPr>
                <w:rFonts w:eastAsia="Calibri"/>
                <w:sz w:val="22"/>
              </w:rPr>
            </w:r>
          </w:p>
        </w:tc>
        <w:tc>
          <w:tcPr>
            <w:tcW w:w="10738" w:type="dxa"/>
            <w:gridSpan w:val="2"/>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color w:val="FF0000"/>
                <w:sz w:val="22"/>
              </w:rPr>
            </w:pPr>
            <w:r>
              <w:rPr>
                <w:sz w:val="22"/>
              </w:rPr>
              <w:t>Партия №4 в соответствии с табл.1.1 - Рыбинская ГЭС – 152917, Российская Федерация, Ярославская область, г. Рыбинск, ул. Вяземского д.31</w:t>
            </w:r>
          </w:p>
        </w:tc>
      </w:tr>
      <w:tr>
        <w:trPr>
          <w:trHeight w:val="276"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sz w:val="22"/>
              </w:rPr>
            </w:pPr>
            <w:r>
              <w:rPr>
                <w:rFonts w:eastAsia="Calibri"/>
                <w:sz w:val="22"/>
              </w:rPr>
              <w:t>2.2</w:t>
            </w:r>
          </w:p>
        </w:tc>
        <w:tc>
          <w:tcPr>
            <w:tcW w:w="2871" w:type="dxa"/>
            <w:gridSpan w:val="2"/>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rFonts w:eastAsia="Calibri"/>
                <w:sz w:val="22"/>
              </w:rPr>
              <w:t>Приемка продукции</w:t>
            </w:r>
          </w:p>
        </w:tc>
        <w:tc>
          <w:tcPr>
            <w:tcW w:w="10738" w:type="dxa"/>
            <w:gridSpan w:val="2"/>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rFonts w:eastAsia="Calibri"/>
                <w:sz w:val="22"/>
              </w:rPr>
            </w:pPr>
            <w:r>
              <w:rPr>
                <w:rFonts w:eastAsia="Calibri"/>
                <w:sz w:val="22"/>
              </w:rPr>
              <w:t>Приемка продукции осуществляется только в рабочие дни с 9-00 до 11-00 и с 13-00 до 16-00.</w:t>
            </w:r>
          </w:p>
        </w:tc>
      </w:tr>
      <w:tr>
        <w:trPr>
          <w:trHeight w:val="276"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sz w:val="22"/>
              </w:rPr>
            </w:pPr>
            <w:r>
              <w:rPr>
                <w:rFonts w:eastAsia="Calibri"/>
                <w:sz w:val="22"/>
              </w:rPr>
              <w:t>2.3</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rFonts w:eastAsia="Calibri"/>
                <w:sz w:val="22"/>
              </w:rPr>
            </w:pPr>
            <w:r>
              <w:rPr>
                <w:rFonts w:eastAsia="Calibri"/>
                <w:sz w:val="22"/>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r>
              <w:rPr>
                <w:rFonts w:eastAsia="Calibri"/>
                <w:b/>
                <w:sz w:val="22"/>
              </w:rPr>
              <w:t>.</w:t>
            </w:r>
          </w:p>
        </w:tc>
      </w:tr>
      <w:tr>
        <w:trPr>
          <w:trHeight w:val="276"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sz w:val="22"/>
              </w:rPr>
            </w:pPr>
            <w:r>
              <w:rPr>
                <w:rFonts w:eastAsia="Calibri"/>
                <w:b/>
                <w:sz w:val="22"/>
              </w:rPr>
              <w:t>3.</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sz w:val="22"/>
              </w:rPr>
            </w:pPr>
            <w:r>
              <w:rPr>
                <w:b/>
                <w:sz w:val="22"/>
                <w:lang w:eastAsia="ru-RU"/>
              </w:rPr>
              <w:t>Требования к гарантиям, гарантийному и послегарантийному обслуживанию</w:t>
            </w:r>
          </w:p>
        </w:tc>
      </w:tr>
      <w:tr>
        <w:trPr>
          <w:trHeight w:val="276"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sz w:val="22"/>
              </w:rPr>
            </w:pPr>
            <w:r>
              <w:rPr>
                <w:rFonts w:eastAsia="Calibri"/>
                <w:sz w:val="22"/>
              </w:rPr>
              <w:t>3.1</w:t>
            </w:r>
          </w:p>
        </w:tc>
        <w:tc>
          <w:tcPr>
            <w:tcW w:w="2871" w:type="dxa"/>
            <w:gridSpan w:val="2"/>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rFonts w:eastAsia="Calibri"/>
                <w:sz w:val="22"/>
              </w:rPr>
              <w:t>Сроки гарантии</w:t>
            </w:r>
          </w:p>
        </w:tc>
        <w:tc>
          <w:tcPr>
            <w:tcW w:w="10738" w:type="dxa"/>
            <w:gridSpan w:val="2"/>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rFonts w:eastAsia="Calibri"/>
                <w:sz w:val="22"/>
              </w:rPr>
              <w:t>На Продукцию устанавливается гарантийный срок, равный 36 (тридцати шести) месяцам, исчисляемый с даты ввода Продукции в эксплуатацию, но не более 48 (сорока восьми) месяцев с даты подписания Сторонами товарной накладной по форме ТОРГ-12 или Универсального передаточного документа (УПД). Установленный в отношении Продукции Гарантийный срок распространяется на все составные части и комплектующие Продукции.</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sz w:val="22"/>
                <w:lang w:val="en-US"/>
              </w:rPr>
            </w:pPr>
            <w:r>
              <w:rPr>
                <w:b/>
                <w:sz w:val="22"/>
                <w:lang w:val="en-US" w:eastAsia="ru-RU"/>
              </w:rPr>
              <w:t>4</w:t>
            </w:r>
            <w:r>
              <w:rPr>
                <w:b/>
                <w:sz w:val="22"/>
                <w:lang w:eastAsia="ru-RU"/>
              </w:rPr>
              <w:t>.</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b/>
                <w:sz w:val="22"/>
                <w:lang w:eastAsia="ru-RU"/>
              </w:rPr>
              <w:t>Требования к сопу</w:t>
            </w:r>
            <w:r>
              <w:rPr>
                <w:b/>
                <w:sz w:val="22"/>
                <w:lang w:val="en-US" w:eastAsia="ru-RU"/>
              </w:rPr>
              <w:t>т</w:t>
            </w:r>
            <w:r>
              <w:rPr>
                <w:b/>
                <w:sz w:val="22"/>
                <w:lang w:eastAsia="ru-RU"/>
              </w:rPr>
              <w:t>ствующим услугам:</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Standard"/>
              <w:widowControl w:val="false"/>
              <w:jc w:val="center"/>
              <w:rPr>
                <w:b/>
                <w:sz w:val="22"/>
                <w:lang w:eastAsia="ru-RU"/>
              </w:rPr>
            </w:pPr>
            <w:r>
              <w:rPr>
                <w:rFonts w:eastAsia="Calibri"/>
                <w:sz w:val="22"/>
                <w:lang w:val="en-US"/>
              </w:rPr>
              <w:t>4.1.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rFonts w:eastAsia="Calibri"/>
                <w:b/>
                <w:sz w:val="22"/>
                <w:lang w:val="en-US"/>
              </w:rPr>
              <w:t>Требования к шефмонтажу</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b/>
                <w:sz w:val="22"/>
              </w:rPr>
            </w:pPr>
            <w:r>
              <w:rPr>
                <w:rFonts w:eastAsia="Calibri"/>
                <w:sz w:val="22"/>
              </w:rPr>
              <w:t>Стоимость сопутствующих услуг по шефмонтажу должна быть включена в стоимость оборудования.</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4.1.2.</w:t>
            </w:r>
          </w:p>
        </w:tc>
        <w:tc>
          <w:tcPr>
            <w:tcW w:w="2836"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rFonts w:eastAsia="Calibri"/>
                <w:sz w:val="22"/>
              </w:rPr>
            </w:pPr>
            <w:r>
              <w:rPr>
                <w:rFonts w:eastAsia="Calibri"/>
                <w:sz w:val="22"/>
              </w:rPr>
              <w:t>Место оказания услуг по шеф-монтажу</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rFonts w:eastAsia="Calibri"/>
                <w:sz w:val="22"/>
              </w:rPr>
            </w:pPr>
            <w:r>
              <w:rPr>
                <w:sz w:val="22"/>
              </w:rPr>
              <w:t xml:space="preserve">Партия №1 в соответствии с табл.1.1 - </w:t>
            </w:r>
            <w:r>
              <w:rPr>
                <w:rFonts w:eastAsia="Calibri"/>
                <w:sz w:val="22"/>
              </w:rPr>
              <w:t>Рыбинская ГЭС – 152917, Российская Федерация, Ярославская область, г. Рыбинск, ул. Вяземского д.31.</w:t>
            </w:r>
          </w:p>
          <w:p>
            <w:pPr>
              <w:pStyle w:val="Normal"/>
              <w:widowControl w:val="false"/>
              <w:jc w:val="both"/>
              <w:rPr>
                <w:rFonts w:eastAsia="Calibri"/>
                <w:sz w:val="22"/>
              </w:rPr>
            </w:pPr>
            <w:r>
              <w:rPr>
                <w:rFonts w:eastAsia="Calibri"/>
                <w:sz w:val="22"/>
              </w:rPr>
              <w:t xml:space="preserve">Партия №2 </w:t>
            </w:r>
            <w:r>
              <w:rPr>
                <w:sz w:val="22"/>
              </w:rPr>
              <w:t xml:space="preserve">в соответствии с табл.1.1 - </w:t>
            </w:r>
            <w:r>
              <w:rPr/>
              <w:t xml:space="preserve"> </w:t>
            </w:r>
            <w:r>
              <w:rPr>
                <w:sz w:val="22"/>
              </w:rPr>
              <w:t xml:space="preserve">ВСП №2 </w:t>
            </w:r>
            <w:r>
              <w:rPr>
                <w:rFonts w:eastAsia="Calibri"/>
                <w:sz w:val="22"/>
              </w:rPr>
              <w:t>Рыбинской ГЭС – 152917, Российская Федерация, Ярославская область, г. Рыбинск, ул. Вяземского д.31.</w:t>
            </w:r>
          </w:p>
          <w:p>
            <w:pPr>
              <w:pStyle w:val="Normal"/>
              <w:widowControl w:val="false"/>
              <w:rPr/>
            </w:pPr>
            <w:r>
              <w:rPr>
                <w:rFonts w:eastAsia="Calibri"/>
                <w:sz w:val="22"/>
              </w:rPr>
              <w:t>Партия №3 в соответствии с табл.1.1 - Угличская ГЭС – 152615, Российская Федерация, Ярославская область, г. Углич, ул. Спасская д. 33.</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4.1.3.</w:t>
            </w:r>
          </w:p>
        </w:tc>
        <w:tc>
          <w:tcPr>
            <w:tcW w:w="2836"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rFonts w:eastAsia="Calibri"/>
                <w:sz w:val="22"/>
              </w:rPr>
            </w:pPr>
            <w:r>
              <w:rPr>
                <w:rFonts w:eastAsia="Calibri"/>
                <w:sz w:val="22"/>
              </w:rPr>
              <w:t>Соблюдение при оказании услуг норм и правил нормативно-технических документов</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vAlign w:val="center"/>
          </w:tcPr>
          <w:p>
            <w:pPr>
              <w:pStyle w:val="ListParagraph"/>
              <w:widowControl w:val="false"/>
              <w:tabs>
                <w:tab w:val="clear" w:pos="708"/>
                <w:tab w:val="left" w:pos="475" w:leader="none"/>
                <w:tab w:val="left" w:pos="670" w:leader="none"/>
                <w:tab w:val="left" w:pos="8640" w:leader="none"/>
              </w:tabs>
              <w:ind w:left="295"/>
              <w:jc w:val="both"/>
              <w:rPr>
                <w:sz w:val="22"/>
                <w:szCs w:val="22"/>
              </w:rPr>
            </w:pPr>
            <w:r>
              <w:rPr>
                <w:sz w:val="22"/>
                <w:szCs w:val="22"/>
              </w:rPr>
              <w:t>Услуги выполняются в соответствии с документацией:</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Правила по охране труда при эксплуатации электроустановок, утвержденные приказом Минтруда России от 15.12.2020 № 903н;</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Правила по охране труда при работе на высоте, утвержденные Приказом Минтруда России №782н от 16.11.2020;</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Правила технической эксплуатации электрических станций и сетей Российской Федерации, утвержденные Приказом Минэнерго России №1070 от 04.10.2022;</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Правила устройства электроустановок, издание 7-е, утвержденные приказом Минэнерго России от 08.07.2002 № 204;</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Приказ Минтруда РФ от 28.10.2020 № 753н «Об утверждении Правил по охране труда при погрузочно-разгрузочных работах и размещении грузов»;</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 xml:space="preserve">РД 34.03.204 «Правила безопасности при работе с инструментом и приспособлениями»; </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РД-153-34.0-03.301-00 (ВППБ 01-02-95) Правила пожарной безопасности для энергетических предприятий;</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Положение о Технической политике ПАО «РусГидро»;</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Свод правил 76.13330.2016 «Электротехнические устройства»;</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Объемы и нормы испытаний электрооборудования СТО 34.01</w:t>
              <w:noBreakHyphen/>
              <w:t>23.1</w:t>
              <w:noBreakHyphen/>
              <w:t>001</w:t>
              <w:noBreakHyphen/>
              <w:t>2017;</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Федеральный закон № 89-ФЗ от 24.06.1998 «Об отходах производства и потребления»;</w:t>
            </w:r>
          </w:p>
          <w:p>
            <w:pPr>
              <w:pStyle w:val="Normal"/>
              <w:widowControl w:val="false"/>
              <w:numPr>
                <w:ilvl w:val="0"/>
                <w:numId w:val="9"/>
              </w:numPr>
              <w:ind w:hanging="0" w:left="0"/>
              <w:jc w:val="both"/>
              <w:rPr>
                <w:rFonts w:eastAsia="Calibri" w:cs="Times New Roman"/>
                <w:sz w:val="22"/>
                <w:lang w:eastAsia="ru-RU"/>
              </w:rPr>
            </w:pPr>
            <w:r>
              <w:rPr>
                <w:rFonts w:eastAsia="Calibri" w:cs="Times New Roman"/>
                <w:sz w:val="22"/>
                <w:lang w:eastAsia="ru-RU"/>
              </w:rPr>
              <w:t>Федеральный закон N 7-ФЗ от 10.01.2002 "Об охране окружающей среды";</w:t>
            </w:r>
          </w:p>
          <w:p>
            <w:pPr>
              <w:pStyle w:val="ListParagraph"/>
              <w:widowControl w:val="false"/>
              <w:numPr>
                <w:ilvl w:val="0"/>
                <w:numId w:val="10"/>
              </w:numPr>
              <w:ind w:hanging="0" w:left="37"/>
              <w:rPr>
                <w:sz w:val="22"/>
              </w:rPr>
            </w:pPr>
            <w:r>
              <w:rPr>
                <w:sz w:val="22"/>
              </w:rPr>
              <w:t>Приказ министерства природных ресурсов экологии РФ от 08.12.2020 №1026"О порядке проведения паспортизации отходов I - IV классов опасности" (вместе с "Правилами проведения паспортизации отходов I - IV классов опасности").</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4.1.4.</w:t>
            </w:r>
          </w:p>
        </w:tc>
        <w:tc>
          <w:tcPr>
            <w:tcW w:w="2836"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rFonts w:eastAsia="Calibri"/>
                <w:sz w:val="22"/>
              </w:rPr>
            </w:pPr>
            <w:r>
              <w:rPr>
                <w:rFonts w:eastAsia="Calibri"/>
                <w:sz w:val="22"/>
              </w:rPr>
              <w:t>Требование к порядку оказания услуг</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vAlign w:val="center"/>
          </w:tcPr>
          <w:p>
            <w:pPr>
              <w:pStyle w:val="ListParagraph"/>
              <w:numPr>
                <w:ilvl w:val="3"/>
                <w:numId w:val="6"/>
              </w:numPr>
              <w:tabs>
                <w:tab w:val="clear" w:pos="708"/>
                <w:tab w:val="left" w:pos="475" w:leader="none"/>
                <w:tab w:val="left" w:pos="670" w:leader="none"/>
                <w:tab w:val="left" w:pos="8640" w:leader="none"/>
              </w:tabs>
              <w:ind w:hanging="0" w:left="12"/>
              <w:jc w:val="both"/>
              <w:rPr>
                <w:sz w:val="22"/>
                <w:szCs w:val="22"/>
              </w:rPr>
            </w:pPr>
            <w:r>
              <w:rPr>
                <w:sz w:val="22"/>
              </w:rPr>
              <w:t>Исполнитель услуг разрабатывает проект производства работ (ППР), согласовывает и утверждает его с Заказчиком. Исполнитель услуг предоставляет на согласование Заказчику ППР официальным письмом. Исполнитель услуг, получив замечания, в течение 3 рабочих дней устраняет замечания и направляет официальным письмом на повторное согласование.</w:t>
            </w:r>
          </w:p>
          <w:p>
            <w:pPr>
              <w:pStyle w:val="ListParagraph"/>
              <w:numPr>
                <w:ilvl w:val="3"/>
                <w:numId w:val="6"/>
              </w:numPr>
              <w:tabs>
                <w:tab w:val="clear" w:pos="708"/>
                <w:tab w:val="left" w:pos="475" w:leader="none"/>
                <w:tab w:val="left" w:pos="670" w:leader="none"/>
                <w:tab w:val="left" w:pos="8640" w:leader="none"/>
              </w:tabs>
              <w:ind w:hanging="0" w:left="12"/>
              <w:jc w:val="both"/>
              <w:rPr>
                <w:sz w:val="22"/>
                <w:szCs w:val="22"/>
              </w:rPr>
            </w:pPr>
            <w:r>
              <w:rPr>
                <w:sz w:val="22"/>
                <w:szCs w:val="22"/>
              </w:rPr>
              <w:t>Все замечания, указания, предписания надзорных органов, предъявленные Заказчику по качеству выполнения услуг во время выполнения услуг, устраняются Исполнителем услуг в указанные сроки за счет собственных средств.</w:t>
            </w:r>
          </w:p>
          <w:p>
            <w:pPr>
              <w:pStyle w:val="ListParagraph"/>
              <w:numPr>
                <w:ilvl w:val="3"/>
                <w:numId w:val="6"/>
              </w:numPr>
              <w:tabs>
                <w:tab w:val="clear" w:pos="708"/>
                <w:tab w:val="left" w:pos="475" w:leader="none"/>
                <w:tab w:val="left" w:pos="670" w:leader="none"/>
                <w:tab w:val="left" w:pos="8640" w:leader="none"/>
              </w:tabs>
              <w:ind w:hanging="0" w:left="12"/>
              <w:jc w:val="both"/>
              <w:rPr>
                <w:sz w:val="22"/>
                <w:szCs w:val="22"/>
              </w:rPr>
            </w:pPr>
            <w:r>
              <w:rPr>
                <w:sz w:val="22"/>
                <w:szCs w:val="22"/>
              </w:rPr>
              <w:t>При выполнении услуг Исполнителю услуг необходимо:</w:t>
            </w:r>
          </w:p>
          <w:p>
            <w:pPr>
              <w:pStyle w:val="ListParagraph"/>
              <w:numPr>
                <w:ilvl w:val="0"/>
                <w:numId w:val="8"/>
              </w:numPr>
              <w:tabs>
                <w:tab w:val="clear" w:pos="708"/>
                <w:tab w:val="left" w:pos="475" w:leader="none"/>
                <w:tab w:val="left" w:pos="670" w:leader="none"/>
                <w:tab w:val="left" w:pos="8640" w:leader="none"/>
              </w:tabs>
              <w:jc w:val="both"/>
              <w:rPr>
                <w:sz w:val="22"/>
                <w:szCs w:val="22"/>
              </w:rPr>
            </w:pPr>
            <w:r>
              <w:rPr>
                <w:sz w:val="22"/>
                <w:szCs w:val="22"/>
              </w:rPr>
              <w:t>исключить падение монтируемых конструкций, оборудования;</w:t>
            </w:r>
          </w:p>
          <w:p>
            <w:pPr>
              <w:pStyle w:val="ListParagraph"/>
              <w:numPr>
                <w:ilvl w:val="0"/>
                <w:numId w:val="8"/>
              </w:numPr>
              <w:tabs>
                <w:tab w:val="clear" w:pos="708"/>
                <w:tab w:val="left" w:pos="475" w:leader="none"/>
                <w:tab w:val="left" w:pos="670" w:leader="none"/>
                <w:tab w:val="left" w:pos="8640" w:leader="none"/>
              </w:tabs>
              <w:jc w:val="both"/>
              <w:rPr>
                <w:sz w:val="22"/>
                <w:szCs w:val="22"/>
              </w:rPr>
            </w:pPr>
            <w:r>
              <w:rPr>
                <w:sz w:val="22"/>
                <w:szCs w:val="22"/>
              </w:rPr>
              <w:t>обеспечить безопасность персонала Заказчика, собственного персонала, персонала подрядных организаций, находящегося в зоне выполнения работ в период производства работ;</w:t>
            </w:r>
          </w:p>
          <w:p>
            <w:pPr>
              <w:pStyle w:val="ListParagraph"/>
              <w:numPr>
                <w:ilvl w:val="0"/>
                <w:numId w:val="8"/>
              </w:numPr>
              <w:tabs>
                <w:tab w:val="clear" w:pos="708"/>
                <w:tab w:val="left" w:pos="475" w:leader="none"/>
                <w:tab w:val="left" w:pos="670" w:leader="none"/>
                <w:tab w:val="left" w:pos="8640" w:leader="none"/>
              </w:tabs>
              <w:jc w:val="both"/>
              <w:rPr>
                <w:sz w:val="22"/>
                <w:szCs w:val="22"/>
              </w:rPr>
            </w:pPr>
            <w:r>
              <w:rPr>
                <w:sz w:val="22"/>
                <w:szCs w:val="22"/>
              </w:rPr>
              <w:t>нести ответственность за сохранность оборудования, механизмов, средств, систем, конструкций, сооружений и транспортных приспособлений Заказчика и подрядных организаций, находящихся в зоне выполнения работ в период производства работ.</w:t>
            </w:r>
          </w:p>
          <w:p>
            <w:pPr>
              <w:pStyle w:val="ListParagraph"/>
              <w:numPr>
                <w:ilvl w:val="3"/>
                <w:numId w:val="6"/>
              </w:numPr>
              <w:tabs>
                <w:tab w:val="clear" w:pos="708"/>
                <w:tab w:val="left" w:pos="475" w:leader="none"/>
                <w:tab w:val="left" w:pos="670" w:leader="none"/>
                <w:tab w:val="left" w:pos="8640" w:leader="none"/>
              </w:tabs>
              <w:ind w:hanging="0" w:left="12"/>
              <w:jc w:val="both"/>
              <w:rPr>
                <w:sz w:val="22"/>
                <w:szCs w:val="22"/>
              </w:rPr>
            </w:pPr>
            <w:r>
              <w:rPr>
                <w:sz w:val="22"/>
                <w:szCs w:val="22"/>
              </w:rPr>
              <w:t xml:space="preserve">Исполнитель услуг самостоятельно обеспечивает наличие необходимого для выполнения услуг инструмента и приспособлений. Исполнитель услуг должен иметь в собственности или на правах аренды весь необходимый для производства услуг инструмент, оборудование, машины и механизмы. </w:t>
            </w:r>
          </w:p>
          <w:p>
            <w:pPr>
              <w:pStyle w:val="ListParagraph"/>
              <w:numPr>
                <w:ilvl w:val="3"/>
                <w:numId w:val="6"/>
              </w:numPr>
              <w:tabs>
                <w:tab w:val="clear" w:pos="708"/>
                <w:tab w:val="left" w:pos="475" w:leader="none"/>
                <w:tab w:val="left" w:pos="670" w:leader="none"/>
                <w:tab w:val="left" w:pos="8640" w:leader="none"/>
              </w:tabs>
              <w:ind w:hanging="0" w:left="12"/>
              <w:jc w:val="both"/>
              <w:rPr>
                <w:sz w:val="22"/>
                <w:szCs w:val="22"/>
              </w:rPr>
            </w:pPr>
            <w:r>
              <w:rPr>
                <w:sz w:val="22"/>
                <w:szCs w:val="22"/>
              </w:rPr>
              <w:t xml:space="preserve"> </w:t>
            </w:r>
            <w:r>
              <w:rPr>
                <w:sz w:val="22"/>
                <w:szCs w:val="22"/>
              </w:rPr>
              <w:t>Исполнитель услуг обязан соблюдать установленные на предприятии Заказчика противопожарный и внутриобъектовый режимы.</w:t>
            </w:r>
          </w:p>
          <w:p>
            <w:pPr>
              <w:pStyle w:val="ListParagraph"/>
              <w:numPr>
                <w:ilvl w:val="3"/>
                <w:numId w:val="6"/>
              </w:numPr>
              <w:tabs>
                <w:tab w:val="clear" w:pos="708"/>
                <w:tab w:val="left" w:pos="475" w:leader="none"/>
                <w:tab w:val="left" w:pos="670" w:leader="none"/>
                <w:tab w:val="left" w:pos="8640" w:leader="none"/>
              </w:tabs>
              <w:ind w:hanging="0" w:left="12"/>
              <w:jc w:val="both"/>
              <w:rPr>
                <w:sz w:val="22"/>
                <w:szCs w:val="22"/>
              </w:rPr>
            </w:pPr>
            <w:r>
              <w:rPr>
                <w:sz w:val="22"/>
                <w:szCs w:val="22"/>
              </w:rPr>
              <w:t xml:space="preserve">Допуск персонала Исполнителя услуг для выполнения услуг осуществляется после: </w:t>
            </w:r>
          </w:p>
          <w:p>
            <w:pPr>
              <w:pStyle w:val="ListParagraph"/>
              <w:tabs>
                <w:tab w:val="clear" w:pos="708"/>
                <w:tab w:val="left" w:pos="475" w:leader="none"/>
                <w:tab w:val="left" w:pos="670" w:leader="none"/>
                <w:tab w:val="left" w:pos="8640" w:leader="none"/>
              </w:tabs>
              <w:ind w:left="12"/>
              <w:jc w:val="both"/>
              <w:rPr>
                <w:sz w:val="22"/>
                <w:szCs w:val="22"/>
              </w:rPr>
            </w:pPr>
            <w:r>
              <w:rPr>
                <w:sz w:val="22"/>
                <w:szCs w:val="22"/>
              </w:rPr>
              <w:t xml:space="preserve"> </w:t>
            </w:r>
            <w:r>
              <w:rPr>
                <w:sz w:val="22"/>
                <w:szCs w:val="22"/>
              </w:rPr>
              <w:t>- проведения вводного инструктажа в службе охраны труда и пожарного подразделения на территории Филиала (при проведении инструктажей в обязательном порядке наличие протоколов по проверке знаний для всего персонала, выкопировка из трудовых договоров с подтверждением о занимаемой должности и сроках трудоустройства);</w:t>
            </w:r>
          </w:p>
          <w:p>
            <w:pPr>
              <w:pStyle w:val="ListParagraph"/>
              <w:tabs>
                <w:tab w:val="clear" w:pos="708"/>
                <w:tab w:val="left" w:pos="475" w:leader="none"/>
                <w:tab w:val="left" w:pos="670" w:leader="none"/>
                <w:tab w:val="left" w:pos="8640" w:leader="none"/>
              </w:tabs>
              <w:ind w:left="12"/>
              <w:jc w:val="both"/>
              <w:rPr>
                <w:sz w:val="22"/>
                <w:szCs w:val="22"/>
              </w:rPr>
            </w:pPr>
            <w:r>
              <w:rPr>
                <w:sz w:val="22"/>
                <w:szCs w:val="22"/>
              </w:rPr>
              <w:t xml:space="preserve"> </w:t>
            </w:r>
            <w:r>
              <w:rPr>
                <w:sz w:val="22"/>
                <w:szCs w:val="22"/>
              </w:rPr>
              <w:t>-  проведения первичного инструктажа на рабочем месте;</w:t>
            </w:r>
          </w:p>
          <w:p>
            <w:pPr>
              <w:pStyle w:val="Normal"/>
              <w:widowControl w:val="false"/>
              <w:rPr>
                <w:rFonts w:eastAsia="Calibri"/>
                <w:sz w:val="22"/>
              </w:rPr>
            </w:pPr>
            <w:r>
              <w:rPr>
                <w:rFonts w:eastAsia="Calibri" w:cs="Times New Roman"/>
                <w:sz w:val="22"/>
                <w:lang w:eastAsia="ru-RU"/>
              </w:rPr>
              <w:t>7. Проведение испытаний оборудования выполнить в соответствии с программой и с привлечением персонала Заказчика.</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4.1.5.</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rFonts w:eastAsia="Calibri"/>
                <w:sz w:val="22"/>
              </w:rPr>
            </w:pPr>
            <w:r>
              <w:rPr>
                <w:rFonts w:eastAsia="Calibri" w:cs="Times New Roman"/>
                <w:sz w:val="22"/>
                <w:lang w:eastAsia="ru-RU"/>
              </w:rPr>
              <w:t>Организационно-технические мероприятия по допуску персонала Исполнителя</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rFonts w:eastAsia="Calibri"/>
                <w:sz w:val="22"/>
              </w:rPr>
            </w:pPr>
            <w:r>
              <w:rPr>
                <w:sz w:val="22"/>
              </w:rPr>
              <w:t>Допуск персонала Исполнителя для оказания услуг осуществляется в соответствии с Регламентом процесса «Допуск персонала подрядных организаций на объекты ПАО «РусГидро» (утв. приказом ОАО «РусГидро» №300 от 28.04.2023г.)» с обязательным оформлением необходимых нарядов-допусков.</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4.1.6.</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cs="Times New Roman"/>
                <w:sz w:val="22"/>
                <w:lang w:eastAsia="ru-RU"/>
              </w:rPr>
              <w:t>Требование к информационной безопасности</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ListParagraph"/>
              <w:widowControl w:val="false"/>
              <w:tabs>
                <w:tab w:val="clear" w:pos="708"/>
                <w:tab w:val="left" w:pos="475" w:leader="none"/>
                <w:tab w:val="left" w:pos="670" w:leader="none"/>
                <w:tab w:val="left" w:pos="8640" w:leader="none"/>
              </w:tabs>
              <w:ind w:left="12"/>
              <w:jc w:val="both"/>
              <w:rPr>
                <w:rFonts w:cs="" w:cstheme="minorBidi"/>
                <w:sz w:val="22"/>
                <w:szCs w:val="22"/>
                <w:lang w:eastAsia="en-US"/>
              </w:rPr>
            </w:pPr>
            <w:r>
              <w:rPr>
                <w:sz w:val="22"/>
              </w:rPr>
              <w:t>При пересылке файлов не допускается использование открытых файлообменных сервисов.</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4.1.7.</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sz w:val="22"/>
              </w:rPr>
              <w:t>Требования к персоналу Исполнителя оказывающего услугу, непосредственно связанную с обеспечением безопасности объектов топливно-энергетического комплекса</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rFonts w:eastAsia="Calibri"/>
                <w:sz w:val="22"/>
              </w:rPr>
            </w:pPr>
            <w:r>
              <w:rPr>
                <w:rFonts w:eastAsia="Calibri"/>
                <w:sz w:val="22"/>
              </w:rPr>
              <w:t>В соответствии с постановлением Правительства РФ от 09.11.2022 N 2011</w:t>
            </w:r>
          </w:p>
          <w:p>
            <w:pPr>
              <w:pStyle w:val="Normal"/>
              <w:widowControl w:val="false"/>
              <w:rPr>
                <w:rFonts w:eastAsia="Calibri"/>
                <w:sz w:val="22"/>
              </w:rPr>
            </w:pPr>
            <w:r>
              <w:rPr>
                <w:rFonts w:eastAsia="Calibri"/>
                <w:sz w:val="22"/>
              </w:rPr>
              <w:t>"Об утверждении Правил проверки субъектом топливно-энергетического комплекса сведений, указанных в статье 10 Федерального закона "О безопасности объектов топливно-энергетического комплекса", в отношении физических лиц, выполняющих работу, непосредственно связанную с обеспечением безопасности объектов топливно-энергетического комплекса, по трудовым договорам или гражданско-правовым договорам, заключенным с субъектом топливно-энергетического комплекса, и перечня сведений, указанных в статье 10 Федерального закона "О безопасности объектов топливно-энергетического комплекса", представляемых физическими лицами, выполняющими работу, непосредственно связанную с обеспечением безопасности объектов топливно-энергетического комплекса, по трудовым договорам или гражданско-правовым договорам, заключенным с субъектом топливно-энергетического комплекса.</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4.1.8.</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cs="Times New Roman"/>
                <w:sz w:val="22"/>
                <w:lang w:eastAsia="ru-RU"/>
              </w:rPr>
              <w:t>Квалификация персонала исполнителя, привлекаемого к оказанию услуг</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rFonts w:eastAsia="Calibri"/>
                <w:sz w:val="22"/>
              </w:rPr>
            </w:pPr>
            <w:r>
              <w:rPr>
                <w:rFonts w:eastAsia="Calibri"/>
                <w:sz w:val="22"/>
              </w:rPr>
              <w:t>До начала оказания услуг в рамках исполнения договора после его заключения исполнитель предоставляет список персонала с указанием сведений о квалификации персонала, группе по электробезопасности с приложением копий удостоверений на производство специальных видов работ и копий протокола по электробезопасности.</w:t>
            </w:r>
          </w:p>
          <w:p>
            <w:pPr>
              <w:pStyle w:val="Normal"/>
              <w:widowControl w:val="false"/>
              <w:rPr>
                <w:rFonts w:eastAsia="Calibri"/>
                <w:sz w:val="22"/>
              </w:rPr>
            </w:pPr>
            <w:r>
              <w:rPr>
                <w:rFonts w:eastAsia="Calibri"/>
                <w:sz w:val="22"/>
              </w:rPr>
              <w:t>При передаче персональных данных Поставщик обязуется передать Покупателю согласие данных лиц на обработку и передачу их персональных данных.</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4.1.9.</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cs="Times New Roman"/>
                <w:sz w:val="22"/>
                <w:lang w:eastAsia="ru-RU"/>
              </w:rPr>
              <w:t>Результат оказания услуг</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rFonts w:eastAsia="Calibri"/>
                <w:sz w:val="22"/>
              </w:rPr>
            </w:pPr>
            <w:r>
              <w:rPr>
                <w:rFonts w:eastAsia="Calibri"/>
                <w:sz w:val="22"/>
              </w:rPr>
              <w:t>Услуги шефмонтажа считаются выполненными с момента подписания акта сдачи-приемки оказанных услуг.</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4.1.10.</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cs="Times New Roman"/>
                <w:sz w:val="22"/>
                <w:lang w:eastAsia="ru-RU"/>
              </w:rPr>
              <w:t>Документы, передаваемые заказчику по результатам оказанных услуг</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rFonts w:eastAsia="Calibri"/>
                <w:sz w:val="22"/>
              </w:rPr>
            </w:pPr>
            <w:r>
              <w:rPr>
                <w:rFonts w:eastAsia="Calibri"/>
                <w:sz w:val="22"/>
              </w:rPr>
              <w:t>Исполнитель передает заказчику акт сдачи- приемки оказанных услуг в двух экземплярах.</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4.1.11.</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cs="Times New Roman"/>
                <w:sz w:val="22"/>
                <w:lang w:eastAsia="ru-RU"/>
              </w:rPr>
              <w:t>Требования к ответственности и гарантиям исполнителя на услуги по шефмонтажу</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rPr>
                <w:rFonts w:eastAsia="Calibri"/>
                <w:sz w:val="22"/>
              </w:rPr>
            </w:pPr>
            <w:r>
              <w:rPr>
                <w:rFonts w:eastAsia="Calibri"/>
                <w:sz w:val="22"/>
              </w:rPr>
              <w:t>Гарантийный срок на результат услуг по шефмонтажу должен составлять 36 (тридцать шесть) месяцев с даты подписания акта сдачи-приемки оказанных услуг и ввода Продукции в эксплуатацию, но не более 48 (сорока восьми) месяцев с даты подписания Сторонами товарной накладной по форме ТОРГ-12 или Универсального передаточного документа (УПД). Установленный в отношении Продукции Гарантийный срок распространяется на все составные части и комплектующие Продукции.</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sz w:val="22"/>
              </w:rPr>
            </w:pPr>
            <w:r>
              <w:rPr>
                <w:b/>
                <w:bCs/>
                <w:color w:val="000000"/>
                <w:sz w:val="22"/>
              </w:rPr>
              <w:t>Требования к шефналадке</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4.2.1.</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sz w:val="22"/>
              </w:rPr>
            </w:pPr>
            <w:r>
              <w:rPr>
                <w:rFonts w:eastAsia="Calibri"/>
                <w:sz w:val="22"/>
              </w:rPr>
              <w:t>Стоимость сопутствующих услуг по шефналадке должна быть включена в стоимость оборудования.</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4.2.2.</w:t>
            </w:r>
          </w:p>
        </w:tc>
        <w:tc>
          <w:tcPr>
            <w:tcW w:w="2836"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rFonts w:eastAsia="Calibri"/>
                <w:sz w:val="22"/>
              </w:rPr>
            </w:pPr>
            <w:r>
              <w:rPr>
                <w:rFonts w:eastAsia="Calibri"/>
                <w:sz w:val="22"/>
              </w:rPr>
              <w:t>Место оказания услуг по шеф-наладке</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rFonts w:eastAsia="Calibri"/>
                <w:sz w:val="22"/>
              </w:rPr>
            </w:pPr>
            <w:r>
              <w:rPr>
                <w:sz w:val="22"/>
              </w:rPr>
              <w:t xml:space="preserve">Партия №1 в соответствии с табл.1.1 - </w:t>
            </w:r>
            <w:r>
              <w:rPr>
                <w:rFonts w:eastAsia="Calibri"/>
                <w:sz w:val="22"/>
              </w:rPr>
              <w:t>Рыбинская ГЭС – 152917, Российская Федерация, Ярославская область, г. Рыбинск, ул. Вяземского д.31.</w:t>
            </w:r>
          </w:p>
          <w:p>
            <w:pPr>
              <w:pStyle w:val="Normal"/>
              <w:widowControl w:val="false"/>
              <w:jc w:val="both"/>
              <w:rPr>
                <w:rFonts w:eastAsia="Calibri"/>
                <w:sz w:val="22"/>
              </w:rPr>
            </w:pPr>
            <w:r>
              <w:rPr>
                <w:rFonts w:eastAsia="Calibri"/>
                <w:sz w:val="22"/>
              </w:rPr>
              <w:t xml:space="preserve">Партия №2 </w:t>
            </w:r>
            <w:r>
              <w:rPr>
                <w:sz w:val="22"/>
              </w:rPr>
              <w:t xml:space="preserve">в соответствии с табл.1.1 - </w:t>
            </w:r>
            <w:r>
              <w:rPr/>
              <w:t xml:space="preserve"> </w:t>
            </w:r>
            <w:r>
              <w:rPr>
                <w:sz w:val="22"/>
              </w:rPr>
              <w:t xml:space="preserve">ВСП №2 </w:t>
            </w:r>
            <w:r>
              <w:rPr>
                <w:rFonts w:eastAsia="Calibri"/>
                <w:sz w:val="22"/>
              </w:rPr>
              <w:t>Рыбинской ГЭС – 152917, Российская Федерация, Ярославская область, г. Рыбинск, ул. Вяземского д.31.</w:t>
            </w:r>
          </w:p>
          <w:p>
            <w:pPr>
              <w:pStyle w:val="Normal"/>
              <w:widowControl w:val="false"/>
              <w:jc w:val="both"/>
              <w:rPr>
                <w:rFonts w:eastAsia="Calibri"/>
                <w:sz w:val="22"/>
              </w:rPr>
            </w:pPr>
            <w:r>
              <w:rPr>
                <w:rFonts w:eastAsia="Calibri"/>
                <w:sz w:val="22"/>
              </w:rPr>
              <w:t>Партия №3 в соответствии с табл.1.1 - Угличская ГЭС – 152615, Российская Федерация, Ярославская область, г. Углич, ул. Спасская д. 33.</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4.2.3.</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rFonts w:eastAsia="Calibri"/>
                <w:sz w:val="22"/>
              </w:rPr>
            </w:pPr>
            <w:r>
              <w:rPr>
                <w:rFonts w:eastAsia="Calibri"/>
                <w:sz w:val="22"/>
              </w:rPr>
              <w:t>Соблюдение при оказании услуг норм и правил нормативно-технических документов</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rFonts w:eastAsia="Calibri"/>
                <w:sz w:val="22"/>
              </w:rPr>
            </w:pPr>
            <w:r>
              <w:rPr>
                <w:rFonts w:eastAsia="Calibri"/>
                <w:sz w:val="22"/>
              </w:rPr>
              <w:t>При оказании услуг Исполнитель должен руководствоваться следующими национальными, отраслевыми и корпоративными нормативно-техническими документами (НТД):</w:t>
            </w:r>
          </w:p>
          <w:p>
            <w:pPr>
              <w:pStyle w:val="ListParagraph"/>
              <w:widowControl w:val="false"/>
              <w:numPr>
                <w:ilvl w:val="0"/>
                <w:numId w:val="11"/>
              </w:numPr>
              <w:rPr>
                <w:sz w:val="22"/>
              </w:rPr>
            </w:pPr>
            <w:r>
              <w:rPr>
                <w:sz w:val="22"/>
              </w:rPr>
              <w:t xml:space="preserve">Постановление Правительства РФ от 16.09.2020 №1479. "Правила противопожарного режима в Российской Федерации"; </w:t>
            </w:r>
          </w:p>
          <w:p>
            <w:pPr>
              <w:pStyle w:val="ListParagraph"/>
              <w:widowControl w:val="false"/>
              <w:numPr>
                <w:ilvl w:val="0"/>
                <w:numId w:val="11"/>
              </w:numPr>
              <w:rPr>
                <w:sz w:val="22"/>
              </w:rPr>
            </w:pPr>
            <w:r>
              <w:rPr>
                <w:sz w:val="22"/>
              </w:rPr>
              <w:t>СО 153-34.03.305-2003 «Инструкция о мерах пожарной безопасности при проведении огневых работ на энергетических предприятиях»;</w:t>
            </w:r>
          </w:p>
          <w:p>
            <w:pPr>
              <w:pStyle w:val="ListParagraph"/>
              <w:widowControl w:val="false"/>
              <w:numPr>
                <w:ilvl w:val="0"/>
                <w:numId w:val="11"/>
              </w:numPr>
              <w:rPr>
                <w:sz w:val="22"/>
              </w:rPr>
            </w:pPr>
            <w:r>
              <w:rPr>
                <w:sz w:val="22"/>
              </w:rPr>
              <w:t>Межотраслевые правила по охране труда при работе на высоте (Приказ от 16 ноября 2020 года №782н);</w:t>
            </w:r>
          </w:p>
          <w:p>
            <w:pPr>
              <w:pStyle w:val="ListParagraph"/>
              <w:widowControl w:val="false"/>
              <w:numPr>
                <w:ilvl w:val="0"/>
                <w:numId w:val="11"/>
              </w:numPr>
              <w:rPr>
                <w:sz w:val="22"/>
              </w:rPr>
            </w:pPr>
            <w:r>
              <w:rPr>
                <w:sz w:val="22"/>
              </w:rPr>
              <w:t>Приказ Минтруда и социальной защиты Российской Федерации от 15 декабря 2020 года N 903н об утверждении Правил по охране труда при эксплуатации электроустановок;</w:t>
            </w:r>
          </w:p>
          <w:p>
            <w:pPr>
              <w:pStyle w:val="ListParagraph"/>
              <w:widowControl w:val="false"/>
              <w:numPr>
                <w:ilvl w:val="0"/>
                <w:numId w:val="11"/>
              </w:numPr>
              <w:rPr>
                <w:sz w:val="22"/>
              </w:rPr>
            </w:pPr>
            <w:r>
              <w:rPr>
                <w:sz w:val="22"/>
              </w:rPr>
              <w:t xml:space="preserve">Приказ Минтруда России от 27.11.2020 N 833н "Об утверждении Правил по охране труда при размещении, монтаже, техническом обслуживании и ремонте технологического оборудования" (Зарегистрировано в Минюсте России 11.12.2020 N 61413); </w:t>
            </w:r>
          </w:p>
          <w:p>
            <w:pPr>
              <w:pStyle w:val="ListParagraph"/>
              <w:widowControl w:val="false"/>
              <w:numPr>
                <w:ilvl w:val="0"/>
                <w:numId w:val="11"/>
              </w:numPr>
              <w:rPr>
                <w:sz w:val="22"/>
              </w:rPr>
            </w:pPr>
            <w:r>
              <w:rPr>
                <w:sz w:val="22"/>
              </w:rPr>
              <w:t xml:space="preserve">Приказ Минтруда России от 27.11.2020 N 835н "Об утверждении Правил по охране труда при работе с инструментом и приспособлениями" (Зарегистрировано в Минюсте России 11.12.2020 N 61411); </w:t>
            </w:r>
          </w:p>
          <w:p>
            <w:pPr>
              <w:pStyle w:val="ListParagraph"/>
              <w:widowControl w:val="false"/>
              <w:numPr>
                <w:ilvl w:val="0"/>
                <w:numId w:val="11"/>
              </w:numPr>
              <w:rPr>
                <w:sz w:val="22"/>
              </w:rPr>
            </w:pPr>
            <w:r>
              <w:rPr>
                <w:sz w:val="22"/>
              </w:rPr>
              <w:t>Правила по охране труда при погрузочно-разгрузочных работах и размещении грузов, утвержденными приказом Минтруда РФ от 28.10.2020 № 753н;</w:t>
            </w:r>
          </w:p>
          <w:p>
            <w:pPr>
              <w:pStyle w:val="ListParagraph"/>
              <w:widowControl w:val="false"/>
              <w:numPr>
                <w:ilvl w:val="0"/>
                <w:numId w:val="11"/>
              </w:numPr>
              <w:rPr>
                <w:sz w:val="22"/>
              </w:rPr>
            </w:pPr>
            <w:r>
              <w:rPr>
                <w:sz w:val="22"/>
              </w:rPr>
              <w:t>Правила по охране труда при выполнении электросварочных и газосварочных работ, утвержденными приказом Минтруда РФ от      11 декабря 2020 г. № 884н;</w:t>
            </w:r>
          </w:p>
          <w:p>
            <w:pPr>
              <w:pStyle w:val="ListParagraph"/>
              <w:widowControl w:val="false"/>
              <w:numPr>
                <w:ilvl w:val="0"/>
                <w:numId w:val="11"/>
              </w:numPr>
              <w:rPr>
                <w:sz w:val="22"/>
              </w:rPr>
            </w:pPr>
            <w:r>
              <w:rPr>
                <w:sz w:val="22"/>
              </w:rPr>
              <w:t>Правила по охране труда при эксплуатации электроустановок, утвержденными приказом Минтруда РФ 15.12.2020 № 903н;</w:t>
            </w:r>
          </w:p>
          <w:p>
            <w:pPr>
              <w:pStyle w:val="ListParagraph"/>
              <w:widowControl w:val="false"/>
              <w:numPr>
                <w:ilvl w:val="0"/>
                <w:numId w:val="11"/>
              </w:numPr>
              <w:rPr>
                <w:sz w:val="22"/>
              </w:rPr>
            </w:pPr>
            <w:r>
              <w:rPr>
                <w:sz w:val="22"/>
              </w:rPr>
              <w:t>Правила по охране труда при размещении, монтаже, техническом обслуживании и ремонте технологического оборудования, утвержденными приказом Минтруда от 27.11.2020 № 833н.</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4.2.4.</w:t>
            </w:r>
          </w:p>
        </w:tc>
        <w:tc>
          <w:tcPr>
            <w:tcW w:w="2836"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sz w:val="22"/>
              </w:rPr>
            </w:pPr>
            <w:r>
              <w:rPr>
                <w:rFonts w:eastAsia="Calibri"/>
                <w:sz w:val="22"/>
              </w:rPr>
              <w:t>Требование к порядку оказания услуг</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tabs>
                <w:tab w:val="clear" w:pos="708"/>
                <w:tab w:val="left" w:pos="475" w:leader="none"/>
                <w:tab w:val="left" w:pos="670" w:leader="none"/>
                <w:tab w:val="left" w:pos="8640" w:leader="none"/>
              </w:tabs>
              <w:jc w:val="both"/>
              <w:rPr>
                <w:sz w:val="22"/>
              </w:rPr>
            </w:pPr>
            <w:r>
              <w:rPr>
                <w:sz w:val="22"/>
              </w:rPr>
              <w:t xml:space="preserve">Исполнитель услуг разрабатывает программу ПНР, согласовывает и утверждает её с Заказчиком. Исполнитель услуг предоставляет на согласование Заказчику программу официальным письмом. Исполнитель услуг, получив замечания, в течение 3 рабочих дней устраняет замечания и направляет официальным письмом на повторное согласование. </w:t>
            </w:r>
          </w:p>
          <w:p>
            <w:pPr>
              <w:pStyle w:val="Normal"/>
              <w:jc w:val="both"/>
              <w:rPr>
                <w:rFonts w:eastAsia="Calibri" w:cs="Times New Roman"/>
                <w:sz w:val="22"/>
                <w:lang w:eastAsia="ru-RU"/>
              </w:rPr>
            </w:pPr>
            <w:r>
              <w:rPr>
                <w:rFonts w:eastAsia="Calibri" w:cs="Times New Roman"/>
                <w:sz w:val="22"/>
                <w:lang w:eastAsia="ru-RU"/>
              </w:rPr>
              <w:t>Шефналадочные услуги включают в себя:</w:t>
            </w:r>
          </w:p>
          <w:p>
            <w:pPr>
              <w:pStyle w:val="ListParagraph"/>
              <w:numPr>
                <w:ilvl w:val="0"/>
                <w:numId w:val="8"/>
              </w:numPr>
              <w:jc w:val="both"/>
              <w:rPr>
                <w:sz w:val="22"/>
              </w:rPr>
            </w:pPr>
            <w:r>
              <w:rPr>
                <w:sz w:val="22"/>
              </w:rPr>
              <w:t>Техническое сопровождение на этапе наладки и пуска в эксплуатацию оборудования;</w:t>
            </w:r>
          </w:p>
          <w:p>
            <w:pPr>
              <w:pStyle w:val="Normal"/>
              <w:jc w:val="both"/>
              <w:rPr>
                <w:rFonts w:eastAsia="Calibri" w:cs="Times New Roman"/>
                <w:sz w:val="22"/>
                <w:lang w:eastAsia="ru-RU"/>
              </w:rPr>
            </w:pPr>
            <w:r>
              <w:rPr>
                <w:rFonts w:eastAsia="Calibri" w:cs="Times New Roman"/>
                <w:sz w:val="22"/>
                <w:lang w:eastAsia="ru-RU"/>
              </w:rPr>
              <w:t>-    Осмотр, проверка и контроль подключения оборудования;</w:t>
            </w:r>
          </w:p>
          <w:p>
            <w:pPr>
              <w:pStyle w:val="Normal"/>
              <w:jc w:val="both"/>
              <w:rPr>
                <w:rFonts w:eastAsia="Calibri" w:cs="Times New Roman"/>
                <w:sz w:val="22"/>
                <w:lang w:eastAsia="ru-RU"/>
              </w:rPr>
            </w:pPr>
            <w:r>
              <w:rPr>
                <w:rFonts w:eastAsia="Calibri" w:cs="Times New Roman"/>
                <w:sz w:val="22"/>
                <w:lang w:eastAsia="ru-RU"/>
              </w:rPr>
              <w:t>- Проверки, при необходимости настройка рабочих параметров оборудования согласно проектной и конструкторской документации;</w:t>
            </w:r>
          </w:p>
          <w:p>
            <w:pPr>
              <w:pStyle w:val="Normal"/>
              <w:jc w:val="both"/>
              <w:rPr>
                <w:rFonts w:eastAsia="Calibri" w:cs="Times New Roman"/>
                <w:sz w:val="22"/>
                <w:lang w:eastAsia="ru-RU"/>
              </w:rPr>
            </w:pPr>
            <w:r>
              <w:rPr>
                <w:rFonts w:eastAsia="Calibri" w:cs="Times New Roman"/>
                <w:sz w:val="22"/>
                <w:lang w:eastAsia="ru-RU"/>
              </w:rPr>
              <w:t>- Устранение замечаний Заказчика;</w:t>
            </w:r>
          </w:p>
          <w:p>
            <w:pPr>
              <w:pStyle w:val="Normal"/>
              <w:jc w:val="both"/>
              <w:rPr>
                <w:rFonts w:eastAsia="Calibri" w:cs="Times New Roman"/>
                <w:sz w:val="22"/>
                <w:lang w:eastAsia="ru-RU"/>
              </w:rPr>
            </w:pPr>
            <w:r>
              <w:rPr>
                <w:rFonts w:eastAsia="Calibri" w:cs="Times New Roman"/>
                <w:sz w:val="22"/>
                <w:lang w:eastAsia="ru-RU"/>
              </w:rPr>
              <w:t>-  Инструктаж персонала Заказчика по технике безопасности с безопасными методами обслуживания, параметрирования и эксплуатации оборудования.</w:t>
            </w:r>
          </w:p>
          <w:p>
            <w:pPr>
              <w:pStyle w:val="Normal"/>
              <w:jc w:val="both"/>
              <w:rPr>
                <w:rFonts w:eastAsia="Calibri" w:cs="Times New Roman"/>
                <w:sz w:val="22"/>
                <w:lang w:eastAsia="ru-RU"/>
              </w:rPr>
            </w:pPr>
            <w:r>
              <w:rPr>
                <w:rFonts w:eastAsia="Calibri" w:cs="Times New Roman"/>
                <w:sz w:val="22"/>
                <w:lang w:eastAsia="ru-RU"/>
              </w:rPr>
              <w:t xml:space="preserve">   </w:t>
            </w:r>
            <w:r>
              <w:rPr>
                <w:rFonts w:eastAsia="Calibri" w:cs="Times New Roman"/>
                <w:sz w:val="22"/>
                <w:lang w:eastAsia="ru-RU"/>
              </w:rPr>
              <w:t>По завершению оказания услуг оборудование должно быть полностью готово к последующему вводу в эксплуатацию без дополнительных затрат со стороны Заказчика.</w:t>
            </w:r>
          </w:p>
          <w:p>
            <w:pPr>
              <w:pStyle w:val="Normal"/>
              <w:widowControl w:val="false"/>
              <w:rPr/>
            </w:pPr>
            <w:r>
              <w:rPr>
                <w:rFonts w:eastAsia="Calibri" w:cs="Times New Roman"/>
                <w:sz w:val="22"/>
                <w:lang w:eastAsia="ru-RU"/>
              </w:rPr>
              <w:t xml:space="preserve">  </w:t>
            </w:r>
            <w:r>
              <w:rPr>
                <w:rFonts w:eastAsia="Calibri" w:cs="Times New Roman"/>
                <w:sz w:val="22"/>
                <w:lang w:eastAsia="ru-RU"/>
              </w:rPr>
              <w:t>Оказание услуг подтверждается подписанием Сторонами Акта оказания сопутствующих услуг (с нулевой ценой).</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4.2.5.</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rFonts w:eastAsia="Calibri"/>
                <w:sz w:val="22"/>
              </w:rPr>
            </w:pPr>
            <w:r>
              <w:rPr>
                <w:rFonts w:eastAsia="Calibri" w:cs="Times New Roman"/>
                <w:sz w:val="22"/>
                <w:lang w:eastAsia="ru-RU"/>
              </w:rPr>
              <w:t>Организационно-технические мероприятия по допуску персонала Исполнителя</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jc w:val="both"/>
              <w:rPr>
                <w:rFonts w:eastAsia="Calibri" w:cs="Times New Roman"/>
                <w:szCs w:val="24"/>
                <w:lang w:eastAsia="ru-RU"/>
              </w:rPr>
            </w:pPr>
            <w:r>
              <w:rPr>
                <w:rFonts w:eastAsia="Calibri" w:cs="Times New Roman"/>
                <w:sz w:val="22"/>
                <w:lang w:eastAsia="ru-RU"/>
              </w:rPr>
              <w:t>Допуск персонала Исполнителя для оказания услуг осуществляется в соответствии с Регламентом процесса «Допуск персонала подрядных организаций на объекты ПАО «РусГидро» (утв. приказом ОАО «РусГидро» №300 от 28.04.2023г.)» с обязательным оформлением необходимых нарядов-допусков.</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4.2.6.</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jc w:val="both"/>
              <w:rPr>
                <w:rFonts w:eastAsia="Calibri" w:cs="Times New Roman"/>
                <w:sz w:val="22"/>
                <w:lang w:eastAsia="ru-RU"/>
              </w:rPr>
            </w:pPr>
            <w:r>
              <w:rPr>
                <w:rFonts w:eastAsia="Calibri"/>
                <w:sz w:val="22"/>
              </w:rPr>
              <w:t>Требование к информационной безопасности</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jc w:val="both"/>
              <w:rPr>
                <w:rFonts w:eastAsia="Calibri" w:cs="Times New Roman"/>
                <w:sz w:val="22"/>
                <w:lang w:eastAsia="ru-RU"/>
              </w:rPr>
            </w:pPr>
            <w:r>
              <w:rPr>
                <w:rFonts w:eastAsia="Calibri" w:cs="Times New Roman"/>
                <w:sz w:val="22"/>
                <w:lang w:eastAsia="ru-RU"/>
              </w:rPr>
              <w:t>При пересылке файлов не допускается использование открытых файлообменных сервисов.</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4.2.7.</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rFonts w:eastAsia="Calibri"/>
                <w:sz w:val="22"/>
              </w:rPr>
            </w:pPr>
            <w:r>
              <w:rPr>
                <w:rFonts w:eastAsia="Calibri"/>
                <w:sz w:val="22"/>
              </w:rPr>
              <w:t>Требования к персоналу Исполнителя оказывающего услугу, непосредственно связанную с обеспечением безопасности объектов топливно-энергетического комплекса</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jc w:val="both"/>
              <w:rPr>
                <w:rFonts w:eastAsia="Calibri" w:cs="Times New Roman"/>
                <w:sz w:val="22"/>
                <w:lang w:eastAsia="ru-RU"/>
              </w:rPr>
            </w:pPr>
            <w:r>
              <w:rPr>
                <w:rFonts w:eastAsia="Calibri" w:cs="Times New Roman"/>
                <w:sz w:val="22"/>
                <w:lang w:eastAsia="ru-RU"/>
              </w:rPr>
              <w:t>В соответствии с постановлением Правительства РФ от 09.11.2022 N 2011</w:t>
            </w:r>
          </w:p>
          <w:p>
            <w:pPr>
              <w:pStyle w:val="Normal"/>
              <w:widowControl w:val="false"/>
              <w:jc w:val="both"/>
              <w:rPr>
                <w:sz w:val="14"/>
                <w:szCs w:val="14"/>
              </w:rPr>
            </w:pPr>
            <w:r>
              <w:rPr>
                <w:rFonts w:eastAsia="Calibri" w:cs="Times New Roman"/>
                <w:sz w:val="22"/>
                <w:lang w:eastAsia="ru-RU"/>
              </w:rPr>
              <w:t>"Об утверждении Правил проверки субъектом топливно-энергетического комплекса сведений, указанных в статье 10 Федерального закона "О безопасности объектов топливно-энергетического комплекса", в отношении физических лиц, выполняющих работу, непосредственно связанную с обеспечением безопасности объектов топливно-энергетического комплекса, по трудовым договорам или гражданско-правовым договорам, заключенным с субъектом топливно-энергетического комплекса, и перечня сведений, указанных в статье 10 Федерального закона "О безопасности объектов топливно-энергетического комплекса", представляемых физическими лицами, выполняющими работу, непосредственно связанную с обеспечением безопасности объектов топливно-энергетического комплекса, по трудовым договорам или гражданско-правовым договорам, заключенным с субъектом топливно-энергетического комплекса.</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4.2.8.</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rFonts w:eastAsia="Calibri"/>
                <w:sz w:val="22"/>
              </w:rPr>
            </w:pPr>
            <w:r>
              <w:rPr>
                <w:rFonts w:eastAsia="Calibri"/>
                <w:sz w:val="22"/>
              </w:rPr>
              <w:t>Квалификация персонала исполнителя, привлекаемого к оказанию услуг</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jc w:val="both"/>
              <w:rPr>
                <w:rFonts w:eastAsia="Calibri" w:cs="Times New Roman"/>
                <w:sz w:val="22"/>
                <w:lang w:eastAsia="ru-RU"/>
              </w:rPr>
            </w:pPr>
            <w:r>
              <w:rPr>
                <w:rFonts w:eastAsia="Calibri" w:cs="Times New Roman"/>
                <w:sz w:val="22"/>
                <w:lang w:eastAsia="ru-RU"/>
              </w:rPr>
              <w:t>До начала оказания услуг в рамках исполнения договора после его заключения исполнитель предоставляет список персонала с указанием сведений о квалификации персонала, группе по электробезопасности с приложением копий удостоверений на производство специальных видов работ и копий протокола по электробезопасности.</w:t>
            </w:r>
          </w:p>
          <w:p>
            <w:pPr>
              <w:pStyle w:val="Normal"/>
              <w:widowControl w:val="false"/>
              <w:jc w:val="both"/>
              <w:rPr>
                <w:rFonts w:eastAsia="Calibri" w:cs="Times New Roman"/>
                <w:sz w:val="22"/>
                <w:lang w:eastAsia="ru-RU"/>
              </w:rPr>
            </w:pPr>
            <w:r>
              <w:rPr>
                <w:rFonts w:eastAsia="Calibri"/>
                <w:sz w:val="22"/>
              </w:rPr>
              <w:t>При передаче персональных данных Поставщик обязуется передать Покупателю согласие данных лиц на обработку и передачу их персональных данных.</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4.2.9.</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rFonts w:eastAsia="Calibri"/>
                <w:sz w:val="22"/>
              </w:rPr>
            </w:pPr>
            <w:r>
              <w:rPr>
                <w:rFonts w:eastAsia="Calibri"/>
                <w:sz w:val="22"/>
              </w:rPr>
              <w:t>Результат оказания услуг</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sz w:val="22"/>
              </w:rPr>
              <w:t xml:space="preserve">Услуги шефналадки считаются выполненными с момента </w:t>
            </w:r>
            <w:r>
              <w:rPr>
                <w:rFonts w:eastAsia="Calibri" w:cs="Times New Roman"/>
                <w:sz w:val="22"/>
                <w:lang w:eastAsia="ru-RU"/>
              </w:rPr>
              <w:t xml:space="preserve">сдачи оборудования в эксплуатацию и </w:t>
            </w:r>
            <w:r>
              <w:rPr>
                <w:rFonts w:eastAsia="Calibri"/>
                <w:sz w:val="22"/>
              </w:rPr>
              <w:t>подписания акта сдачи-приемки оказанных услуг.</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4.2.10.</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rFonts w:eastAsia="Calibri"/>
                <w:sz w:val="22"/>
              </w:rPr>
            </w:pPr>
            <w:r>
              <w:rPr>
                <w:rFonts w:eastAsia="Calibri"/>
                <w:sz w:val="22"/>
              </w:rPr>
              <w:t>Документы, передаваемые заказчику по результатам оказанных услуг</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cs="Times New Roman"/>
                <w:sz w:val="22"/>
                <w:lang w:eastAsia="ru-RU"/>
              </w:rPr>
              <w:t xml:space="preserve">Исполнитель передает заказчику акт </w:t>
            </w:r>
            <w:r>
              <w:rPr>
                <w:rFonts w:eastAsia="Calibri"/>
                <w:sz w:val="22"/>
              </w:rPr>
              <w:t>сдачи-приемки оказанных услуг</w:t>
            </w:r>
            <w:r>
              <w:rPr>
                <w:rFonts w:eastAsia="Calibri" w:cs="Times New Roman"/>
                <w:sz w:val="22"/>
                <w:lang w:eastAsia="ru-RU"/>
              </w:rPr>
              <w:t xml:space="preserve"> в двух экземплярах.</w:t>
            </w:r>
          </w:p>
        </w:tc>
      </w:tr>
      <w:tr>
        <w:trPr>
          <w:trHeight w:val="172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sz w:val="22"/>
                <w:lang w:val="en-US"/>
              </w:rPr>
              <w:t>4.2.11.</w:t>
            </w:r>
          </w:p>
        </w:tc>
        <w:tc>
          <w:tcPr>
            <w:tcW w:w="2836" w:type="dxa"/>
            <w:tcBorders>
              <w:top w:val="single" w:sz="6" w:space="0" w:color="000000"/>
              <w:left w:val="single" w:sz="6" w:space="0" w:color="000000"/>
              <w:bottom w:val="single" w:sz="6" w:space="0" w:color="000000"/>
              <w:right w:val="single" w:sz="6" w:space="0" w:color="000000"/>
            </w:tcBorders>
            <w:shd w:color="auto" w:fill="auto" w:val="clear"/>
          </w:tcPr>
          <w:p>
            <w:pPr>
              <w:pStyle w:val="Normal"/>
              <w:widowControl w:val="false"/>
              <w:rPr>
                <w:rFonts w:eastAsia="Calibri"/>
                <w:sz w:val="22"/>
              </w:rPr>
            </w:pPr>
            <w:r>
              <w:rPr>
                <w:rFonts w:eastAsia="Calibri"/>
                <w:sz w:val="22"/>
              </w:rPr>
              <w:t>Требования к ответственности и гарантиям исполнителя на услуги по шеф-наладке</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tcPr>
          <w:p>
            <w:pPr>
              <w:pStyle w:val="Normal"/>
              <w:widowControl w:val="false"/>
              <w:suppressAutoHyphens w:val="false"/>
              <w:rPr>
                <w:rFonts w:eastAsia="Calibri" w:cs="Times New Roman"/>
                <w:sz w:val="22"/>
                <w:lang w:eastAsia="ru-RU"/>
              </w:rPr>
            </w:pPr>
            <w:r>
              <w:rPr>
                <w:rFonts w:eastAsia="Calibri"/>
                <w:sz w:val="22"/>
              </w:rPr>
              <w:t>Гарантийный срок на результат услуг по шефналадке должен составлять 36 (тридцать шесть) месяцев с даты подписания акта сдачи-приемки оказанных услуг и ввода Продукции в эксплуатацию, но не более 48 (сорока восьми) месяцев с даты подписания Сторонами товарной накладной по форме ТОРГ-12 или Универсального передаточного документа (УПД). Установленный в отношении Продукции Гарантийный срок распространяется на все составные части и комплектующие Продукции.</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rFonts w:eastAsia="Calibri"/>
                <w:sz w:val="22"/>
                <w:lang w:val="en-US"/>
              </w:rPr>
            </w:pPr>
            <w:r>
              <w:rPr>
                <w:rFonts w:eastAsia="Calibri"/>
                <w:b/>
                <w:sz w:val="22"/>
              </w:rPr>
              <w:t>5.</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rFonts w:eastAsia="Calibri"/>
                <w:b/>
                <w:sz w:val="22"/>
              </w:rPr>
              <w:t>Требования к комплектации и документам, поставляемым вместе с продукцией</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pPr>
            <w:r>
              <w:rPr>
                <w:rFonts w:eastAsia="Calibri"/>
                <w:sz w:val="22"/>
                <w:lang w:val="en-US"/>
              </w:rPr>
              <w:t>5</w:t>
            </w:r>
            <w:r>
              <w:rPr>
                <w:rFonts w:eastAsia="Calibri"/>
                <w:sz w:val="22"/>
              </w:rPr>
              <w:t>.1</w:t>
            </w:r>
            <w:r>
              <w:rPr>
                <w:rFonts w:eastAsia="Calibri"/>
                <w:sz w:val="22"/>
                <w:lang w:val="en-US"/>
              </w:rPr>
              <w:t>.</w:t>
            </w:r>
          </w:p>
        </w:tc>
        <w:tc>
          <w:tcPr>
            <w:tcW w:w="2836"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widowControl w:val="false"/>
              <w:rPr/>
            </w:pPr>
            <w:r>
              <w:rPr>
                <w:rFonts w:eastAsia="Calibri"/>
                <w:sz w:val="22"/>
              </w:rPr>
              <w:t>Документы, передаваемые вместе с продукцией</w:t>
            </w:r>
          </w:p>
        </w:tc>
        <w:tc>
          <w:tcPr>
            <w:tcW w:w="10773" w:type="dxa"/>
            <w:gridSpan w:val="3"/>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shd w:val="clear" w:color="auto" w:fill="FFFFFF"/>
              <w:tabs>
                <w:tab w:val="clear" w:pos="708"/>
                <w:tab w:val="left" w:pos="900" w:leader="none"/>
                <w:tab w:val="left" w:pos="1134" w:leader="none"/>
                <w:tab w:val="left" w:pos="1276" w:leader="none"/>
              </w:tabs>
              <w:suppressAutoHyphens w:val="false"/>
              <w:jc w:val="both"/>
              <w:rPr>
                <w:rFonts w:eastAsia="Calibri"/>
                <w:sz w:val="22"/>
              </w:rPr>
            </w:pPr>
            <w:r>
              <w:rPr>
                <w:rFonts w:eastAsia="Calibri"/>
                <w:sz w:val="22"/>
              </w:rPr>
              <w:t>Поставщик обязан одновременно с передачей продукции передать Покупателю относящиеся к нему документы, оформленные надлежащим образом:</w:t>
            </w:r>
          </w:p>
          <w:p>
            <w:pPr>
              <w:pStyle w:val="Normal"/>
              <w:widowControl w:val="false"/>
              <w:numPr>
                <w:ilvl w:val="0"/>
                <w:numId w:val="12"/>
              </w:numPr>
              <w:shd w:val="clear" w:color="auto" w:fill="FFFFFF"/>
              <w:tabs>
                <w:tab w:val="clear" w:pos="708"/>
                <w:tab w:val="left" w:pos="0" w:leader="none"/>
                <w:tab w:val="left" w:pos="900" w:leader="none"/>
                <w:tab w:val="left" w:pos="1134" w:leader="none"/>
                <w:tab w:val="left" w:pos="1276" w:leader="none"/>
              </w:tabs>
              <w:suppressAutoHyphens w:val="false"/>
              <w:ind w:firstLine="567" w:left="0"/>
              <w:jc w:val="both"/>
              <w:rPr>
                <w:rFonts w:eastAsia="Calibri"/>
                <w:sz w:val="22"/>
              </w:rPr>
            </w:pPr>
            <w:r>
              <w:rPr>
                <w:rFonts w:eastAsia="Calibri"/>
                <w:sz w:val="22"/>
              </w:rPr>
              <w:t>Паспорт качества в 2 экз.;</w:t>
            </w:r>
          </w:p>
          <w:p>
            <w:pPr>
              <w:pStyle w:val="Normal"/>
              <w:widowControl w:val="false"/>
              <w:numPr>
                <w:ilvl w:val="0"/>
                <w:numId w:val="12"/>
              </w:numPr>
              <w:shd w:val="clear" w:color="auto" w:fill="FFFFFF"/>
              <w:tabs>
                <w:tab w:val="clear" w:pos="708"/>
                <w:tab w:val="left" w:pos="0" w:leader="none"/>
                <w:tab w:val="left" w:pos="900" w:leader="none"/>
                <w:tab w:val="left" w:pos="1134" w:leader="none"/>
                <w:tab w:val="left" w:pos="1276" w:leader="none"/>
              </w:tabs>
              <w:suppressAutoHyphens w:val="false"/>
              <w:ind w:firstLine="567" w:left="0"/>
              <w:jc w:val="both"/>
              <w:rPr>
                <w:rFonts w:eastAsia="Calibri"/>
                <w:sz w:val="22"/>
              </w:rPr>
            </w:pPr>
            <w:r>
              <w:rPr>
                <w:rFonts w:eastAsia="Calibri"/>
                <w:sz w:val="22"/>
              </w:rPr>
              <w:t>Сертификат соответствия (декларация соответствия) в 2 экз.;</w:t>
            </w:r>
          </w:p>
          <w:p>
            <w:pPr>
              <w:pStyle w:val="Normal"/>
              <w:widowControl w:val="false"/>
              <w:numPr>
                <w:ilvl w:val="0"/>
                <w:numId w:val="12"/>
              </w:numPr>
              <w:shd w:val="clear" w:color="auto" w:fill="FFFFFF"/>
              <w:tabs>
                <w:tab w:val="clear" w:pos="708"/>
                <w:tab w:val="left" w:pos="0" w:leader="none"/>
                <w:tab w:val="left" w:pos="900" w:leader="none"/>
                <w:tab w:val="left" w:pos="1134" w:leader="none"/>
                <w:tab w:val="left" w:pos="1276" w:leader="none"/>
              </w:tabs>
              <w:suppressAutoHyphens w:val="false"/>
              <w:ind w:firstLine="567" w:left="0"/>
              <w:jc w:val="both"/>
              <w:rPr>
                <w:rFonts w:eastAsia="Calibri"/>
                <w:sz w:val="22"/>
              </w:rPr>
            </w:pPr>
            <w:r>
              <w:rPr>
                <w:rFonts w:eastAsia="Calibri"/>
                <w:sz w:val="22"/>
              </w:rPr>
              <w:t>Технический паспорт на русском языке в 1 экз.;</w:t>
            </w:r>
          </w:p>
          <w:p>
            <w:pPr>
              <w:pStyle w:val="Normal"/>
              <w:widowControl w:val="false"/>
              <w:numPr>
                <w:ilvl w:val="0"/>
                <w:numId w:val="12"/>
              </w:numPr>
              <w:shd w:val="clear" w:color="auto" w:fill="FFFFFF"/>
              <w:tabs>
                <w:tab w:val="clear" w:pos="708"/>
                <w:tab w:val="left" w:pos="0" w:leader="none"/>
                <w:tab w:val="left" w:pos="900" w:leader="none"/>
                <w:tab w:val="left" w:pos="1134" w:leader="none"/>
                <w:tab w:val="left" w:pos="1276" w:leader="none"/>
              </w:tabs>
              <w:suppressAutoHyphens w:val="false"/>
              <w:ind w:firstLine="567" w:left="0"/>
              <w:jc w:val="both"/>
              <w:rPr>
                <w:rFonts w:eastAsia="Calibri"/>
                <w:sz w:val="22"/>
              </w:rPr>
            </w:pPr>
            <w:r>
              <w:rPr>
                <w:rFonts w:eastAsia="Calibri"/>
                <w:sz w:val="22"/>
              </w:rPr>
              <w:t>Инструкция по эксплуатации (монтажу и т.п.) на русском языке в 1 экз.;</w:t>
            </w:r>
          </w:p>
          <w:p>
            <w:pPr>
              <w:pStyle w:val="Normal"/>
              <w:widowControl w:val="false"/>
              <w:numPr>
                <w:ilvl w:val="0"/>
                <w:numId w:val="12"/>
              </w:numPr>
              <w:shd w:val="clear" w:color="auto" w:fill="FFFFFF"/>
              <w:tabs>
                <w:tab w:val="clear" w:pos="708"/>
                <w:tab w:val="left" w:pos="0" w:leader="none"/>
                <w:tab w:val="left" w:pos="900" w:leader="none"/>
                <w:tab w:val="left" w:pos="1134" w:leader="none"/>
                <w:tab w:val="left" w:pos="1276" w:leader="none"/>
              </w:tabs>
              <w:suppressAutoHyphens w:val="false"/>
              <w:ind w:firstLine="567" w:left="0"/>
              <w:jc w:val="both"/>
              <w:rPr>
                <w:rFonts w:eastAsia="Calibri"/>
                <w:sz w:val="22"/>
              </w:rPr>
            </w:pPr>
            <w:r>
              <w:rPr>
                <w:rFonts w:eastAsia="Calibri"/>
                <w:sz w:val="22"/>
              </w:rPr>
              <w:t>Упаковочный лист на Продукцию в 1 экз.;</w:t>
            </w:r>
          </w:p>
          <w:p>
            <w:pPr>
              <w:pStyle w:val="Normal"/>
              <w:widowControl w:val="false"/>
              <w:numPr>
                <w:ilvl w:val="0"/>
                <w:numId w:val="12"/>
              </w:numPr>
              <w:shd w:val="clear" w:color="auto" w:fill="FFFFFF"/>
              <w:tabs>
                <w:tab w:val="clear" w:pos="708"/>
                <w:tab w:val="left" w:pos="0" w:leader="none"/>
                <w:tab w:val="left" w:pos="900" w:leader="none"/>
                <w:tab w:val="left" w:pos="1134" w:leader="none"/>
                <w:tab w:val="left" w:pos="1276" w:leader="none"/>
              </w:tabs>
              <w:suppressAutoHyphens w:val="false"/>
              <w:ind w:firstLine="567" w:left="0"/>
              <w:jc w:val="both"/>
              <w:rPr>
                <w:rFonts w:eastAsia="Calibri"/>
                <w:sz w:val="22"/>
              </w:rPr>
            </w:pPr>
            <w:r>
              <w:rPr>
                <w:rFonts w:eastAsia="Calibri"/>
                <w:sz w:val="22"/>
              </w:rPr>
              <w:t>Сертификат о происхождении товара в 2 экз.;</w:t>
            </w:r>
          </w:p>
          <w:p>
            <w:pPr>
              <w:pStyle w:val="Normal"/>
              <w:widowControl w:val="false"/>
              <w:numPr>
                <w:ilvl w:val="0"/>
                <w:numId w:val="12"/>
              </w:numPr>
              <w:shd w:val="clear" w:color="auto" w:fill="FFFFFF"/>
              <w:tabs>
                <w:tab w:val="clear" w:pos="708"/>
                <w:tab w:val="left" w:pos="0" w:leader="none"/>
                <w:tab w:val="left" w:pos="900" w:leader="none"/>
                <w:tab w:val="left" w:pos="1134" w:leader="none"/>
                <w:tab w:val="left" w:pos="1276" w:leader="none"/>
              </w:tabs>
              <w:suppressAutoHyphens w:val="false"/>
              <w:ind w:firstLine="567" w:left="0"/>
              <w:jc w:val="both"/>
              <w:rPr>
                <w:rFonts w:eastAsia="Calibri"/>
                <w:sz w:val="22"/>
              </w:rPr>
            </w:pPr>
            <w:r>
              <w:rPr>
                <w:rFonts w:eastAsia="Calibri"/>
                <w:sz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12"/>
              </w:numPr>
              <w:shd w:val="clear" w:color="auto" w:fill="FFFFFF"/>
              <w:tabs>
                <w:tab w:val="clear" w:pos="708"/>
                <w:tab w:val="left" w:pos="851" w:leader="none"/>
                <w:tab w:val="left" w:pos="900" w:leader="none"/>
                <w:tab w:val="left" w:pos="1134" w:leader="none"/>
                <w:tab w:val="left" w:pos="1276" w:leader="none"/>
              </w:tabs>
              <w:suppressAutoHyphens w:val="false"/>
              <w:ind w:firstLine="567" w:left="0"/>
              <w:jc w:val="both"/>
              <w:rPr>
                <w:rFonts w:eastAsia="Calibri"/>
                <w:sz w:val="22"/>
              </w:rPr>
            </w:pPr>
            <w:r>
              <w:rPr>
                <w:rFonts w:eastAsia="Calibri"/>
                <w:sz w:val="22"/>
              </w:rPr>
              <w:t>Обязательные первичные документы:</w:t>
            </w:r>
          </w:p>
          <w:p>
            <w:pPr>
              <w:pStyle w:val="ListParagraph"/>
              <w:widowControl w:val="false"/>
              <w:numPr>
                <w:ilvl w:val="0"/>
                <w:numId w:val="11"/>
              </w:numPr>
              <w:shd w:val="clear" w:color="auto" w:fill="FFFFFF"/>
              <w:tabs>
                <w:tab w:val="clear" w:pos="708"/>
                <w:tab w:val="left" w:pos="720" w:leader="none"/>
                <w:tab w:val="left" w:pos="1134" w:leader="none"/>
                <w:tab w:val="left" w:pos="1276" w:leader="none"/>
              </w:tabs>
              <w:suppressAutoHyphens w:val="false"/>
              <w:ind w:firstLine="745" w:left="0"/>
              <w:jc w:val="both"/>
              <w:rPr>
                <w:sz w:val="22"/>
              </w:rPr>
            </w:pPr>
            <w:r>
              <w:rPr>
                <w:sz w:val="22"/>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pPr>
              <w:pStyle w:val="ListParagraph"/>
              <w:widowControl w:val="false"/>
              <w:numPr>
                <w:ilvl w:val="0"/>
                <w:numId w:val="11"/>
              </w:numPr>
              <w:ind w:firstLine="745" w:left="0"/>
              <w:rPr/>
            </w:pPr>
            <w:r>
              <w:rPr>
                <w:sz w:val="22"/>
              </w:rPr>
              <w:t>Товарную накладную по форме ТОРГ-12 или Универсальный передаточный документ (УПД) в 2 экз.</w:t>
            </w:r>
          </w:p>
        </w:tc>
      </w:tr>
      <w:tr>
        <w:trPr>
          <w:trHeight w:val="273" w:hRule="atLeast"/>
        </w:trPr>
        <w:tc>
          <w:tcPr>
            <w:tcW w:w="845" w:type="dxa"/>
            <w:tcBorders>
              <w:top w:val="single" w:sz="6" w:space="0" w:color="000000"/>
              <w:left w:val="single" w:sz="4" w:space="0" w:color="000000"/>
              <w:bottom w:val="single" w:sz="6" w:space="0" w:color="000000"/>
              <w:right w:val="single" w:sz="6" w:space="0" w:color="000000"/>
            </w:tcBorders>
            <w:shd w:color="auto" w:fill="auto" w:val="clear"/>
            <w:vAlign w:val="center"/>
          </w:tcPr>
          <w:p>
            <w:pPr>
              <w:pStyle w:val="Normal"/>
              <w:widowControl w:val="false"/>
              <w:jc w:val="center"/>
              <w:rPr>
                <w:lang w:val="en-US"/>
              </w:rPr>
            </w:pPr>
            <w:r>
              <w:rPr>
                <w:rFonts w:eastAsia="Calibri"/>
                <w:b/>
                <w:sz w:val="22"/>
                <w:lang w:val="en-US"/>
              </w:rPr>
              <w:t>6</w:t>
            </w:r>
            <w:r>
              <w:rPr>
                <w:rFonts w:eastAsia="Calibri"/>
                <w:b/>
                <w:sz w:val="22"/>
              </w:rPr>
              <w:t>.</w:t>
            </w:r>
          </w:p>
        </w:tc>
        <w:tc>
          <w:tcPr>
            <w:tcW w:w="13609" w:type="dxa"/>
            <w:gridSpan w:val="4"/>
            <w:tcBorders>
              <w:top w:val="single" w:sz="6" w:space="0" w:color="000000"/>
              <w:left w:val="single" w:sz="6" w:space="0" w:color="000000"/>
              <w:bottom w:val="single" w:sz="6" w:space="0" w:color="000000"/>
              <w:right w:val="single" w:sz="4" w:space="0" w:color="000000"/>
            </w:tcBorders>
            <w:shd w:color="auto" w:fill="auto" w:val="clear"/>
            <w:vAlign w:val="center"/>
          </w:tcPr>
          <w:p>
            <w:pPr>
              <w:pStyle w:val="Normal"/>
              <w:widowControl w:val="false"/>
              <w:rPr>
                <w:sz w:val="22"/>
              </w:rPr>
            </w:pPr>
            <w:r>
              <w:rPr>
                <w:rFonts w:eastAsia="Calibri"/>
                <w:b/>
                <w:sz w:val="22"/>
                <w:lang w:eastAsia="ru-RU"/>
              </w:rPr>
              <w:t>Прочие (дополнительные) требования к продукции</w:t>
            </w:r>
          </w:p>
        </w:tc>
      </w:tr>
      <w:tr>
        <w:trPr>
          <w:trHeight w:val="273" w:hRule="atLeast"/>
        </w:trPr>
        <w:tc>
          <w:tcPr>
            <w:tcW w:w="845" w:type="dxa"/>
            <w:tcBorders>
              <w:top w:val="single" w:sz="6" w:space="0" w:color="000000"/>
              <w:left w:val="single" w:sz="4" w:space="0" w:color="000000"/>
              <w:bottom w:val="single" w:sz="4" w:space="0" w:color="000000"/>
              <w:right w:val="single" w:sz="6" w:space="0" w:color="000000"/>
            </w:tcBorders>
            <w:shd w:color="auto" w:fill="auto" w:val="clear"/>
            <w:vAlign w:val="center"/>
          </w:tcPr>
          <w:p>
            <w:pPr>
              <w:pStyle w:val="Normal"/>
              <w:widowControl w:val="false"/>
              <w:jc w:val="center"/>
              <w:rPr/>
            </w:pPr>
            <w:r>
              <w:rPr>
                <w:rFonts w:eastAsia="Calibri"/>
                <w:sz w:val="22"/>
                <w:lang w:val="en-US"/>
              </w:rPr>
              <w:t>6</w:t>
            </w:r>
            <w:r>
              <w:rPr>
                <w:rFonts w:eastAsia="Calibri"/>
                <w:sz w:val="22"/>
              </w:rPr>
              <w:t>.1</w:t>
            </w:r>
            <w:r>
              <w:rPr>
                <w:rFonts w:eastAsia="Calibri"/>
                <w:sz w:val="22"/>
                <w:lang w:val="en-US"/>
              </w:rPr>
              <w:t>.</w:t>
            </w:r>
          </w:p>
        </w:tc>
        <w:tc>
          <w:tcPr>
            <w:tcW w:w="13609" w:type="dxa"/>
            <w:gridSpan w:val="4"/>
            <w:tcBorders>
              <w:top w:val="single" w:sz="6" w:space="0" w:color="000000"/>
              <w:left w:val="single" w:sz="6" w:space="0" w:color="000000"/>
              <w:bottom w:val="single" w:sz="4" w:space="0" w:color="000000"/>
              <w:right w:val="single" w:sz="4" w:space="0" w:color="000000"/>
            </w:tcBorders>
            <w:shd w:color="auto" w:fill="auto" w:val="clear"/>
            <w:vAlign w:val="center"/>
          </w:tcPr>
          <w:p>
            <w:pPr>
              <w:pStyle w:val="Normal"/>
              <w:widowControl w:val="false"/>
              <w:rPr/>
            </w:pPr>
            <w:r>
              <w:rPr>
                <w:rFonts w:eastAsia="Calibri"/>
                <w:sz w:val="22"/>
              </w:rPr>
              <w:t>Продукция должна быть новой, ранее не использовавшейся.</w:t>
            </w:r>
          </w:p>
          <w:p>
            <w:pPr>
              <w:pStyle w:val="Normal"/>
              <w:widowControl w:val="false"/>
              <w:jc w:val="both"/>
              <w:rPr/>
            </w:pPr>
            <w:r>
              <w:rPr>
                <w:rFonts w:eastAsia="Calibri"/>
                <w:bCs/>
                <w:sz w:val="22"/>
                <w:lang w:eastAsia="x-none"/>
              </w:rPr>
              <w:t>Продукция должна соответствовать обязательным требованиям, установленными нормативными документами, действующими в РФ.</w:t>
            </w:r>
          </w:p>
          <w:p>
            <w:pPr>
              <w:pStyle w:val="Normal"/>
              <w:widowControl w:val="false"/>
              <w:rPr/>
            </w:pPr>
            <w:r>
              <w:rPr>
                <w:rFonts w:eastAsia="Calibri"/>
                <w:bCs/>
                <w:sz w:val="22"/>
                <w:lang w:eastAsia="x-none"/>
              </w:rPr>
              <w:t>Продукция обязательно должна быть укомплектована документами, удостоверяющими качество продукции и гарантийные обязательства производителя, выданными производителем продукции, а также документами, выполнение требований которых является условием выполнения гарантийных обязательств производителя</w:t>
            </w:r>
          </w:p>
        </w:tc>
      </w:tr>
    </w:tbl>
    <w:p>
      <w:pPr>
        <w:pStyle w:val="Normal"/>
        <w:jc w:val="both"/>
        <w:rPr>
          <w:rFonts w:eastAsia="Times New Roman" w:cs="Times New Roman"/>
          <w:bCs/>
          <w:spacing w:val="-6"/>
          <w:szCs w:val="24"/>
        </w:rPr>
      </w:pPr>
      <w:r>
        <w:rPr>
          <w:rFonts w:eastAsia="Times New Roman" w:cs="Times New Roman"/>
          <w:bCs/>
          <w:spacing w:val="-6"/>
          <w:szCs w:val="24"/>
        </w:rPr>
      </w:r>
    </w:p>
    <w:p>
      <w:pPr>
        <w:pStyle w:val="Normal"/>
        <w:rPr>
          <w:rFonts w:eastAsia="Calibri"/>
          <w:szCs w:val="24"/>
          <w:lang w:eastAsia="x-none"/>
        </w:rPr>
      </w:pPr>
      <w:r>
        <w:rPr>
          <w:rFonts w:eastAsia="Calibri"/>
          <w:szCs w:val="24"/>
          <w:lang w:eastAsia="x-none"/>
        </w:rPr>
      </w:r>
    </w:p>
    <w:p>
      <w:pPr>
        <w:pStyle w:val="Normal"/>
        <w:rPr>
          <w:rFonts w:eastAsia="Calibri"/>
          <w:b/>
          <w:szCs w:val="24"/>
          <w:lang w:eastAsia="x-none"/>
        </w:rPr>
      </w:pPr>
      <w:r>
        <w:rPr>
          <w:rFonts w:eastAsia="Calibri"/>
          <w:b/>
          <w:szCs w:val="24"/>
          <w:lang w:eastAsia="x-none"/>
        </w:rPr>
        <w:t>3. Требования к документации по ценообразованию на этапе закупки</w:t>
      </w:r>
    </w:p>
    <w:p>
      <w:pPr>
        <w:pStyle w:val="Normal"/>
        <w:rPr>
          <w:rFonts w:eastAsia="Calibri"/>
          <w:szCs w:val="24"/>
          <w:lang w:eastAsia="x-none"/>
        </w:rPr>
      </w:pPr>
      <w:r>
        <w:rPr>
          <w:rFonts w:eastAsia="Calibri"/>
          <w:szCs w:val="24"/>
          <w:lang w:eastAsia="x-none"/>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rPr>
          <w:rFonts w:eastAsia="Calibri"/>
          <w:szCs w:val="24"/>
          <w:lang w:eastAsia="x-none"/>
        </w:rPr>
      </w:pPr>
      <w:r>
        <w:rPr>
          <w:rFonts w:eastAsia="Calibri"/>
          <w:szCs w:val="24"/>
          <w:lang w:eastAsia="x-none"/>
        </w:rPr>
        <w:t>3.2. Дополнительные документы по ценообразованию в состав заявки не включаются.</w:t>
      </w:r>
    </w:p>
    <w:sectPr>
      <w:footerReference w:type="default" r:id="rId3"/>
      <w:footerReference w:type="first" r:id="rId4"/>
      <w:type w:val="nextPage"/>
      <w:pgSz w:orient="landscape" w:w="16838" w:h="11906"/>
      <w:pgMar w:left="1418" w:right="1134" w:gutter="0" w:header="0" w:top="1134" w:footer="709"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Tahoma">
    <w:charset w:val="01"/>
    <w:family w:val="roman"/>
    <w:pitch w:val="variable"/>
  </w:font>
  <w:font w:name="PT Sans">
    <w:charset w:val="01"/>
    <w:family w:val="swiss"/>
    <w:pitch w:val="variable"/>
  </w:font>
  <w:font w:name="Liberation Sans">
    <w:altName w:val="Arial"/>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GOST-2.304-81typeA">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691685268"/>
    </w:sdtPr>
    <w:sdtContent>
      <w:p>
        <w:pPr>
          <w:pStyle w:val="Footer"/>
          <w:jc w:val="center"/>
          <w:rPr>
            <w:sz w:val="22"/>
            <w:szCs w:val="24"/>
          </w:rPr>
        </w:pPr>
        <w:r>
          <w:rPr>
            <w:sz w:val="22"/>
            <w:szCs w:val="24"/>
          </w:rPr>
          <w:t xml:space="preserve">Страница </w:t>
        </w:r>
        <w:r>
          <w:rPr>
            <w:b/>
            <w:bCs/>
            <w:sz w:val="22"/>
            <w:szCs w:val="24"/>
          </w:rPr>
          <w:fldChar w:fldCharType="begin"/>
        </w:r>
        <w:r>
          <w:rPr>
            <w:sz w:val="22"/>
            <w:b/>
            <w:szCs w:val="24"/>
            <w:bCs/>
          </w:rPr>
          <w:instrText xml:space="preserve"> PAGE </w:instrText>
        </w:r>
        <w:r>
          <w:rPr>
            <w:sz w:val="22"/>
            <w:b/>
            <w:szCs w:val="24"/>
            <w:bCs/>
          </w:rPr>
          <w:fldChar w:fldCharType="separate"/>
        </w:r>
        <w:r>
          <w:rPr>
            <w:sz w:val="22"/>
            <w:b/>
            <w:szCs w:val="24"/>
            <w:bCs/>
          </w:rPr>
          <w:t>4</w:t>
        </w:r>
        <w:r>
          <w:rPr>
            <w:sz w:val="22"/>
            <w:b/>
            <w:szCs w:val="24"/>
            <w:bCs/>
          </w:rPr>
          <w:fldChar w:fldCharType="end"/>
        </w:r>
        <w:r>
          <w:rPr>
            <w:sz w:val="22"/>
            <w:szCs w:val="24"/>
          </w:rPr>
          <w:t xml:space="preserve"> из </w:t>
        </w:r>
        <w:r>
          <w:rPr>
            <w:b/>
            <w:bCs/>
            <w:sz w:val="22"/>
            <w:szCs w:val="24"/>
          </w:rPr>
          <w:fldChar w:fldCharType="begin"/>
        </w:r>
        <w:r>
          <w:rPr>
            <w:sz w:val="22"/>
            <w:b/>
            <w:szCs w:val="24"/>
            <w:bCs/>
          </w:rPr>
          <w:instrText xml:space="preserve"> NUMPAGES </w:instrText>
        </w:r>
        <w:r>
          <w:rPr>
            <w:sz w:val="22"/>
            <w:b/>
            <w:szCs w:val="24"/>
            <w:bCs/>
          </w:rPr>
          <w:fldChar w:fldCharType="separate"/>
        </w:r>
        <w:r>
          <w:rPr>
            <w:sz w:val="22"/>
            <w:b/>
            <w:szCs w:val="24"/>
            <w:bCs/>
          </w:rPr>
          <w:t>17</w:t>
        </w:r>
        <w:r>
          <w:rPr>
            <w:sz w:val="22"/>
            <w:b/>
            <w:szCs w:val="24"/>
            <w:bCs/>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591900119"/>
    </w:sdtPr>
    <w:sdtContent>
      <w:p>
        <w:pPr>
          <w:pStyle w:val="Footer"/>
          <w:jc w:val="center"/>
          <w:rPr>
            <w:sz w:val="24"/>
            <w:szCs w:val="24"/>
          </w:rPr>
        </w:pPr>
        <w:r>
          <w:rPr>
            <w:sz w:val="24"/>
            <w:szCs w:val="24"/>
          </w:rPr>
          <w:t xml:space="preserve">Страница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17</w:t>
        </w:r>
        <w:r>
          <w:rPr>
            <w:sz w:val="24"/>
            <w:b/>
            <w:szCs w:val="24"/>
            <w:bCs/>
          </w:rPr>
          <w:fldChar w:fldCharType="end"/>
        </w:r>
        <w:r>
          <w:rPr>
            <w:sz w:val="24"/>
            <w:szCs w:val="24"/>
          </w:rPr>
          <w:t xml:space="preserve"> из </w:t>
        </w:r>
        <w:r>
          <w:rPr>
            <w:b/>
            <w:bCs/>
            <w:sz w:val="24"/>
            <w:szCs w:val="24"/>
          </w:rPr>
          <w:fldChar w:fldCharType="begin"/>
        </w:r>
        <w:r>
          <w:rPr>
            <w:sz w:val="24"/>
            <w:b/>
            <w:szCs w:val="24"/>
            <w:bCs/>
          </w:rPr>
          <w:instrText xml:space="preserve"> NUMPAGES </w:instrText>
        </w:r>
        <w:r>
          <w:rPr>
            <w:sz w:val="24"/>
            <w:b/>
            <w:szCs w:val="24"/>
            <w:bCs/>
          </w:rPr>
          <w:fldChar w:fldCharType="separate"/>
        </w:r>
        <w:r>
          <w:rPr>
            <w:sz w:val="24"/>
            <w:b/>
            <w:szCs w:val="24"/>
            <w:bCs/>
          </w:rPr>
          <w:t>17</w:t>
        </w:r>
        <w:r>
          <w:rPr>
            <w:sz w:val="24"/>
            <w:b/>
            <w:szCs w:val="24"/>
            <w:bCs/>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196"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3">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1."/>
      <w:lvlJc w:val="left"/>
      <w:pPr>
        <w:tabs>
          <w:tab w:val="num" w:pos="0"/>
        </w:tabs>
        <w:ind w:left="36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36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142"/>
        </w:tabs>
        <w:ind w:left="502"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2"/>
      <w:numFmt w:val="bullet"/>
      <w:lvlText w:val="-"/>
      <w:lvlJc w:val="left"/>
      <w:pPr>
        <w:tabs>
          <w:tab w:val="num" w:pos="0"/>
        </w:tabs>
        <w:ind w:left="372" w:hanging="360"/>
      </w:pPr>
      <w:rPr>
        <w:rFonts w:ascii="Times New Roman" w:hAnsi="Times New Roman" w:cs="Times New Roman" w:hint="default"/>
      </w:rPr>
    </w:lvl>
    <w:lvl w:ilvl="1">
      <w:start w:val="1"/>
      <w:numFmt w:val="bullet"/>
      <w:lvlText w:val="o"/>
      <w:lvlJc w:val="left"/>
      <w:pPr>
        <w:tabs>
          <w:tab w:val="num" w:pos="0"/>
        </w:tabs>
        <w:ind w:left="1092" w:hanging="360"/>
      </w:pPr>
      <w:rPr>
        <w:rFonts w:ascii="Courier New" w:hAnsi="Courier New" w:cs="Courier New" w:hint="default"/>
      </w:rPr>
    </w:lvl>
    <w:lvl w:ilvl="2">
      <w:start w:val="1"/>
      <w:numFmt w:val="bullet"/>
      <w:lvlText w:val=""/>
      <w:lvlJc w:val="left"/>
      <w:pPr>
        <w:tabs>
          <w:tab w:val="num" w:pos="0"/>
        </w:tabs>
        <w:ind w:left="1812" w:hanging="360"/>
      </w:pPr>
      <w:rPr>
        <w:rFonts w:ascii="Wingdings" w:hAnsi="Wingdings" w:cs="Wingdings" w:hint="default"/>
      </w:rPr>
    </w:lvl>
    <w:lvl w:ilvl="3">
      <w:start w:val="1"/>
      <w:numFmt w:val="bullet"/>
      <w:lvlText w:val=""/>
      <w:lvlJc w:val="left"/>
      <w:pPr>
        <w:tabs>
          <w:tab w:val="num" w:pos="0"/>
        </w:tabs>
        <w:ind w:left="2532" w:hanging="360"/>
      </w:pPr>
      <w:rPr>
        <w:rFonts w:ascii="Symbol" w:hAnsi="Symbol" w:cs="Symbol" w:hint="default"/>
      </w:rPr>
    </w:lvl>
    <w:lvl w:ilvl="4">
      <w:start w:val="1"/>
      <w:numFmt w:val="bullet"/>
      <w:lvlText w:val="o"/>
      <w:lvlJc w:val="left"/>
      <w:pPr>
        <w:tabs>
          <w:tab w:val="num" w:pos="0"/>
        </w:tabs>
        <w:ind w:left="3252" w:hanging="360"/>
      </w:pPr>
      <w:rPr>
        <w:rFonts w:ascii="Courier New" w:hAnsi="Courier New" w:cs="Courier New" w:hint="default"/>
      </w:rPr>
    </w:lvl>
    <w:lvl w:ilvl="5">
      <w:start w:val="1"/>
      <w:numFmt w:val="bullet"/>
      <w:lvlText w:val=""/>
      <w:lvlJc w:val="left"/>
      <w:pPr>
        <w:tabs>
          <w:tab w:val="num" w:pos="0"/>
        </w:tabs>
        <w:ind w:left="3972" w:hanging="360"/>
      </w:pPr>
      <w:rPr>
        <w:rFonts w:ascii="Wingdings" w:hAnsi="Wingdings" w:cs="Wingdings" w:hint="default"/>
      </w:rPr>
    </w:lvl>
    <w:lvl w:ilvl="6">
      <w:start w:val="1"/>
      <w:numFmt w:val="bullet"/>
      <w:lvlText w:val=""/>
      <w:lvlJc w:val="left"/>
      <w:pPr>
        <w:tabs>
          <w:tab w:val="num" w:pos="0"/>
        </w:tabs>
        <w:ind w:left="4692" w:hanging="360"/>
      </w:pPr>
      <w:rPr>
        <w:rFonts w:ascii="Symbol" w:hAnsi="Symbol" w:cs="Symbol" w:hint="default"/>
      </w:rPr>
    </w:lvl>
    <w:lvl w:ilvl="7">
      <w:start w:val="1"/>
      <w:numFmt w:val="bullet"/>
      <w:lvlText w:val="o"/>
      <w:lvlJc w:val="left"/>
      <w:pPr>
        <w:tabs>
          <w:tab w:val="num" w:pos="0"/>
        </w:tabs>
        <w:ind w:left="5412" w:hanging="360"/>
      </w:pPr>
      <w:rPr>
        <w:rFonts w:ascii="Courier New" w:hAnsi="Courier New" w:cs="Courier New" w:hint="default"/>
      </w:rPr>
    </w:lvl>
    <w:lvl w:ilvl="8">
      <w:start w:val="1"/>
      <w:numFmt w:val="bullet"/>
      <w:lvlText w:val=""/>
      <w:lvlJc w:val="left"/>
      <w:pPr>
        <w:tabs>
          <w:tab w:val="num" w:pos="0"/>
        </w:tabs>
        <w:ind w:left="6132"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6"/>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2"/>
      <w:numFmt w:val="bullet"/>
      <w:lvlText w:val="-"/>
      <w:lvlJc w:val="left"/>
      <w:pPr>
        <w:tabs>
          <w:tab w:val="num" w:pos="0"/>
        </w:tabs>
        <w:ind w:left="372" w:hanging="360"/>
      </w:pPr>
      <w:rPr>
        <w:rFonts w:ascii="Times New Roman" w:hAnsi="Times New Roman" w:cs="Times New Roman" w:hint="default"/>
        <w:b/>
      </w:rPr>
    </w:lvl>
    <w:lvl w:ilvl="1">
      <w:start w:val="1"/>
      <w:numFmt w:val="bullet"/>
      <w:lvlText w:val="o"/>
      <w:lvlJc w:val="left"/>
      <w:pPr>
        <w:tabs>
          <w:tab w:val="num" w:pos="0"/>
        </w:tabs>
        <w:ind w:left="1092" w:hanging="360"/>
      </w:pPr>
      <w:rPr>
        <w:rFonts w:ascii="Courier New" w:hAnsi="Courier New" w:cs="Courier New" w:hint="default"/>
      </w:rPr>
    </w:lvl>
    <w:lvl w:ilvl="2">
      <w:start w:val="1"/>
      <w:numFmt w:val="bullet"/>
      <w:lvlText w:val=""/>
      <w:lvlJc w:val="left"/>
      <w:pPr>
        <w:tabs>
          <w:tab w:val="num" w:pos="0"/>
        </w:tabs>
        <w:ind w:left="1812" w:hanging="360"/>
      </w:pPr>
      <w:rPr>
        <w:rFonts w:ascii="Wingdings" w:hAnsi="Wingdings" w:cs="Wingdings" w:hint="default"/>
      </w:rPr>
    </w:lvl>
    <w:lvl w:ilvl="3">
      <w:start w:val="1"/>
      <w:numFmt w:val="bullet"/>
      <w:lvlText w:val=""/>
      <w:lvlJc w:val="left"/>
      <w:pPr>
        <w:tabs>
          <w:tab w:val="num" w:pos="0"/>
        </w:tabs>
        <w:ind w:left="2532" w:hanging="360"/>
      </w:pPr>
      <w:rPr>
        <w:rFonts w:ascii="Symbol" w:hAnsi="Symbol" w:cs="Symbol" w:hint="default"/>
      </w:rPr>
    </w:lvl>
    <w:lvl w:ilvl="4">
      <w:start w:val="1"/>
      <w:numFmt w:val="bullet"/>
      <w:lvlText w:val="o"/>
      <w:lvlJc w:val="left"/>
      <w:pPr>
        <w:tabs>
          <w:tab w:val="num" w:pos="0"/>
        </w:tabs>
        <w:ind w:left="3252" w:hanging="360"/>
      </w:pPr>
      <w:rPr>
        <w:rFonts w:ascii="Courier New" w:hAnsi="Courier New" w:cs="Courier New" w:hint="default"/>
      </w:rPr>
    </w:lvl>
    <w:lvl w:ilvl="5">
      <w:start w:val="1"/>
      <w:numFmt w:val="bullet"/>
      <w:lvlText w:val=""/>
      <w:lvlJc w:val="left"/>
      <w:pPr>
        <w:tabs>
          <w:tab w:val="num" w:pos="0"/>
        </w:tabs>
        <w:ind w:left="3972" w:hanging="360"/>
      </w:pPr>
      <w:rPr>
        <w:rFonts w:ascii="Wingdings" w:hAnsi="Wingdings" w:cs="Wingdings" w:hint="default"/>
      </w:rPr>
    </w:lvl>
    <w:lvl w:ilvl="6">
      <w:start w:val="1"/>
      <w:numFmt w:val="bullet"/>
      <w:lvlText w:val=""/>
      <w:lvlJc w:val="left"/>
      <w:pPr>
        <w:tabs>
          <w:tab w:val="num" w:pos="0"/>
        </w:tabs>
        <w:ind w:left="4692" w:hanging="360"/>
      </w:pPr>
      <w:rPr>
        <w:rFonts w:ascii="Symbol" w:hAnsi="Symbol" w:cs="Symbol" w:hint="default"/>
      </w:rPr>
    </w:lvl>
    <w:lvl w:ilvl="7">
      <w:start w:val="1"/>
      <w:numFmt w:val="bullet"/>
      <w:lvlText w:val="o"/>
      <w:lvlJc w:val="left"/>
      <w:pPr>
        <w:tabs>
          <w:tab w:val="num" w:pos="0"/>
        </w:tabs>
        <w:ind w:left="5412" w:hanging="360"/>
      </w:pPr>
      <w:rPr>
        <w:rFonts w:ascii="Courier New" w:hAnsi="Courier New" w:cs="Courier New" w:hint="default"/>
      </w:rPr>
    </w:lvl>
    <w:lvl w:ilvl="8">
      <w:start w:val="1"/>
      <w:numFmt w:val="bullet"/>
      <w:lvlText w:val=""/>
      <w:lvlJc w:val="left"/>
      <w:pPr>
        <w:tabs>
          <w:tab w:val="num" w:pos="0"/>
        </w:tabs>
        <w:ind w:left="6132" w:hanging="360"/>
      </w:pPr>
      <w:rPr>
        <w:rFonts w:ascii="Wingdings" w:hAnsi="Wingdings" w:cs="Wingdings" w:hint="default"/>
      </w:rPr>
    </w:lvl>
  </w:abstractNum>
  <w:abstractNum w:abstractNumId="1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uiPriority="0" w:semiHidden="1" w:unhideWhenUsed="1" w:qFormat="1"/>
    <w:lsdException w:name="header" w:uiPriority="0" w:semiHidden="1" w:unhideWhenUsed="1"/>
    <w:lsdException w:name="footer" w:semiHidden="1" w:unhideWhenUsed="1"/>
    <w:lsdException w:name="index heading" w:uiPriority="0"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qFormat="1"/>
    <w:lsdException w:name="line number" w:semiHidden="1" w:unhideWhenUsed="1"/>
    <w:lsdException w:name="page number" w:uiPriority="0" w:semiHidden="1" w:unhideWhenUsed="1" w:qFormat="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uiPriority="0" w:semiHidden="1" w:unhideWhenUsed="1" w:qFormat="1"/>
    <w:lsdException w:name="Body Text Indent 2" w:uiPriority="0" w:semiHidden="1" w:unhideWhenUsed="1" w:qFormat="1"/>
    <w:lsdException w:name="Body Text Indent 3" w:uiPriority="0" w:semiHidden="1" w:unhideWhenUsed="1" w:qFormat="1"/>
    <w:lsdException w:name="Block Text" w:uiPriority="0" w:semiHidden="1" w:unhideWhenUsed="1" w:qFormat="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c3a95"/>
    <w:pPr>
      <w:widowControl/>
      <w:suppressAutoHyphens w:val="true"/>
      <w:bidi w:val="0"/>
      <w:spacing w:before="0" w:after="0"/>
      <w:jc w:val="left"/>
    </w:pPr>
    <w:rPr>
      <w:rFonts w:ascii="Times New Roman" w:hAnsi="Times New Roman" w:eastAsia="Calibri" w:cs="" w:cstheme="minorBidi" w:eastAsiaTheme="minorHAnsi"/>
      <w:color w:val="auto"/>
      <w:kern w:val="0"/>
      <w:sz w:val="24"/>
      <w:szCs w:val="22"/>
      <w:lang w:val="ru-RU" w:eastAsia="en-US" w:bidi="ar-SA"/>
    </w:rPr>
  </w:style>
  <w:style w:type="paragraph" w:styleId="Heading1">
    <w:name w:val="Heading 1"/>
    <w:basedOn w:val="Heading3"/>
    <w:next w:val="Normal"/>
    <w:link w:val="1"/>
    <w:qFormat/>
    <w:rsid w:val="009c3b1a"/>
    <w:pPr>
      <w:outlineLvl w:val="0"/>
    </w:pPr>
    <w:rPr>
      <w:sz w:val="28"/>
      <w:szCs w:val="28"/>
    </w:rPr>
  </w:style>
  <w:style w:type="paragraph" w:styleId="Heading2">
    <w:name w:val="Heading 2"/>
    <w:basedOn w:val="Heading4"/>
    <w:next w:val="Normal"/>
    <w:link w:val="2"/>
    <w:qFormat/>
    <w:rsid w:val="00cd6e45"/>
    <w:pPr>
      <w:tabs>
        <w:tab w:val="clear" w:pos="0"/>
        <w:tab w:val="clear" w:pos="709"/>
      </w:tabs>
      <w:ind w:hanging="432" w:left="432"/>
      <w:outlineLvl w:val="1"/>
    </w:pPr>
    <w:rPr/>
  </w:style>
  <w:style w:type="paragraph" w:styleId="Heading3">
    <w:name w:val="Heading 3"/>
    <w:basedOn w:val="Normal"/>
    <w:next w:val="Normal"/>
    <w:link w:val="3"/>
    <w:autoRedefine/>
    <w:qFormat/>
    <w:rsid w:val="009a70a1"/>
    <w:pPr>
      <w:keepNext w:val="true"/>
      <w:tabs>
        <w:tab w:val="clear" w:pos="708"/>
        <w:tab w:val="left" w:pos="0" w:leader="none"/>
        <w:tab w:val="left" w:pos="709" w:leader="none"/>
      </w:tabs>
      <w:outlineLvl w:val="2"/>
    </w:pPr>
    <w:rPr>
      <w:rFonts w:eastAsia="Calibri" w:cs="Times New Roman"/>
      <w:b/>
      <w:szCs w:val="24"/>
      <w:lang w:val="x-none" w:eastAsia="x-none"/>
    </w:rPr>
  </w:style>
  <w:style w:type="paragraph" w:styleId="Heading4">
    <w:name w:val="Heading 4"/>
    <w:basedOn w:val="Heading3"/>
    <w:next w:val="Normal"/>
    <w:link w:val="4"/>
    <w:qFormat/>
    <w:rsid w:val="009c3b1a"/>
    <w:pPr>
      <w:outlineLvl w:val="3"/>
    </w:pPr>
    <w:rPr>
      <w:bCs/>
    </w:rPr>
  </w:style>
  <w:style w:type="paragraph" w:styleId="Heading5">
    <w:name w:val="Heading 5"/>
    <w:basedOn w:val="Normal"/>
    <w:next w:val="Normal"/>
    <w:link w:val="5"/>
    <w:uiPriority w:val="9"/>
    <w:qFormat/>
    <w:rsid w:val="00cd6e45"/>
    <w:pPr>
      <w:spacing w:before="240" w:after="60"/>
      <w:outlineLvl w:val="4"/>
    </w:pPr>
    <w:rPr>
      <w:rFonts w:eastAsia="Times New Roman" w:cs="Times New Roman"/>
      <w:b/>
      <w:bCs/>
      <w:i/>
      <w:iCs/>
      <w:sz w:val="26"/>
      <w:szCs w:val="26"/>
      <w:lang w:val="x-none" w:eastAsia="x-none"/>
    </w:rPr>
  </w:style>
  <w:style w:type="paragraph" w:styleId="Heading6">
    <w:name w:val="Heading 6"/>
    <w:basedOn w:val="Normal"/>
    <w:next w:val="Normal"/>
    <w:link w:val="6"/>
    <w:uiPriority w:val="9"/>
    <w:qFormat/>
    <w:rsid w:val="00cd6e45"/>
    <w:pPr>
      <w:keepNext w:val="true"/>
      <w:keepLines/>
      <w:spacing w:before="200" w:after="0"/>
      <w:outlineLvl w:val="5"/>
    </w:pPr>
    <w:rPr>
      <w:rFonts w:ascii="Cambria" w:hAnsi="Cambria" w:eastAsia="Times New Roman" w:cs="Times New Roman"/>
      <w:i/>
      <w:iCs/>
      <w:color w:val="243F60"/>
      <w:sz w:val="20"/>
      <w:szCs w:val="20"/>
      <w:lang w:val="x-none" w:eastAsia="x-none"/>
    </w:rPr>
  </w:style>
  <w:style w:type="paragraph" w:styleId="Heading7">
    <w:name w:val="Heading 7"/>
    <w:basedOn w:val="Normal"/>
    <w:next w:val="Normal"/>
    <w:link w:val="7"/>
    <w:uiPriority w:val="9"/>
    <w:qFormat/>
    <w:rsid w:val="00cd6e45"/>
    <w:pPr>
      <w:keepNext w:val="true"/>
      <w:keepLines/>
      <w:spacing w:before="200" w:after="0"/>
      <w:outlineLvl w:val="6"/>
    </w:pPr>
    <w:rPr>
      <w:rFonts w:ascii="Cambria" w:hAnsi="Cambria" w:eastAsia="Times New Roman" w:cs="Times New Roman"/>
      <w:i/>
      <w:iCs/>
      <w:color w:val="404040"/>
      <w:sz w:val="20"/>
      <w:szCs w:val="20"/>
      <w:lang w:val="x-none" w:eastAsia="x-none"/>
    </w:rPr>
  </w:style>
  <w:style w:type="paragraph" w:styleId="Heading8">
    <w:name w:val="Heading 8"/>
    <w:basedOn w:val="Normal"/>
    <w:next w:val="Normal"/>
    <w:link w:val="8"/>
    <w:uiPriority w:val="9"/>
    <w:qFormat/>
    <w:rsid w:val="00cd6e45"/>
    <w:pPr>
      <w:keepNext w:val="true"/>
      <w:keepLines/>
      <w:spacing w:before="200" w:after="0"/>
      <w:outlineLvl w:val="7"/>
    </w:pPr>
    <w:rPr>
      <w:rFonts w:ascii="Cambria" w:hAnsi="Cambria" w:eastAsia="Times New Roman" w:cs="Times New Roman"/>
      <w:color w:val="4F81BD"/>
      <w:sz w:val="20"/>
      <w:szCs w:val="20"/>
      <w:lang w:val="x-none" w:eastAsia="x-none"/>
    </w:rPr>
  </w:style>
  <w:style w:type="paragraph" w:styleId="Heading9">
    <w:name w:val="Heading 9"/>
    <w:basedOn w:val="Normal"/>
    <w:next w:val="Normal"/>
    <w:link w:val="9"/>
    <w:uiPriority w:val="9"/>
    <w:qFormat/>
    <w:rsid w:val="00cd6e45"/>
    <w:pPr>
      <w:spacing w:before="240" w:after="60"/>
      <w:outlineLvl w:val="8"/>
    </w:pPr>
    <w:rPr>
      <w:rFonts w:ascii="Arial" w:hAnsi="Arial" w:eastAsia="Times New Roman" w:cs="Times New Roman"/>
      <w:sz w:val="22"/>
      <w:lang w:val="x-none" w:eastAsia="x-none"/>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9c3b1a"/>
    <w:rPr>
      <w:rFonts w:ascii="Times New Roman" w:hAnsi="Times New Roman" w:eastAsia="Calibri" w:cs="Times New Roman"/>
      <w:b/>
      <w:sz w:val="28"/>
      <w:szCs w:val="28"/>
      <w:lang w:val="x-none" w:eastAsia="x-none"/>
    </w:rPr>
  </w:style>
  <w:style w:type="character" w:styleId="3" w:customStyle="1">
    <w:name w:val="Заголовок 3 Знак"/>
    <w:basedOn w:val="DefaultParagraphFont"/>
    <w:qFormat/>
    <w:rsid w:val="009a70a1"/>
    <w:rPr>
      <w:rFonts w:ascii="Times New Roman" w:hAnsi="Times New Roman" w:eastAsia="Calibri" w:cs="Times New Roman"/>
      <w:b/>
      <w:sz w:val="24"/>
      <w:szCs w:val="24"/>
      <w:lang w:val="x-none" w:eastAsia="x-none"/>
    </w:rPr>
  </w:style>
  <w:style w:type="character" w:styleId="4" w:customStyle="1">
    <w:name w:val="Заголовок 4 Знак"/>
    <w:basedOn w:val="DefaultParagraphFont"/>
    <w:qFormat/>
    <w:rsid w:val="009c3b1a"/>
    <w:rPr>
      <w:rFonts w:ascii="Times New Roman" w:hAnsi="Times New Roman" w:eastAsia="Calibri" w:cs="Times New Roman"/>
      <w:b/>
      <w:bCs/>
      <w:sz w:val="24"/>
      <w:szCs w:val="24"/>
      <w:lang w:val="x-none" w:eastAsia="x-none"/>
    </w:rPr>
  </w:style>
  <w:style w:type="character" w:styleId="Style" w:customStyle="1">
    <w:name w:val="комментарий"/>
    <w:qFormat/>
    <w:rsid w:val="009c3b1a"/>
    <w:rPr>
      <w:b/>
      <w:i/>
      <w:shd w:fill="FFFF99" w:val="clear"/>
    </w:rPr>
  </w:style>
  <w:style w:type="character" w:styleId="2" w:customStyle="1">
    <w:name w:val="Заголовок 2 Знак"/>
    <w:basedOn w:val="DefaultParagraphFont"/>
    <w:qFormat/>
    <w:rsid w:val="00cd6e45"/>
    <w:rPr>
      <w:rFonts w:ascii="Times New Roman" w:hAnsi="Times New Roman" w:eastAsia="Calibri" w:cs="Times New Roman"/>
      <w:b/>
      <w:bCs/>
      <w:sz w:val="24"/>
      <w:szCs w:val="24"/>
      <w:lang w:val="x-none" w:eastAsia="x-none"/>
    </w:rPr>
  </w:style>
  <w:style w:type="character" w:styleId="5" w:customStyle="1">
    <w:name w:val="Заголовок 5 Знак"/>
    <w:basedOn w:val="DefaultParagraphFont"/>
    <w:uiPriority w:val="9"/>
    <w:qFormat/>
    <w:rsid w:val="00cd6e45"/>
    <w:rPr>
      <w:rFonts w:ascii="Times New Roman" w:hAnsi="Times New Roman" w:eastAsia="Times New Roman" w:cs="Times New Roman"/>
      <w:b/>
      <w:bCs/>
      <w:i/>
      <w:iCs/>
      <w:sz w:val="26"/>
      <w:szCs w:val="26"/>
      <w:lang w:val="x-none" w:eastAsia="x-none"/>
    </w:rPr>
  </w:style>
  <w:style w:type="character" w:styleId="6" w:customStyle="1">
    <w:name w:val="Заголовок 6 Знак"/>
    <w:basedOn w:val="DefaultParagraphFont"/>
    <w:uiPriority w:val="9"/>
    <w:qFormat/>
    <w:rsid w:val="00cd6e45"/>
    <w:rPr>
      <w:rFonts w:ascii="Cambria" w:hAnsi="Cambria" w:eastAsia="Times New Roman" w:cs="Times New Roman"/>
      <w:i/>
      <w:iCs/>
      <w:color w:val="243F60"/>
      <w:sz w:val="20"/>
      <w:szCs w:val="20"/>
      <w:lang w:val="x-none" w:eastAsia="x-none"/>
    </w:rPr>
  </w:style>
  <w:style w:type="character" w:styleId="7" w:customStyle="1">
    <w:name w:val="Заголовок 7 Знак"/>
    <w:basedOn w:val="DefaultParagraphFont"/>
    <w:uiPriority w:val="9"/>
    <w:qFormat/>
    <w:rsid w:val="00cd6e45"/>
    <w:rPr>
      <w:rFonts w:ascii="Cambria" w:hAnsi="Cambria" w:eastAsia="Times New Roman" w:cs="Times New Roman"/>
      <w:i/>
      <w:iCs/>
      <w:color w:val="404040"/>
      <w:sz w:val="20"/>
      <w:szCs w:val="20"/>
      <w:lang w:val="x-none" w:eastAsia="x-none"/>
    </w:rPr>
  </w:style>
  <w:style w:type="character" w:styleId="8" w:customStyle="1">
    <w:name w:val="Заголовок 8 Знак"/>
    <w:basedOn w:val="DefaultParagraphFont"/>
    <w:uiPriority w:val="9"/>
    <w:qFormat/>
    <w:rsid w:val="00cd6e45"/>
    <w:rPr>
      <w:rFonts w:ascii="Cambria" w:hAnsi="Cambria" w:eastAsia="Times New Roman" w:cs="Times New Roman"/>
      <w:color w:val="4F81BD"/>
      <w:sz w:val="20"/>
      <w:szCs w:val="20"/>
      <w:lang w:val="x-none" w:eastAsia="x-none"/>
    </w:rPr>
  </w:style>
  <w:style w:type="character" w:styleId="9" w:customStyle="1">
    <w:name w:val="Заголовок 9 Знак"/>
    <w:basedOn w:val="DefaultParagraphFont"/>
    <w:uiPriority w:val="9"/>
    <w:qFormat/>
    <w:rsid w:val="00cd6e45"/>
    <w:rPr>
      <w:rFonts w:ascii="Arial" w:hAnsi="Arial" w:eastAsia="Times New Roman" w:cs="Times New Roman"/>
      <w:lang w:val="x-none" w:eastAsia="x-none"/>
    </w:rPr>
  </w:style>
  <w:style w:type="character" w:styleId="Style1" w:customStyle="1">
    <w:name w:val="Текст сноски Знак"/>
    <w:basedOn w:val="DefaultParagraphFont"/>
    <w:uiPriority w:val="99"/>
    <w:qFormat/>
    <w:rsid w:val="00cd6e45"/>
    <w:rPr>
      <w:rFonts w:ascii="Times New Roman" w:hAnsi="Times New Roman" w:eastAsia="Times New Roman" w:cs="Times New Roman"/>
      <w:sz w:val="20"/>
      <w:szCs w:val="20"/>
      <w:lang w:eastAsia="ru-RU"/>
    </w:rPr>
  </w:style>
  <w:style w:type="character" w:styleId="Style2"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cd6e45"/>
    <w:rPr>
      <w:vertAlign w:val="superscript"/>
    </w:rPr>
  </w:style>
  <w:style w:type="character" w:styleId="Style3" w:customStyle="1">
    <w:name w:val="Верхний колонтитул Знак"/>
    <w:basedOn w:val="DefaultParagraphFont"/>
    <w:qFormat/>
    <w:rsid w:val="00cd6e45"/>
    <w:rPr>
      <w:rFonts w:ascii="Times New Roman" w:hAnsi="Times New Roman" w:eastAsia="Times New Roman" w:cs="Times New Roman"/>
      <w:sz w:val="24"/>
      <w:szCs w:val="24"/>
      <w:lang w:eastAsia="ru-RU"/>
    </w:rPr>
  </w:style>
  <w:style w:type="character" w:styleId="Style4" w:customStyle="1">
    <w:name w:val="Основной текст с отступом Знак"/>
    <w:basedOn w:val="DefaultParagraphFont"/>
    <w:qFormat/>
    <w:rsid w:val="00cd6e45"/>
    <w:rPr>
      <w:rFonts w:ascii="Times New Roman" w:hAnsi="Times New Roman" w:eastAsia="Times New Roman" w:cs="Times New Roman"/>
      <w:sz w:val="24"/>
      <w:szCs w:val="24"/>
      <w:lang w:eastAsia="ru-RU"/>
    </w:rPr>
  </w:style>
  <w:style w:type="character" w:styleId="Style5" w:customStyle="1">
    <w:name w:val="Нижний колонтитул Знак"/>
    <w:basedOn w:val="DefaultParagraphFont"/>
    <w:uiPriority w:val="99"/>
    <w:qFormat/>
    <w:rsid w:val="00cd6e45"/>
    <w:rPr>
      <w:rFonts w:ascii="Times New Roman" w:hAnsi="Times New Roman" w:eastAsia="Times New Roman" w:cs="Times New Roman"/>
      <w:sz w:val="28"/>
      <w:szCs w:val="28"/>
      <w:lang w:eastAsia="ru-RU"/>
    </w:rPr>
  </w:style>
  <w:style w:type="character" w:styleId="Style6" w:customStyle="1">
    <w:name w:val="Основной текст Знак"/>
    <w:basedOn w:val="DefaultParagraphFont"/>
    <w:qFormat/>
    <w:rsid w:val="00cd6e45"/>
    <w:rPr>
      <w:rFonts w:ascii="Times New Roman" w:hAnsi="Times New Roman" w:eastAsia="Times New Roman" w:cs="Times New Roman"/>
      <w:sz w:val="28"/>
      <w:szCs w:val="28"/>
      <w:lang w:eastAsia="ru-RU"/>
    </w:rPr>
  </w:style>
  <w:style w:type="character" w:styleId="21" w:customStyle="1">
    <w:name w:val="Основной текст с отступом 2 Знак"/>
    <w:basedOn w:val="DefaultParagraphFont"/>
    <w:link w:val="BodyTextIndent2"/>
    <w:qFormat/>
    <w:rsid w:val="00cd6e45"/>
    <w:rPr>
      <w:rFonts w:ascii="Times New Roman" w:hAnsi="Times New Roman" w:eastAsia="Times New Roman" w:cs="Times New Roman"/>
      <w:sz w:val="28"/>
      <w:szCs w:val="28"/>
      <w:lang w:eastAsia="ru-RU"/>
    </w:rPr>
  </w:style>
  <w:style w:type="character" w:styleId="31" w:customStyle="1">
    <w:name w:val="Основной текст 3 Знак"/>
    <w:basedOn w:val="DefaultParagraphFont"/>
    <w:link w:val="BodyText3"/>
    <w:qFormat/>
    <w:rsid w:val="00cd6e45"/>
    <w:rPr>
      <w:rFonts w:ascii="Times New Roman" w:hAnsi="Times New Roman" w:eastAsia="Times New Roman" w:cs="Times New Roman"/>
      <w:sz w:val="16"/>
      <w:szCs w:val="16"/>
      <w:lang w:eastAsia="ru-RU"/>
    </w:rPr>
  </w:style>
  <w:style w:type="character" w:styleId="32" w:customStyle="1">
    <w:name w:val="Основной текст с отступом 3 Знак"/>
    <w:basedOn w:val="DefaultParagraphFont"/>
    <w:link w:val="BodyTextIndent3"/>
    <w:qFormat/>
    <w:rsid w:val="00cd6e45"/>
    <w:rPr>
      <w:rFonts w:ascii="Times New Roman" w:hAnsi="Times New Roman" w:eastAsia="Times New Roman" w:cs="Times New Roman"/>
      <w:sz w:val="16"/>
      <w:szCs w:val="16"/>
      <w:lang w:eastAsia="ru-RU"/>
    </w:rPr>
  </w:style>
  <w:style w:type="character" w:styleId="22" w:customStyle="1">
    <w:name w:val="Основной текст 2 Знак"/>
    <w:basedOn w:val="DefaultParagraphFont"/>
    <w:link w:val="BodyText2"/>
    <w:qFormat/>
    <w:rsid w:val="00cd6e45"/>
    <w:rPr>
      <w:rFonts w:ascii="Times New Roman" w:hAnsi="Times New Roman" w:eastAsia="Times New Roman" w:cs="Times New Roman"/>
      <w:sz w:val="28"/>
      <w:szCs w:val="28"/>
      <w:lang w:eastAsia="ru-RU"/>
    </w:rPr>
  </w:style>
  <w:style w:type="character" w:styleId="Pagenumber">
    <w:name w:val="page number"/>
    <w:basedOn w:val="DefaultParagraphFont"/>
    <w:qFormat/>
    <w:rsid w:val="00cd6e45"/>
    <w:rPr/>
  </w:style>
  <w:style w:type="character" w:styleId="11" w:customStyle="1">
    <w:name w:val="Гиперссылка1"/>
    <w:qFormat/>
    <w:rsid w:val="00cd6e45"/>
    <w:rPr>
      <w:color w:val="0000FF"/>
      <w:u w:val="single"/>
    </w:rPr>
  </w:style>
  <w:style w:type="character" w:styleId="Style7" w:customStyle="1">
    <w:name w:val="Текст выноски Знак"/>
    <w:basedOn w:val="DefaultParagraphFont"/>
    <w:link w:val="BalloonText"/>
    <w:semiHidden/>
    <w:qFormat/>
    <w:rsid w:val="00cd6e45"/>
    <w:rPr>
      <w:rFonts w:ascii="Tahoma" w:hAnsi="Tahoma" w:eastAsia="Times New Roman" w:cs="Tahoma"/>
      <w:sz w:val="16"/>
      <w:szCs w:val="16"/>
      <w:lang w:eastAsia="ru-RU"/>
    </w:rPr>
  </w:style>
  <w:style w:type="character" w:styleId="Annotationreference">
    <w:name w:val="annotation reference"/>
    <w:qFormat/>
    <w:rsid w:val="00cd6e45"/>
    <w:rPr>
      <w:sz w:val="16"/>
      <w:szCs w:val="16"/>
    </w:rPr>
  </w:style>
  <w:style w:type="character" w:styleId="Style8" w:customStyle="1">
    <w:name w:val="Текст примечания Знак"/>
    <w:basedOn w:val="DefaultParagraphFont"/>
    <w:link w:val="Annotationtext"/>
    <w:qFormat/>
    <w:rsid w:val="00cd6e45"/>
    <w:rPr>
      <w:rFonts w:ascii="Times New Roman" w:hAnsi="Times New Roman" w:eastAsia="Times New Roman" w:cs="Times New Roman"/>
      <w:sz w:val="20"/>
      <w:szCs w:val="20"/>
      <w:lang w:eastAsia="ru-RU"/>
    </w:rPr>
  </w:style>
  <w:style w:type="character" w:styleId="Style9" w:customStyle="1">
    <w:name w:val="Тема примечания Знак"/>
    <w:basedOn w:val="Style8"/>
    <w:link w:val="Annotationsubject"/>
    <w:qFormat/>
    <w:rsid w:val="00cd6e45"/>
    <w:rPr>
      <w:rFonts w:ascii="Times New Roman" w:hAnsi="Times New Roman" w:eastAsia="Times New Roman" w:cs="Times New Roman"/>
      <w:b/>
      <w:bCs/>
      <w:sz w:val="20"/>
      <w:szCs w:val="20"/>
      <w:lang w:eastAsia="ru-RU"/>
    </w:rPr>
  </w:style>
  <w:style w:type="character" w:styleId="Strong1" w:customStyle="1">
    <w:name w:val="Strong1"/>
    <w:uiPriority w:val="22"/>
    <w:qFormat/>
    <w:rsid w:val="00cd6e45"/>
    <w:rPr>
      <w:b/>
      <w:bCs/>
    </w:rPr>
  </w:style>
  <w:style w:type="character" w:styleId="Style10" w:customStyle="1">
    <w:name w:val="Название Знак"/>
    <w:link w:val="17"/>
    <w:uiPriority w:val="10"/>
    <w:qFormat/>
    <w:rsid w:val="00cd6e45"/>
    <w:rPr>
      <w:rFonts w:ascii="Times New Roman" w:hAnsi="Times New Roman" w:eastAsia="Times New Roman" w:cs="Times New Roman"/>
      <w:sz w:val="28"/>
      <w:szCs w:val="20"/>
      <w:lang w:val="x-none" w:eastAsia="x-none"/>
    </w:rPr>
  </w:style>
  <w:style w:type="character" w:styleId="Style11" w:customStyle="1">
    <w:name w:val="Подзаголовок Знак"/>
    <w:basedOn w:val="DefaultParagraphFont"/>
    <w:uiPriority w:val="11"/>
    <w:qFormat/>
    <w:rsid w:val="00cd6e45"/>
    <w:rPr>
      <w:rFonts w:ascii="Cambria" w:hAnsi="Cambria" w:eastAsia="Times New Roman" w:cs="Times New Roman"/>
      <w:i/>
      <w:iCs/>
      <w:color w:val="4F81BD"/>
      <w:spacing w:val="15"/>
      <w:sz w:val="24"/>
      <w:szCs w:val="24"/>
      <w:lang w:val="x-none" w:eastAsia="x-none"/>
    </w:rPr>
  </w:style>
  <w:style w:type="character" w:styleId="Emphasis">
    <w:name w:val="Emphasis"/>
    <w:uiPriority w:val="20"/>
    <w:qFormat/>
    <w:rsid w:val="00cd6e45"/>
    <w:rPr>
      <w:i/>
      <w:iCs/>
    </w:rPr>
  </w:style>
  <w:style w:type="character" w:styleId="23" w:customStyle="1">
    <w:name w:val="Цитата 2 Знак"/>
    <w:basedOn w:val="DefaultParagraphFont"/>
    <w:link w:val="Quote"/>
    <w:uiPriority w:val="29"/>
    <w:qFormat/>
    <w:rsid w:val="00cd6e45"/>
    <w:rPr>
      <w:rFonts w:ascii="Calibri" w:hAnsi="Calibri" w:eastAsia="Calibri" w:cs="Times New Roman"/>
      <w:i/>
      <w:iCs/>
      <w:color w:val="000000"/>
      <w:sz w:val="20"/>
      <w:szCs w:val="20"/>
      <w:lang w:val="x-none" w:eastAsia="x-none"/>
    </w:rPr>
  </w:style>
  <w:style w:type="character" w:styleId="Style12" w:customStyle="1">
    <w:name w:val="Выделенная цитата Знак"/>
    <w:basedOn w:val="DefaultParagraphFont"/>
    <w:link w:val="IntenseQuote"/>
    <w:uiPriority w:val="30"/>
    <w:qFormat/>
    <w:rsid w:val="00cd6e45"/>
    <w:rPr>
      <w:rFonts w:ascii="Calibri" w:hAnsi="Calibri" w:eastAsia="Calibri" w:cs="Times New Roman"/>
      <w:b/>
      <w:bCs/>
      <w:i/>
      <w:iCs/>
      <w:color w:val="4F81BD"/>
      <w:sz w:val="20"/>
      <w:szCs w:val="20"/>
      <w:lang w:val="x-none" w:eastAsia="x-none"/>
    </w:rPr>
  </w:style>
  <w:style w:type="character" w:styleId="SubtleEmphasis">
    <w:name w:val="Subtle Emphasis"/>
    <w:uiPriority w:val="19"/>
    <w:qFormat/>
    <w:rsid w:val="00cd6e45"/>
    <w:rPr>
      <w:i/>
      <w:iCs/>
      <w:color w:val="808080"/>
    </w:rPr>
  </w:style>
  <w:style w:type="character" w:styleId="IntenseEmphasis">
    <w:name w:val="Intense Emphasis"/>
    <w:uiPriority w:val="21"/>
    <w:qFormat/>
    <w:rsid w:val="00cd6e45"/>
    <w:rPr>
      <w:b/>
      <w:bCs/>
      <w:i/>
      <w:iCs/>
      <w:color w:val="4F81BD"/>
    </w:rPr>
  </w:style>
  <w:style w:type="character" w:styleId="SubtleReference">
    <w:name w:val="Subtle Reference"/>
    <w:uiPriority w:val="31"/>
    <w:qFormat/>
    <w:rsid w:val="00cd6e45"/>
    <w:rPr>
      <w:smallCaps/>
      <w:color w:val="C0504D"/>
      <w:u w:val="single"/>
    </w:rPr>
  </w:style>
  <w:style w:type="character" w:styleId="IntenseReference">
    <w:name w:val="Intense Reference"/>
    <w:uiPriority w:val="32"/>
    <w:qFormat/>
    <w:rsid w:val="00cd6e45"/>
    <w:rPr>
      <w:b/>
      <w:bCs/>
      <w:smallCaps/>
      <w:color w:val="C0504D"/>
      <w:spacing w:val="5"/>
      <w:u w:val="single"/>
    </w:rPr>
  </w:style>
  <w:style w:type="character" w:styleId="BookTitle">
    <w:name w:val="Book Title"/>
    <w:uiPriority w:val="33"/>
    <w:qFormat/>
    <w:rsid w:val="00cd6e45"/>
    <w:rPr>
      <w:b/>
      <w:bCs/>
      <w:smallCaps/>
      <w:spacing w:val="5"/>
    </w:rPr>
  </w:style>
  <w:style w:type="character" w:styleId="Style13" w:customStyle="1">
    <w:name w:val="Электронная подпись Знак"/>
    <w:basedOn w:val="DefaultParagraphFont"/>
    <w:link w:val="E-mailSignature"/>
    <w:uiPriority w:val="99"/>
    <w:qFormat/>
    <w:rsid w:val="00cd6e45"/>
    <w:rPr>
      <w:rFonts w:ascii="Times New Roman" w:hAnsi="Times New Roman" w:eastAsia="Calibri" w:cs="Times New Roman"/>
      <w:sz w:val="24"/>
      <w:szCs w:val="24"/>
      <w:lang w:val="x-none" w:eastAsia="x-none"/>
    </w:rPr>
  </w:style>
  <w:style w:type="character" w:styleId="12" w:customStyle="1">
    <w:name w:val="Подпункт Знак1"/>
    <w:link w:val="Style27"/>
    <w:qFormat/>
    <w:locked/>
    <w:rsid w:val="00cd6e45"/>
    <w:rPr>
      <w:rFonts w:ascii="Times New Roman" w:hAnsi="Times New Roman" w:eastAsia="Times New Roman" w:cs="Times New Roman"/>
      <w:sz w:val="28"/>
      <w:szCs w:val="20"/>
      <w:lang w:val="x-none" w:eastAsia="x-none"/>
    </w:rPr>
  </w:style>
  <w:style w:type="character" w:styleId="Blk" w:customStyle="1">
    <w:name w:val="blk"/>
    <w:qFormat/>
    <w:rsid w:val="00cd6e45"/>
    <w:rPr/>
  </w:style>
  <w:style w:type="character" w:styleId="Style14" w:customStyle="1">
    <w:name w:val="Абзац списка Знак"/>
    <w:link w:val="ListParagraph"/>
    <w:uiPriority w:val="34"/>
    <w:qFormat/>
    <w:locked/>
    <w:rsid w:val="00cd6e45"/>
    <w:rPr>
      <w:rFonts w:ascii="Times New Roman" w:hAnsi="Times New Roman" w:eastAsia="Calibri" w:cs="Times New Roman"/>
      <w:sz w:val="24"/>
      <w:szCs w:val="24"/>
      <w:lang w:eastAsia="ru-RU"/>
    </w:rPr>
  </w:style>
  <w:style w:type="character" w:styleId="Style15" w:customStyle="1">
    <w:name w:val="Подподпункт Знак"/>
    <w:link w:val="Style34"/>
    <w:qFormat/>
    <w:locked/>
    <w:rsid w:val="00cd6e45"/>
    <w:rPr>
      <w:rFonts w:ascii="Times New Roman" w:hAnsi="Times New Roman" w:eastAsia="Times New Roman" w:cs="Times New Roman"/>
      <w:sz w:val="26"/>
      <w:szCs w:val="26"/>
      <w:lang w:eastAsia="ru-RU"/>
    </w:rPr>
  </w:style>
  <w:style w:type="character" w:styleId="33" w:customStyle="1">
    <w:name w:val="УРОВЕНЬ_Абзац_тип3 Знак"/>
    <w:link w:val="37"/>
    <w:qFormat/>
    <w:rsid w:val="00cd6e45"/>
    <w:rPr>
      <w:rFonts w:ascii="Times New Roman" w:hAnsi="Times New Roman" w:eastAsia="Calibri" w:cs="Times New Roman"/>
      <w:sz w:val="26"/>
      <w:szCs w:val="28"/>
    </w:rPr>
  </w:style>
  <w:style w:type="character" w:styleId="Style16" w:customStyle="1">
    <w:name w:val="Текст концевой сноски Знак"/>
    <w:basedOn w:val="DefaultParagraphFont"/>
    <w:qFormat/>
    <w:rsid w:val="00cd6e45"/>
    <w:rPr>
      <w:rFonts w:ascii="Times New Roman" w:hAnsi="Times New Roman" w:eastAsia="Times New Roman" w:cs="Times New Roman"/>
      <w:sz w:val="20"/>
      <w:szCs w:val="20"/>
      <w:lang w:eastAsia="ru-RU"/>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cd6e45"/>
    <w:rPr>
      <w:vertAlign w:val="superscript"/>
    </w:rPr>
  </w:style>
  <w:style w:type="character" w:styleId="24" w:customStyle="1">
    <w:name w:val="Пункт2 Знак"/>
    <w:link w:val="26"/>
    <w:qFormat/>
    <w:rsid w:val="00cd6e45"/>
    <w:rPr>
      <w:rFonts w:ascii="Times New Roman" w:hAnsi="Times New Roman" w:eastAsia="Times New Roman" w:cs="Times New Roman"/>
      <w:b/>
      <w:sz w:val="28"/>
      <w:szCs w:val="20"/>
      <w:lang w:eastAsia="ru-RU"/>
    </w:rPr>
  </w:style>
  <w:style w:type="character" w:styleId="13" w:customStyle="1">
    <w:name w:val="УРОВЕНЬ_1. Знак"/>
    <w:link w:val="111"/>
    <w:qFormat/>
    <w:rsid w:val="00cd6e45"/>
    <w:rPr>
      <w:rFonts w:ascii="Times New Roman" w:hAnsi="Times New Roman" w:eastAsia="Calibri" w:cs="Times New Roman"/>
      <w:caps/>
      <w:sz w:val="28"/>
      <w:szCs w:val="28"/>
    </w:rPr>
  </w:style>
  <w:style w:type="character" w:styleId="14" w:customStyle="1">
    <w:name w:val="Неразрешенное упоминание1"/>
    <w:basedOn w:val="DefaultParagraphFont"/>
    <w:uiPriority w:val="99"/>
    <w:semiHidden/>
    <w:unhideWhenUsed/>
    <w:qFormat/>
    <w:rsid w:val="00cd6e45"/>
    <w:rPr>
      <w:color w:val="605E5C"/>
      <w:shd w:fill="E1DFDD" w:val="clear"/>
    </w:rPr>
  </w:style>
  <w:style w:type="character" w:styleId="FontStyle16" w:customStyle="1">
    <w:name w:val="Font Style16"/>
    <w:qFormat/>
    <w:rsid w:val="00cd6e45"/>
    <w:rPr>
      <w:rFonts w:ascii="Times New Roman" w:hAnsi="Times New Roman" w:cs="Times New Roman"/>
      <w:sz w:val="22"/>
      <w:szCs w:val="22"/>
    </w:rPr>
  </w:style>
  <w:style w:type="character" w:styleId="Text" w:customStyle="1">
    <w:name w:val="text"/>
    <w:qFormat/>
    <w:rsid w:val="00682709"/>
    <w:rPr/>
  </w:style>
  <w:style w:type="character" w:styleId="Value" w:customStyle="1">
    <w:name w:val="value"/>
    <w:qFormat/>
    <w:rsid w:val="00682709"/>
    <w:rPr/>
  </w:style>
  <w:style w:type="character" w:styleId="Style18" w:customStyle="1">
    <w:name w:val="Текст Знак"/>
    <w:basedOn w:val="DefaultParagraphFont"/>
    <w:link w:val="PlainText"/>
    <w:uiPriority w:val="99"/>
    <w:qFormat/>
    <w:rsid w:val="00003389"/>
    <w:rPr>
      <w:rFonts w:ascii="Calibri" w:hAnsi="Calibri" w:eastAsia="Calibri" w:cs="Times New Roman"/>
      <w:szCs w:val="21"/>
      <w:lang w:val="x-none"/>
    </w:rPr>
  </w:style>
  <w:style w:type="character" w:styleId="Name" w:customStyle="1">
    <w:name w:val="name"/>
    <w:qFormat/>
    <w:rsid w:val="00003389"/>
    <w:rPr/>
  </w:style>
  <w:style w:type="character" w:styleId="Extended-textshort" w:customStyle="1">
    <w:name w:val="extended-text__short"/>
    <w:qFormat/>
    <w:rsid w:val="00003389"/>
    <w:rPr/>
  </w:style>
  <w:style w:type="character" w:styleId="15" w:customStyle="1">
    <w:name w:val="Просмотренная гиперссылка1"/>
    <w:qFormat/>
    <w:rsid w:val="00003389"/>
    <w:rPr>
      <w:color w:val="800080"/>
      <w:u w:val="single"/>
    </w:rPr>
  </w:style>
  <w:style w:type="character" w:styleId="Productcode" w:customStyle="1">
    <w:name w:val="product_code"/>
    <w:qFormat/>
    <w:rsid w:val="00003389"/>
    <w:rPr/>
  </w:style>
  <w:style w:type="character" w:styleId="Add-data-value" w:customStyle="1">
    <w:name w:val="add-data-value"/>
    <w:basedOn w:val="DefaultParagraphFont"/>
    <w:qFormat/>
    <w:rsid w:val="00003389"/>
    <w:rPr/>
  </w:style>
  <w:style w:type="character" w:styleId="Extendedtext-short" w:customStyle="1">
    <w:name w:val="extendedtext-short"/>
    <w:qFormat/>
    <w:rsid w:val="00003389"/>
    <w:rPr/>
  </w:style>
  <w:style w:type="character" w:styleId="Style19" w:customStyle="1">
    <w:name w:val="Символ нумерации"/>
    <w:qFormat/>
    <w:rPr/>
  </w:style>
  <w:style w:type="character" w:styleId="Strong2" w:customStyle="1">
    <w:name w:val="Strong2"/>
    <w:qFormat/>
    <w:rPr>
      <w:b/>
      <w:bCs/>
    </w:rPr>
  </w:style>
  <w:style w:type="character" w:styleId="Strong">
    <w:name w:val="Strong"/>
    <w:uiPriority w:val="22"/>
    <w:qFormat/>
    <w:rPr>
      <w:b/>
      <w:bCs/>
    </w:rPr>
  </w:style>
  <w:style w:type="character" w:styleId="Docdata" w:customStyle="1">
    <w:name w:val="docdata"/>
    <w:basedOn w:val="DefaultParagraphFont"/>
    <w:qFormat/>
    <w:rsid w:val="00b14d2a"/>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rsid w:val="00cd6e45"/>
    <w:pPr>
      <w:spacing w:before="0" w:after="120"/>
    </w:pPr>
    <w:rPr>
      <w:rFonts w:eastAsia="Times New Roman" w:cs="Times New Roman"/>
      <w:sz w:val="28"/>
      <w:szCs w:val="28"/>
      <w:lang w:eastAsia="ru-RU"/>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Cs w:val="24"/>
    </w:rPr>
  </w:style>
  <w:style w:type="paragraph" w:styleId="Indexheading1">
    <w:name w:val="index heading1"/>
    <w:basedOn w:val="Title"/>
    <w:qFormat/>
    <w:pPr/>
    <w:rPr/>
  </w:style>
  <w:style w:type="paragraph" w:styleId="Caption11" w:customStyle="1">
    <w:name w:val="caption11"/>
    <w:basedOn w:val="Normal"/>
    <w:next w:val="Normal"/>
    <w:uiPriority w:val="35"/>
    <w:qFormat/>
    <w:rsid w:val="00cd6e45"/>
    <w:pPr/>
    <w:rPr>
      <w:rFonts w:eastAsia="Calibri" w:cs="Times New Roman"/>
      <w:b/>
      <w:bCs/>
      <w:color w:val="4F81BD"/>
      <w:sz w:val="18"/>
      <w:szCs w:val="18"/>
      <w:lang w:eastAsia="ru-RU"/>
    </w:rPr>
  </w:style>
  <w:style w:type="paragraph" w:styleId="Indexheading11" w:customStyle="1">
    <w:name w:val="index heading11"/>
    <w:basedOn w:val="Title"/>
    <w:qFormat/>
    <w:pPr/>
    <w:rPr/>
  </w:style>
  <w:style w:type="paragraph" w:styleId="Style22" w:customStyle="1">
    <w:name w:val="Раздел положения"/>
    <w:basedOn w:val="Normal"/>
    <w:autoRedefine/>
    <w:qFormat/>
    <w:rsid w:val="00734d42"/>
    <w:pPr>
      <w:numPr>
        <w:ilvl w:val="0"/>
        <w:numId w:val="2"/>
      </w:numPr>
      <w:spacing w:before="80" w:after="80"/>
      <w:jc w:val="center"/>
    </w:pPr>
    <w:rPr>
      <w:rFonts w:eastAsia="Times New Roman" w:cs="Times New Roman"/>
      <w:b/>
      <w:sz w:val="32"/>
      <w:szCs w:val="32"/>
      <w:lang w:eastAsia="ru-RU"/>
    </w:rPr>
  </w:style>
  <w:style w:type="paragraph" w:styleId="Style23" w:customStyle="1">
    <w:name w:val="Подраздел раздела положения"/>
    <w:basedOn w:val="Normal"/>
    <w:autoRedefine/>
    <w:qFormat/>
    <w:rsid w:val="00734d42"/>
    <w:pPr>
      <w:numPr>
        <w:ilvl w:val="1"/>
        <w:numId w:val="2"/>
      </w:numPr>
      <w:spacing w:before="80" w:after="80"/>
      <w:jc w:val="both"/>
    </w:pPr>
    <w:rPr>
      <w:rFonts w:eastAsia="Times New Roman" w:cs="Times New Roman"/>
      <w:sz w:val="28"/>
      <w:szCs w:val="28"/>
      <w:lang w:eastAsia="ru-RU"/>
    </w:rPr>
  </w:style>
  <w:style w:type="paragraph" w:styleId="Style24" w:customStyle="1">
    <w:name w:val="Таблица шапка"/>
    <w:basedOn w:val="Normal"/>
    <w:qFormat/>
    <w:rsid w:val="00cd6e45"/>
    <w:pPr>
      <w:keepNext w:val="true"/>
      <w:spacing w:before="40" w:after="40"/>
      <w:ind w:left="57" w:right="57"/>
    </w:pPr>
    <w:rPr>
      <w:rFonts w:eastAsia="Times New Roman" w:cs="Times New Roman"/>
      <w:sz w:val="22"/>
      <w:szCs w:val="26"/>
      <w:lang w:eastAsia="ru-RU"/>
    </w:rPr>
  </w:style>
  <w:style w:type="paragraph" w:styleId="Style25" w:customStyle="1">
    <w:name w:val="Название раздела инструкции"/>
    <w:basedOn w:val="Normal"/>
    <w:autoRedefine/>
    <w:qFormat/>
    <w:rsid w:val="00cd6e45"/>
    <w:pPr>
      <w:jc w:val="center"/>
    </w:pPr>
    <w:rPr>
      <w:rFonts w:eastAsia="Times New Roman" w:cs="Times New Roman"/>
      <w:b/>
      <w:sz w:val="28"/>
      <w:szCs w:val="28"/>
      <w:lang w:eastAsia="ru-RU"/>
    </w:rPr>
  </w:style>
  <w:style w:type="paragraph" w:styleId="FootnoteText">
    <w:name w:val="Footnote Text"/>
    <w:basedOn w:val="Normal"/>
    <w:link w:val="Style1"/>
    <w:uiPriority w:val="99"/>
    <w:rsid w:val="00cd6e45"/>
    <w:pPr/>
    <w:rPr>
      <w:rFonts w:eastAsia="Times New Roman" w:cs="Times New Roman"/>
      <w:sz w:val="20"/>
      <w:szCs w:val="20"/>
      <w:lang w:eastAsia="ru-RU"/>
    </w:rPr>
  </w:style>
  <w:style w:type="paragraph" w:styleId="16" w:customStyle="1">
    <w:name w:val="Шапка 1"/>
    <w:basedOn w:val="Normal"/>
    <w:qFormat/>
    <w:rsid w:val="00cd6e45"/>
    <w:pPr>
      <w:pBdr>
        <w:bottom w:val="thickThinSmallGap" w:sz="24" w:space="1" w:color="000000"/>
      </w:pBdr>
      <w:spacing w:before="0" w:after="240"/>
      <w:jc w:val="center"/>
    </w:pPr>
    <w:rPr>
      <w:rFonts w:eastAsia="Times New Roman" w:cs="Times New Roman"/>
      <w:sz w:val="22"/>
      <w:lang w:eastAsia="ru-RU"/>
    </w:rPr>
  </w:style>
  <w:style w:type="paragraph" w:styleId="25" w:customStyle="1">
    <w:name w:val="Шапка 2"/>
    <w:basedOn w:val="Normal"/>
    <w:qFormat/>
    <w:rsid w:val="00cd6e45"/>
    <w:pPr>
      <w:pBdr>
        <w:bottom w:val="thickThinSmallGap" w:sz="24" w:space="1" w:color="000000"/>
      </w:pBdr>
      <w:spacing w:before="0" w:after="120"/>
      <w:jc w:val="center"/>
    </w:pPr>
    <w:rPr>
      <w:rFonts w:eastAsia="Times New Roman" w:cs="Times New Roman"/>
      <w:b/>
      <w:sz w:val="22"/>
      <w:lang w:eastAsia="ru-RU"/>
    </w:rPr>
  </w:style>
  <w:style w:type="paragraph" w:styleId="34" w:customStyle="1">
    <w:name w:val="Шапка 3"/>
    <w:basedOn w:val="Normal"/>
    <w:qFormat/>
    <w:rsid w:val="00cd6e45"/>
    <w:pPr>
      <w:pBdr>
        <w:bottom w:val="thickThinSmallGap" w:sz="24" w:space="1" w:color="000000"/>
      </w:pBdr>
      <w:spacing w:before="240" w:after="360"/>
      <w:jc w:val="center"/>
    </w:pPr>
    <w:rPr>
      <w:rFonts w:eastAsia="Times New Roman" w:cs="Times New Roman"/>
      <w:b/>
      <w:szCs w:val="24"/>
      <w:lang w:eastAsia="ru-RU"/>
    </w:rPr>
  </w:style>
  <w:style w:type="paragraph" w:styleId="17" w:customStyle="1">
    <w:name w:val="Название1"/>
    <w:basedOn w:val="Normal"/>
    <w:link w:val="Style10"/>
    <w:uiPriority w:val="10"/>
    <w:qFormat/>
    <w:rsid w:val="00cd6e45"/>
    <w:pPr>
      <w:jc w:val="center"/>
    </w:pPr>
    <w:rPr>
      <w:rFonts w:eastAsia="Times New Roman" w:cs="Times New Roman"/>
      <w:sz w:val="28"/>
      <w:szCs w:val="20"/>
      <w:lang w:val="x-none" w:eastAsia="x-none"/>
    </w:rPr>
  </w:style>
  <w:style w:type="paragraph" w:styleId="Style26" w:customStyle="1">
    <w:name w:val="Колонтитул"/>
    <w:basedOn w:val="Normal"/>
    <w:qFormat/>
    <w:pPr/>
    <w:rPr/>
  </w:style>
  <w:style w:type="paragraph" w:styleId="Header">
    <w:name w:val="Header"/>
    <w:basedOn w:val="Normal"/>
    <w:link w:val="Style3"/>
    <w:rsid w:val="00cd6e45"/>
    <w:pPr>
      <w:tabs>
        <w:tab w:val="clear" w:pos="708"/>
        <w:tab w:val="center" w:pos="4677" w:leader="none"/>
        <w:tab w:val="right" w:pos="9355" w:leader="none"/>
      </w:tabs>
    </w:pPr>
    <w:rPr>
      <w:rFonts w:eastAsia="Times New Roman" w:cs="Times New Roman"/>
      <w:szCs w:val="24"/>
      <w:lang w:eastAsia="ru-RU"/>
    </w:rPr>
  </w:style>
  <w:style w:type="paragraph" w:styleId="BodyTextIndent">
    <w:name w:val="Body Text Indent"/>
    <w:basedOn w:val="Normal"/>
    <w:link w:val="Style4"/>
    <w:rsid w:val="00cd6e45"/>
    <w:pPr>
      <w:ind w:left="360"/>
    </w:pPr>
    <w:rPr>
      <w:rFonts w:eastAsia="Times New Roman" w:cs="Times New Roman"/>
      <w:szCs w:val="24"/>
      <w:lang w:eastAsia="ru-RU"/>
    </w:rPr>
  </w:style>
  <w:style w:type="paragraph" w:styleId="Footer">
    <w:name w:val="Footer"/>
    <w:basedOn w:val="Normal"/>
    <w:link w:val="Style5"/>
    <w:uiPriority w:val="99"/>
    <w:rsid w:val="00cd6e45"/>
    <w:pPr>
      <w:tabs>
        <w:tab w:val="clear" w:pos="708"/>
        <w:tab w:val="center" w:pos="4677" w:leader="none"/>
        <w:tab w:val="right" w:pos="9355" w:leader="none"/>
      </w:tabs>
    </w:pPr>
    <w:rPr>
      <w:rFonts w:eastAsia="Times New Roman" w:cs="Times New Roman"/>
      <w:sz w:val="28"/>
      <w:szCs w:val="28"/>
      <w:lang w:eastAsia="ru-RU"/>
    </w:rPr>
  </w:style>
  <w:style w:type="paragraph" w:styleId="BodyTextIndent2">
    <w:name w:val="Body Text Indent 2"/>
    <w:basedOn w:val="Normal"/>
    <w:link w:val="21"/>
    <w:qFormat/>
    <w:rsid w:val="00cd6e45"/>
    <w:pPr>
      <w:spacing w:lineRule="auto" w:line="480" w:before="0" w:after="120"/>
      <w:ind w:left="283"/>
    </w:pPr>
    <w:rPr>
      <w:rFonts w:eastAsia="Times New Roman" w:cs="Times New Roman"/>
      <w:sz w:val="28"/>
      <w:szCs w:val="28"/>
      <w:lang w:eastAsia="ru-RU"/>
    </w:rPr>
  </w:style>
  <w:style w:type="paragraph" w:styleId="BodyText3">
    <w:name w:val="Body Text 3"/>
    <w:basedOn w:val="Normal"/>
    <w:link w:val="31"/>
    <w:qFormat/>
    <w:rsid w:val="00cd6e45"/>
    <w:pPr>
      <w:spacing w:before="0" w:after="120"/>
    </w:pPr>
    <w:rPr>
      <w:rFonts w:eastAsia="Times New Roman" w:cs="Times New Roman"/>
      <w:sz w:val="16"/>
      <w:szCs w:val="16"/>
      <w:lang w:eastAsia="ru-RU"/>
    </w:rPr>
  </w:style>
  <w:style w:type="paragraph" w:styleId="BodyTextIndent3">
    <w:name w:val="Body Text Indent 3"/>
    <w:basedOn w:val="Normal"/>
    <w:link w:val="32"/>
    <w:qFormat/>
    <w:rsid w:val="00cd6e45"/>
    <w:pPr>
      <w:spacing w:before="0" w:after="120"/>
      <w:ind w:left="283"/>
    </w:pPr>
    <w:rPr>
      <w:rFonts w:eastAsia="Times New Roman" w:cs="Times New Roman"/>
      <w:sz w:val="16"/>
      <w:szCs w:val="16"/>
      <w:lang w:eastAsia="ru-RU"/>
    </w:rPr>
  </w:style>
  <w:style w:type="paragraph" w:styleId="BodyText2">
    <w:name w:val="Body Text 2"/>
    <w:basedOn w:val="Normal"/>
    <w:link w:val="22"/>
    <w:qFormat/>
    <w:rsid w:val="00cd6e45"/>
    <w:pPr>
      <w:spacing w:lineRule="auto" w:line="480" w:before="0" w:after="120"/>
    </w:pPr>
    <w:rPr>
      <w:rFonts w:eastAsia="Times New Roman" w:cs="Times New Roman"/>
      <w:sz w:val="28"/>
      <w:szCs w:val="28"/>
      <w:lang w:eastAsia="ru-RU"/>
    </w:rPr>
  </w:style>
  <w:style w:type="paragraph" w:styleId="BlockText">
    <w:name w:val="Block Text"/>
    <w:basedOn w:val="Normal"/>
    <w:qFormat/>
    <w:rsid w:val="00cd6e45"/>
    <w:pPr>
      <w:ind w:left="-567" w:right="-766"/>
      <w:jc w:val="center"/>
    </w:pPr>
    <w:rPr>
      <w:rFonts w:eastAsia="Times New Roman" w:cs="Times New Roman"/>
      <w:b/>
      <w:bCs/>
      <w:szCs w:val="20"/>
      <w:lang w:eastAsia="ru-RU"/>
    </w:rPr>
  </w:style>
  <w:style w:type="paragraph" w:styleId="Style27" w:customStyle="1">
    <w:name w:val="Подпункт"/>
    <w:basedOn w:val="Normal"/>
    <w:link w:val="12"/>
    <w:qFormat/>
    <w:rsid w:val="00cd6e45"/>
    <w:pPr>
      <w:tabs>
        <w:tab w:val="clear" w:pos="708"/>
        <w:tab w:val="left" w:pos="1134" w:leader="none"/>
      </w:tabs>
      <w:snapToGrid w:val="false"/>
      <w:spacing w:lineRule="auto" w:line="360"/>
      <w:ind w:hanging="1134" w:left="1134"/>
      <w:jc w:val="both"/>
    </w:pPr>
    <w:rPr>
      <w:rFonts w:eastAsia="Times New Roman" w:cs="Times New Roman"/>
      <w:sz w:val="28"/>
      <w:szCs w:val="20"/>
      <w:lang w:val="x-none" w:eastAsia="x-none"/>
    </w:rPr>
  </w:style>
  <w:style w:type="paragraph" w:styleId="26" w:customStyle="1">
    <w:name w:val="Пункт2"/>
    <w:basedOn w:val="Normal"/>
    <w:link w:val="24"/>
    <w:qFormat/>
    <w:rsid w:val="00cd6e45"/>
    <w:pPr>
      <w:keepNext w:val="true"/>
      <w:tabs>
        <w:tab w:val="clear" w:pos="708"/>
        <w:tab w:val="left" w:pos="1134" w:leader="none"/>
      </w:tabs>
      <w:snapToGrid w:val="false"/>
      <w:spacing w:before="240" w:after="120"/>
      <w:ind w:hanging="1134" w:left="1134"/>
      <w:outlineLvl w:val="2"/>
    </w:pPr>
    <w:rPr>
      <w:rFonts w:eastAsia="Times New Roman" w:cs="Times New Roman"/>
      <w:b/>
      <w:sz w:val="28"/>
      <w:szCs w:val="20"/>
      <w:lang w:eastAsia="ru-RU"/>
    </w:rPr>
  </w:style>
  <w:style w:type="paragraph" w:styleId="TOC1">
    <w:name w:val="TOC 1"/>
    <w:basedOn w:val="Normal"/>
    <w:next w:val="Normal"/>
    <w:autoRedefine/>
    <w:uiPriority w:val="39"/>
    <w:rsid w:val="00cd6e45"/>
    <w:pPr>
      <w:spacing w:before="120" w:after="0"/>
    </w:pPr>
    <w:rPr>
      <w:rFonts w:eastAsia="Times New Roman" w:cs="Calibri Light (Заголовки)"/>
      <w:b/>
      <w:bCs/>
      <w:szCs w:val="24"/>
      <w:lang w:eastAsia="ru-RU"/>
    </w:rPr>
  </w:style>
  <w:style w:type="paragraph" w:styleId="TOC3">
    <w:name w:val="TOC 3"/>
    <w:basedOn w:val="Normal"/>
    <w:next w:val="Normal"/>
    <w:autoRedefine/>
    <w:uiPriority w:val="39"/>
    <w:rsid w:val="00cd6e45"/>
    <w:pPr>
      <w:ind w:left="280"/>
    </w:pPr>
    <w:rPr>
      <w:rFonts w:eastAsia="Times New Roman" w:cs="Calibri" w:cstheme="minorHAnsi"/>
      <w:sz w:val="20"/>
      <w:szCs w:val="20"/>
      <w:lang w:eastAsia="ru-RU"/>
    </w:rPr>
  </w:style>
  <w:style w:type="paragraph" w:styleId="Style28" w:customStyle="1">
    <w:name w:val="Раздел регламента"/>
    <w:basedOn w:val="Normal"/>
    <w:qFormat/>
    <w:rsid w:val="00cd6e45"/>
    <w:pPr/>
    <w:rPr>
      <w:rFonts w:eastAsia="Times New Roman" w:cs="Times New Roman"/>
      <w:sz w:val="28"/>
      <w:szCs w:val="28"/>
      <w:lang w:eastAsia="ru-RU"/>
    </w:rPr>
  </w:style>
  <w:style w:type="paragraph" w:styleId="Style29" w:customStyle="1">
    <w:name w:val="Приложение к регламенту"/>
    <w:basedOn w:val="Normal"/>
    <w:qFormat/>
    <w:rsid w:val="00cd6e45"/>
    <w:pPr>
      <w:jc w:val="right"/>
    </w:pPr>
    <w:rPr>
      <w:rFonts w:eastAsia="Times New Roman" w:cs="Times New Roman"/>
      <w:sz w:val="28"/>
      <w:szCs w:val="28"/>
      <w:lang w:eastAsia="ru-RU"/>
    </w:rPr>
  </w:style>
  <w:style w:type="paragraph" w:styleId="TOC2">
    <w:name w:val="TOC 2"/>
    <w:basedOn w:val="Normal"/>
    <w:next w:val="Normal"/>
    <w:autoRedefine/>
    <w:uiPriority w:val="39"/>
    <w:rsid w:val="00cd6e45"/>
    <w:pPr>
      <w:spacing w:before="240" w:after="0"/>
    </w:pPr>
    <w:rPr>
      <w:rFonts w:eastAsia="Times New Roman" w:cs="Calibri" w:cstheme="minorHAnsi"/>
      <w:b/>
      <w:bCs/>
      <w:sz w:val="20"/>
      <w:szCs w:val="20"/>
      <w:lang w:eastAsia="ru-RU"/>
    </w:rPr>
  </w:style>
  <w:style w:type="paragraph" w:styleId="BalloonText">
    <w:name w:val="Balloon Text"/>
    <w:basedOn w:val="Normal"/>
    <w:link w:val="Style7"/>
    <w:semiHidden/>
    <w:qFormat/>
    <w:rsid w:val="00cd6e45"/>
    <w:pPr/>
    <w:rPr>
      <w:rFonts w:ascii="Tahoma" w:hAnsi="Tahoma" w:eastAsia="Times New Roman" w:cs="Tahoma"/>
      <w:sz w:val="16"/>
      <w:szCs w:val="16"/>
      <w:lang w:eastAsia="ru-RU"/>
    </w:rPr>
  </w:style>
  <w:style w:type="paragraph" w:styleId="Annotationtext">
    <w:name w:val="annotation text"/>
    <w:basedOn w:val="Normal"/>
    <w:link w:val="Style8"/>
    <w:qFormat/>
    <w:rsid w:val="00cd6e45"/>
    <w:pPr/>
    <w:rPr>
      <w:rFonts w:eastAsia="Times New Roman" w:cs="Times New Roman"/>
      <w:sz w:val="20"/>
      <w:szCs w:val="20"/>
      <w:lang w:eastAsia="ru-RU"/>
    </w:rPr>
  </w:style>
  <w:style w:type="paragraph" w:styleId="Annotationsubject">
    <w:name w:val="annotation subject"/>
    <w:basedOn w:val="Annotationtext"/>
    <w:next w:val="Annotationtext"/>
    <w:link w:val="Style9"/>
    <w:qFormat/>
    <w:rsid w:val="00cd6e45"/>
    <w:pPr/>
    <w:rPr>
      <w:b/>
      <w:bCs/>
    </w:rPr>
  </w:style>
  <w:style w:type="paragraph" w:styleId="18" w:customStyle="1">
    <w:name w:val="Обычный (веб)1"/>
    <w:basedOn w:val="Normal"/>
    <w:uiPriority w:val="99"/>
    <w:qFormat/>
    <w:rsid w:val="00cd6e45"/>
    <w:pPr>
      <w:spacing w:beforeAutospacing="1" w:afterAutospacing="1"/>
    </w:pPr>
    <w:rPr>
      <w:rFonts w:ascii="Arial Unicode MS" w:hAnsi="Arial Unicode MS" w:eastAsia="Arial Unicode MS" w:cs="Arial Unicode MS"/>
      <w:szCs w:val="24"/>
      <w:lang w:eastAsia="ru-RU"/>
    </w:rPr>
  </w:style>
  <w:style w:type="paragraph" w:styleId="TOC9">
    <w:name w:val="TOC 9"/>
    <w:basedOn w:val="Normal"/>
    <w:next w:val="Normal"/>
    <w:autoRedefine/>
    <w:semiHidden/>
    <w:rsid w:val="00cd6e45"/>
    <w:pPr>
      <w:ind w:left="1960"/>
    </w:pPr>
    <w:rPr>
      <w:rFonts w:ascii="Calibri" w:hAnsi="Calibri" w:eastAsia="Times New Roman" w:cs="Calibri" w:asciiTheme="minorHAnsi" w:cstheme="minorHAnsi" w:hAnsiTheme="minorHAnsi"/>
      <w:sz w:val="20"/>
      <w:szCs w:val="20"/>
      <w:lang w:eastAsia="ru-RU"/>
    </w:rPr>
  </w:style>
  <w:style w:type="paragraph" w:styleId="TOC5">
    <w:name w:val="TOC 5"/>
    <w:basedOn w:val="Normal"/>
    <w:next w:val="Normal"/>
    <w:autoRedefine/>
    <w:semiHidden/>
    <w:rsid w:val="00cd6e45"/>
    <w:pPr>
      <w:ind w:left="840"/>
    </w:pPr>
    <w:rPr>
      <w:rFonts w:ascii="Calibri" w:hAnsi="Calibri" w:eastAsia="Times New Roman" w:cs="Calibri" w:asciiTheme="minorHAnsi" w:cstheme="minorHAnsi" w:hAnsiTheme="minorHAnsi"/>
      <w:sz w:val="20"/>
      <w:szCs w:val="20"/>
      <w:lang w:eastAsia="ru-RU"/>
    </w:rPr>
  </w:style>
  <w:style w:type="paragraph" w:styleId="TOC4">
    <w:name w:val="TOC 4"/>
    <w:basedOn w:val="Normal"/>
    <w:next w:val="Normal"/>
    <w:autoRedefine/>
    <w:uiPriority w:val="39"/>
    <w:rsid w:val="00cd6e45"/>
    <w:pPr>
      <w:ind w:left="560"/>
    </w:pPr>
    <w:rPr>
      <w:rFonts w:eastAsia="Times New Roman" w:cs="Calibri" w:cstheme="minorHAnsi"/>
      <w:sz w:val="20"/>
      <w:szCs w:val="20"/>
      <w:lang w:eastAsia="ru-RU"/>
    </w:rPr>
  </w:style>
  <w:style w:type="paragraph" w:styleId="27" w:customStyle="1">
    <w:name w:val="Раздел положения 2"/>
    <w:basedOn w:val="Normal"/>
    <w:qFormat/>
    <w:rsid w:val="00cd6e45"/>
    <w:pPr>
      <w:pageBreakBefore/>
      <w:jc w:val="both"/>
      <w:outlineLvl w:val="0"/>
    </w:pPr>
    <w:rPr>
      <w:rFonts w:eastAsia="Times New Roman" w:cs="Times New Roman"/>
      <w:b/>
      <w:sz w:val="28"/>
      <w:szCs w:val="28"/>
      <w:lang w:eastAsia="ru-RU"/>
    </w:rPr>
  </w:style>
  <w:style w:type="paragraph" w:styleId="Style30" w:customStyle="1">
    <w:name w:val="Знак Знак Знак Знак Знак Знак Знак Знак Знак"/>
    <w:basedOn w:val="Normal"/>
    <w:qFormat/>
    <w:rsid w:val="004900e5"/>
    <w:pPr>
      <w:spacing w:lineRule="exact" w:line="240" w:before="0" w:after="160"/>
      <w:jc w:val="both"/>
    </w:pPr>
    <w:rPr>
      <w:rFonts w:ascii="Verdana" w:hAnsi="Verdana" w:eastAsia="Times New Roman" w:cs="Times New Roman"/>
      <w:sz w:val="22"/>
      <w:szCs w:val="20"/>
      <w:lang w:val="en-US"/>
    </w:rPr>
  </w:style>
  <w:style w:type="paragraph" w:styleId="NoSpacing">
    <w:name w:val="No Spacing"/>
    <w:basedOn w:val="Normal"/>
    <w:uiPriority w:val="1"/>
    <w:qFormat/>
    <w:rsid w:val="00cd6e45"/>
    <w:pPr>
      <w:spacing w:lineRule="auto" w:line="360"/>
    </w:pPr>
    <w:rPr>
      <w:rFonts w:eastAsia="Calibri" w:cs="Times New Roman"/>
      <w:szCs w:val="24"/>
      <w:lang w:eastAsia="ru-RU"/>
    </w:rPr>
  </w:style>
  <w:style w:type="paragraph" w:styleId="Subtitle">
    <w:name w:val="Subtitle"/>
    <w:basedOn w:val="Normal"/>
    <w:next w:val="Normal"/>
    <w:link w:val="Style11"/>
    <w:uiPriority w:val="11"/>
    <w:qFormat/>
    <w:rsid w:val="00cd6e45"/>
    <w:pPr>
      <w:ind w:firstLine="709" w:left="1066"/>
    </w:pPr>
    <w:rPr>
      <w:rFonts w:ascii="Cambria" w:hAnsi="Cambria" w:eastAsia="Times New Roman" w:cs="Times New Roman"/>
      <w:i/>
      <w:iCs/>
      <w:color w:val="4F81BD"/>
      <w:spacing w:val="15"/>
      <w:szCs w:val="24"/>
      <w:lang w:val="x-none" w:eastAsia="x-none"/>
    </w:rPr>
  </w:style>
  <w:style w:type="paragraph" w:styleId="ListParagraph">
    <w:name w:val="List Paragraph"/>
    <w:basedOn w:val="Normal"/>
    <w:link w:val="Style14"/>
    <w:uiPriority w:val="99"/>
    <w:qFormat/>
    <w:rsid w:val="00cd6e45"/>
    <w:pPr>
      <w:spacing w:before="0" w:after="0"/>
      <w:ind w:left="720"/>
      <w:contextualSpacing/>
    </w:pPr>
    <w:rPr>
      <w:rFonts w:eastAsia="Calibri" w:cs="Times New Roman"/>
      <w:szCs w:val="24"/>
      <w:lang w:eastAsia="ru-RU"/>
    </w:rPr>
  </w:style>
  <w:style w:type="paragraph" w:styleId="Quote">
    <w:name w:val="Quote"/>
    <w:basedOn w:val="Normal"/>
    <w:next w:val="Normal"/>
    <w:link w:val="23"/>
    <w:uiPriority w:val="29"/>
    <w:qFormat/>
    <w:rsid w:val="00cd6e45"/>
    <w:pPr/>
    <w:rPr>
      <w:rFonts w:ascii="Calibri" w:hAnsi="Calibri" w:eastAsia="Calibri" w:cs="Times New Roman"/>
      <w:i/>
      <w:iCs/>
      <w:color w:val="000000"/>
      <w:sz w:val="20"/>
      <w:szCs w:val="20"/>
      <w:lang w:val="x-none" w:eastAsia="x-none"/>
    </w:rPr>
  </w:style>
  <w:style w:type="paragraph" w:styleId="IntenseQuote">
    <w:name w:val="Intense Quote"/>
    <w:basedOn w:val="Normal"/>
    <w:next w:val="Normal"/>
    <w:link w:val="Style12"/>
    <w:uiPriority w:val="30"/>
    <w:qFormat/>
    <w:rsid w:val="00cd6e45"/>
    <w:pPr>
      <w:pBdr>
        <w:bottom w:val="single" w:sz="4" w:space="4" w:color="4F81BD"/>
      </w:pBdr>
      <w:spacing w:before="200" w:after="280"/>
      <w:ind w:left="936" w:right="936"/>
    </w:pPr>
    <w:rPr>
      <w:rFonts w:ascii="Calibri" w:hAnsi="Calibri" w:eastAsia="Calibri" w:cs="Times New Roman"/>
      <w:b/>
      <w:bCs/>
      <w:i/>
      <w:iCs/>
      <w:color w:val="4F81BD"/>
      <w:sz w:val="20"/>
      <w:szCs w:val="20"/>
      <w:lang w:val="x-none" w:eastAsia="x-none"/>
    </w:rPr>
  </w:style>
  <w:style w:type="paragraph" w:styleId="IndexHeading">
    <w:name w:val="Index Heading"/>
    <w:basedOn w:val="Style20"/>
    <w:pPr/>
    <w:rPr/>
  </w:style>
  <w:style w:type="paragraph" w:styleId="TOCHeading">
    <w:name w:val="TOC Heading"/>
    <w:basedOn w:val="Heading1"/>
    <w:next w:val="Normal"/>
    <w:uiPriority w:val="39"/>
    <w:qFormat/>
    <w:rsid w:val="00cd6e45"/>
    <w:pPr>
      <w:keepLines/>
      <w:tabs>
        <w:tab w:val="clear" w:pos="0"/>
        <w:tab w:val="left" w:pos="709" w:leader="none"/>
      </w:tabs>
      <w:spacing w:before="480" w:after="0"/>
      <w:ind w:hanging="360" w:left="3196"/>
      <w:outlineLvl w:val="9"/>
    </w:pPr>
    <w:rPr>
      <w:rFonts w:ascii="Cambria" w:hAnsi="Cambria"/>
      <w:bCs/>
      <w:color w:val="365F91"/>
    </w:rPr>
  </w:style>
  <w:style w:type="paragraph" w:styleId="E-mailSignature">
    <w:name w:val="E-mail Signature"/>
    <w:basedOn w:val="Normal"/>
    <w:link w:val="Style13"/>
    <w:uiPriority w:val="99"/>
    <w:unhideWhenUsed/>
    <w:qFormat/>
    <w:rsid w:val="00cd6e45"/>
    <w:pPr/>
    <w:rPr>
      <w:rFonts w:eastAsia="Calibri" w:cs="Times New Roman"/>
      <w:szCs w:val="24"/>
      <w:lang w:val="x-none" w:eastAsia="x-none"/>
    </w:rPr>
  </w:style>
  <w:style w:type="paragraph" w:styleId="Style31" w:customStyle="1">
    <w:name w:val="Знак"/>
    <w:basedOn w:val="Normal"/>
    <w:qFormat/>
    <w:rsid w:val="00cd6e45"/>
    <w:pPr>
      <w:spacing w:lineRule="exact" w:line="240" w:before="0" w:after="160"/>
    </w:pPr>
    <w:rPr>
      <w:rFonts w:ascii="Verdana" w:hAnsi="Verdana" w:eastAsia="Times New Roman" w:cs="Verdana"/>
      <w:sz w:val="20"/>
      <w:szCs w:val="20"/>
      <w:lang w:val="en-US"/>
    </w:rPr>
  </w:style>
  <w:style w:type="paragraph" w:styleId="35" w:customStyle="1">
    <w:name w:val="Нумерованный список ур3"/>
    <w:basedOn w:val="Normal"/>
    <w:qFormat/>
    <w:rsid w:val="00cd6e45"/>
    <w:pPr>
      <w:numPr>
        <w:ilvl w:val="2"/>
        <w:numId w:val="3"/>
      </w:numPr>
      <w:jc w:val="both"/>
    </w:pPr>
    <w:rPr>
      <w:rFonts w:ascii="Garamond" w:hAnsi="Garamond" w:eastAsia="Times New Roman" w:cs="Times New Roman"/>
      <w:szCs w:val="20"/>
      <w:lang w:eastAsia="ru-RU"/>
    </w:rPr>
  </w:style>
  <w:style w:type="paragraph" w:styleId="311" w:customStyle="1">
    <w:name w:val="Список 31"/>
    <w:basedOn w:val="Normal"/>
    <w:qFormat/>
    <w:rsid w:val="00cd6e45"/>
    <w:pPr>
      <w:numPr>
        <w:ilvl w:val="0"/>
        <w:numId w:val="3"/>
      </w:numPr>
      <w:spacing w:before="120" w:after="0"/>
      <w:jc w:val="both"/>
    </w:pPr>
    <w:rPr>
      <w:rFonts w:ascii="Garamond" w:hAnsi="Garamond" w:eastAsia="Times New Roman" w:cs="Times New Roman"/>
      <w:szCs w:val="20"/>
      <w:lang w:eastAsia="ru-RU"/>
    </w:rPr>
  </w:style>
  <w:style w:type="paragraph" w:styleId="28" w:customStyle="1">
    <w:name w:val="Нумерованный список ур2"/>
    <w:basedOn w:val="Normal"/>
    <w:qFormat/>
    <w:rsid w:val="00cd6e45"/>
    <w:pPr>
      <w:numPr>
        <w:ilvl w:val="1"/>
        <w:numId w:val="3"/>
      </w:numPr>
      <w:spacing w:before="120" w:after="0"/>
      <w:jc w:val="both"/>
    </w:pPr>
    <w:rPr>
      <w:rFonts w:ascii="Garamond" w:hAnsi="Garamond" w:eastAsia="Times New Roman" w:cs="Times New Roman"/>
      <w:szCs w:val="20"/>
      <w:lang w:eastAsia="ru-RU"/>
    </w:rPr>
  </w:style>
  <w:style w:type="paragraph" w:styleId="Revision">
    <w:name w:val="Revision"/>
    <w:uiPriority w:val="99"/>
    <w:semiHidden/>
    <w:qFormat/>
    <w:rsid w:val="00cd6e45"/>
    <w:pPr>
      <w:widowControl/>
      <w:suppressAutoHyphens w:val="true"/>
      <w:bidi w:val="0"/>
      <w:spacing w:before="0" w:after="0"/>
      <w:jc w:val="left"/>
    </w:pPr>
    <w:rPr>
      <w:rFonts w:ascii="Times New Roman" w:hAnsi="Times New Roman" w:cs="Times New Roman" w:eastAsia="Calibri" w:eastAsiaTheme="minorHAnsi"/>
      <w:color w:val="auto"/>
      <w:kern w:val="0"/>
      <w:sz w:val="24"/>
      <w:szCs w:val="24"/>
      <w:lang w:eastAsia="ru-RU" w:val="ru-RU" w:bidi="ar-SA"/>
    </w:rPr>
  </w:style>
  <w:style w:type="paragraph" w:styleId="ConsPlusNormal" w:customStyle="1">
    <w:name w:val="ConsPlusNormal"/>
    <w:qFormat/>
    <w:rsid w:val="00cd6e45"/>
    <w:pPr>
      <w:widowControl w:val="false"/>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36" w:customStyle="1">
    <w:name w:val="Знак Знак3 Знак Знак"/>
    <w:basedOn w:val="Normal"/>
    <w:qFormat/>
    <w:rsid w:val="00cd6e45"/>
    <w:pPr>
      <w:spacing w:lineRule="exact" w:line="240" w:before="0" w:after="160"/>
      <w:jc w:val="both"/>
    </w:pPr>
    <w:rPr>
      <w:rFonts w:ascii="Verdana" w:hAnsi="Verdana" w:eastAsia="Times New Roman" w:cs="Verdana"/>
      <w:sz w:val="22"/>
      <w:lang w:val="en-US"/>
    </w:rPr>
  </w:style>
  <w:style w:type="paragraph" w:styleId="Style32" w:customStyle="1">
    <w:name w:val="Пункт"/>
    <w:basedOn w:val="Normal"/>
    <w:qFormat/>
    <w:rsid w:val="00cd6e45"/>
    <w:pPr>
      <w:widowControl w:val="false"/>
      <w:tabs>
        <w:tab w:val="clear" w:pos="708"/>
        <w:tab w:val="left" w:pos="1134" w:leader="none"/>
      </w:tabs>
      <w:spacing w:lineRule="auto" w:line="360" w:before="120" w:after="0"/>
      <w:ind w:hanging="1134" w:left="1134" w:right="800"/>
      <w:jc w:val="both"/>
    </w:pPr>
    <w:rPr>
      <w:rFonts w:ascii="Arial" w:hAnsi="Arial" w:eastAsia="Times New Roman" w:cs="Times New Roman"/>
      <w:b/>
      <w:i/>
      <w:sz w:val="28"/>
      <w:szCs w:val="20"/>
      <w:lang w:eastAsia="ru-RU"/>
    </w:rPr>
  </w:style>
  <w:style w:type="paragraph" w:styleId="19" w:customStyle="1">
    <w:name w:val="Абзац списка1"/>
    <w:basedOn w:val="Normal"/>
    <w:qFormat/>
    <w:rsid w:val="00cd6e45"/>
    <w:pPr>
      <w:spacing w:lineRule="auto" w:line="276" w:before="0" w:after="200"/>
      <w:ind w:left="720"/>
      <w:contextualSpacing/>
    </w:pPr>
    <w:rPr>
      <w:rFonts w:ascii="Calibri" w:hAnsi="Calibri" w:eastAsia="Times New Roman" w:cs="Times New Roman"/>
      <w:sz w:val="22"/>
    </w:rPr>
  </w:style>
  <w:style w:type="paragraph" w:styleId="Style33" w:customStyle="1">
    <w:name w:val="Таблица"/>
    <w:basedOn w:val="Normal"/>
    <w:qFormat/>
    <w:rsid w:val="00cd6e45"/>
    <w:pPr>
      <w:keepNext w:val="true"/>
      <w:spacing w:before="60" w:after="60"/>
      <w:jc w:val="center"/>
    </w:pPr>
    <w:rPr>
      <w:rFonts w:eastAsia="Calibri" w:cs="Times New Roman"/>
      <w:b/>
      <w:szCs w:val="24"/>
      <w:lang w:val="x-none" w:eastAsia="x-none"/>
    </w:rPr>
  </w:style>
  <w:style w:type="paragraph" w:styleId="Style34" w:customStyle="1">
    <w:name w:val="Подподпункт"/>
    <w:basedOn w:val="Style27"/>
    <w:link w:val="Style15"/>
    <w:qFormat/>
    <w:rsid w:val="00cd6e45"/>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5" w:customStyle="1">
    <w:name w:val="УРОВЕНЬ_(а)"/>
    <w:basedOn w:val="ListParagraph"/>
    <w:qFormat/>
    <w:rsid w:val="00cd6e45"/>
    <w:pPr>
      <w:numPr>
        <w:ilvl w:val="3"/>
        <w:numId w:val="4"/>
      </w:numPr>
      <w:spacing w:lineRule="exact" w:line="360" w:before="120" w:after="0"/>
      <w:ind w:hanging="648" w:left="1728"/>
      <w:contextualSpacing w:val="false"/>
      <w:jc w:val="both"/>
      <w:outlineLvl w:val="3"/>
    </w:pPr>
    <w:rPr>
      <w:sz w:val="26"/>
      <w:szCs w:val="28"/>
      <w:lang w:eastAsia="en-US"/>
    </w:rPr>
  </w:style>
  <w:style w:type="paragraph" w:styleId="-" w:customStyle="1">
    <w:name w:val="УРОВЕНЬ_-"/>
    <w:basedOn w:val="ListParagraph"/>
    <w:qFormat/>
    <w:rsid w:val="00cd6e45"/>
    <w:pPr>
      <w:numPr>
        <w:ilvl w:val="4"/>
        <w:numId w:val="4"/>
      </w:numPr>
      <w:spacing w:lineRule="exact" w:line="360" w:before="120" w:after="0"/>
      <w:ind w:hanging="792" w:left="2232"/>
      <w:contextualSpacing w:val="false"/>
      <w:jc w:val="both"/>
      <w:outlineLvl w:val="4"/>
    </w:pPr>
    <w:rPr>
      <w:sz w:val="26"/>
      <w:szCs w:val="28"/>
      <w:lang w:eastAsia="en-US"/>
    </w:rPr>
  </w:style>
  <w:style w:type="paragraph" w:styleId="29" w:customStyle="1">
    <w:name w:val="УРОВЕНЬ_Абзац_тип2"/>
    <w:basedOn w:val="ListParagraph"/>
    <w:qFormat/>
    <w:rsid w:val="00cd6e45"/>
    <w:pPr>
      <w:numPr>
        <w:ilvl w:val="6"/>
        <w:numId w:val="4"/>
      </w:numPr>
      <w:spacing w:lineRule="exact" w:line="360" w:before="120" w:after="0"/>
      <w:ind w:hanging="1080" w:left="3240"/>
      <w:contextualSpacing w:val="false"/>
      <w:jc w:val="both"/>
    </w:pPr>
    <w:rPr>
      <w:sz w:val="26"/>
      <w:szCs w:val="28"/>
      <w:lang w:eastAsia="en-US"/>
    </w:rPr>
  </w:style>
  <w:style w:type="paragraph" w:styleId="37" w:customStyle="1">
    <w:name w:val="УРОВЕНЬ_Абзац_тип3"/>
    <w:basedOn w:val="ListParagraph"/>
    <w:link w:val="33"/>
    <w:qFormat/>
    <w:rsid w:val="00cd6e45"/>
    <w:pPr>
      <w:numPr>
        <w:ilvl w:val="7"/>
        <w:numId w:val="4"/>
      </w:numPr>
      <w:spacing w:lineRule="exact" w:line="360" w:before="120" w:after="0"/>
      <w:contextualSpacing w:val="false"/>
      <w:jc w:val="both"/>
    </w:pPr>
    <w:rPr>
      <w:sz w:val="26"/>
      <w:szCs w:val="28"/>
      <w:lang w:eastAsia="en-US"/>
    </w:rPr>
  </w:style>
  <w:style w:type="paragraph" w:styleId="Style36" w:customStyle="1">
    <w:name w:val="УРОВЕНЬ_Подпись"/>
    <w:basedOn w:val="ListParagraph"/>
    <w:qFormat/>
    <w:rsid w:val="00cd6e45"/>
    <w:pPr>
      <w:keepNext w:val="true"/>
      <w:numPr>
        <w:ilvl w:val="5"/>
        <w:numId w:val="4"/>
      </w:numPr>
      <w:spacing w:lineRule="exact" w:line="360" w:before="120" w:after="120"/>
      <w:ind w:hanging="936" w:left="2736"/>
      <w:contextualSpacing w:val="false"/>
      <w:jc w:val="right"/>
      <w:outlineLvl w:val="3"/>
    </w:pPr>
    <w:rPr>
      <w:sz w:val="26"/>
      <w:szCs w:val="28"/>
      <w:lang w:eastAsia="en-US"/>
    </w:rPr>
  </w:style>
  <w:style w:type="paragraph" w:styleId="110" w:customStyle="1">
    <w:name w:val="Стиль Заголовок 1 + по ширине"/>
    <w:basedOn w:val="Heading1"/>
    <w:qFormat/>
    <w:rsid w:val="00cd6e45"/>
    <w:pPr>
      <w:keepLines/>
      <w:tabs>
        <w:tab w:val="clear" w:pos="0"/>
        <w:tab w:val="left" w:pos="567" w:leader="none"/>
        <w:tab w:val="left" w:pos="709"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6"/>
    <w:rsid w:val="00cd6e45"/>
    <w:pPr/>
    <w:rPr>
      <w:rFonts w:eastAsia="Times New Roman" w:cs="Times New Roman"/>
      <w:sz w:val="20"/>
      <w:szCs w:val="20"/>
      <w:lang w:eastAsia="ru-RU"/>
    </w:rPr>
  </w:style>
  <w:style w:type="paragraph" w:styleId="210" w:customStyle="1">
    <w:name w:val="Заголовок 2 КВВ"/>
    <w:basedOn w:val="Normal"/>
    <w:qFormat/>
    <w:rsid w:val="00cd6e45"/>
    <w:pPr>
      <w:keepNext w:val="true"/>
      <w:numPr>
        <w:ilvl w:val="0"/>
        <w:numId w:val="5"/>
      </w:numPr>
      <w:spacing w:before="120" w:after="120"/>
      <w:jc w:val="both"/>
      <w:outlineLvl w:val="0"/>
    </w:pPr>
    <w:rPr>
      <w:rFonts w:eastAsia="Times New Roman" w:cs="Times New Roman"/>
      <w:b/>
      <w:kern w:val="2"/>
      <w:szCs w:val="20"/>
      <w:lang w:eastAsia="x-none"/>
    </w:rPr>
  </w:style>
  <w:style w:type="paragraph" w:styleId="Style37" w:customStyle="1">
    <w:name w:val="Таблица текст"/>
    <w:basedOn w:val="Normal"/>
    <w:qFormat/>
    <w:rsid w:val="00cd6e45"/>
    <w:pPr>
      <w:spacing w:before="40" w:after="40"/>
      <w:ind w:left="57" w:right="57"/>
    </w:pPr>
    <w:rPr>
      <w:rFonts w:eastAsia="Times New Roman" w:cs="Times New Roman"/>
      <w:szCs w:val="26"/>
      <w:lang w:eastAsia="ru-RU"/>
    </w:rPr>
  </w:style>
  <w:style w:type="paragraph" w:styleId="NormalWeb">
    <w:name w:val="Normal (Web)"/>
    <w:basedOn w:val="Normal"/>
    <w:uiPriority w:val="99"/>
    <w:unhideWhenUsed/>
    <w:qFormat/>
    <w:rsid w:val="00cd6e45"/>
    <w:pPr>
      <w:spacing w:beforeAutospacing="1" w:afterAutospacing="1"/>
    </w:pPr>
    <w:rPr>
      <w:rFonts w:eastAsia="Times New Roman" w:cs="Times New Roman"/>
      <w:szCs w:val="24"/>
      <w:lang w:eastAsia="ru-RU"/>
    </w:rPr>
  </w:style>
  <w:style w:type="paragraph" w:styleId="111" w:customStyle="1">
    <w:name w:val="УРОВЕНЬ_1."/>
    <w:basedOn w:val="ListParagraph"/>
    <w:link w:val="13"/>
    <w:qFormat/>
    <w:rsid w:val="00cd6e45"/>
    <w:pPr>
      <w:keepNext w:val="true"/>
      <w:keepLines/>
      <w:spacing w:lineRule="auto" w:line="276" w:before="240" w:after="120"/>
      <w:ind w:left="0"/>
      <w:contextualSpacing w:val="false"/>
      <w:jc w:val="both"/>
      <w:outlineLvl w:val="0"/>
    </w:pPr>
    <w:rPr>
      <w:caps/>
      <w:sz w:val="28"/>
      <w:szCs w:val="28"/>
      <w:lang w:eastAsia="en-US"/>
    </w:rPr>
  </w:style>
  <w:style w:type="paragraph" w:styleId="TOC6">
    <w:name w:val="TOC 6"/>
    <w:basedOn w:val="Normal"/>
    <w:next w:val="Normal"/>
    <w:autoRedefine/>
    <w:unhideWhenUsed/>
    <w:rsid w:val="00cd6e45"/>
    <w:pPr>
      <w:ind w:left="1120"/>
    </w:pPr>
    <w:rPr>
      <w:rFonts w:ascii="Calibri" w:hAnsi="Calibri" w:eastAsia="Times New Roman" w:cs="Calibri" w:asciiTheme="minorHAnsi" w:cstheme="minorHAnsi" w:hAnsiTheme="minorHAnsi"/>
      <w:sz w:val="20"/>
      <w:szCs w:val="20"/>
      <w:lang w:eastAsia="ru-RU"/>
    </w:rPr>
  </w:style>
  <w:style w:type="paragraph" w:styleId="TOC7">
    <w:name w:val="TOC 7"/>
    <w:basedOn w:val="Normal"/>
    <w:next w:val="Normal"/>
    <w:autoRedefine/>
    <w:unhideWhenUsed/>
    <w:rsid w:val="00cd6e45"/>
    <w:pPr>
      <w:ind w:left="1400"/>
    </w:pPr>
    <w:rPr>
      <w:rFonts w:ascii="Calibri" w:hAnsi="Calibri" w:eastAsia="Times New Roman" w:cs="Calibri" w:asciiTheme="minorHAnsi" w:cstheme="minorHAnsi" w:hAnsiTheme="minorHAnsi"/>
      <w:sz w:val="20"/>
      <w:szCs w:val="20"/>
      <w:lang w:eastAsia="ru-RU"/>
    </w:rPr>
  </w:style>
  <w:style w:type="paragraph" w:styleId="TOC8">
    <w:name w:val="TOC 8"/>
    <w:basedOn w:val="Normal"/>
    <w:next w:val="Normal"/>
    <w:autoRedefine/>
    <w:unhideWhenUsed/>
    <w:rsid w:val="00cd6e45"/>
    <w:pPr>
      <w:ind w:left="1680"/>
    </w:pPr>
    <w:rPr>
      <w:rFonts w:ascii="Calibri" w:hAnsi="Calibri" w:eastAsia="Times New Roman" w:cs="Calibri" w:asciiTheme="minorHAnsi" w:cstheme="minorHAnsi" w:hAnsiTheme="minorHAnsi"/>
      <w:sz w:val="20"/>
      <w:szCs w:val="20"/>
      <w:lang w:eastAsia="ru-RU"/>
    </w:rPr>
  </w:style>
  <w:style w:type="paragraph" w:styleId="Style38" w:customStyle="1">
    <w:name w:val="Знак Знак Знак Знак"/>
    <w:basedOn w:val="Normal"/>
    <w:qFormat/>
    <w:rsid w:val="00e82248"/>
    <w:pPr>
      <w:spacing w:lineRule="exact" w:line="240" w:before="0" w:after="160"/>
    </w:pPr>
    <w:rPr>
      <w:rFonts w:ascii="Verdana" w:hAnsi="Verdana" w:eastAsia="Times New Roman" w:cs="Verdana"/>
      <w:sz w:val="20"/>
      <w:szCs w:val="20"/>
      <w:lang w:val="en-US"/>
    </w:rPr>
  </w:style>
  <w:style w:type="paragraph" w:styleId="-1" w:customStyle="1">
    <w:name w:val="Контракт-раздел"/>
    <w:basedOn w:val="Normal"/>
    <w:qFormat/>
    <w:rsid w:val="00cd6e45"/>
    <w:pPr>
      <w:keepNext w:val="true"/>
      <w:keepLines/>
      <w:tabs>
        <w:tab w:val="clear" w:pos="708"/>
        <w:tab w:val="left" w:pos="0" w:leader="none"/>
        <w:tab w:val="left" w:pos="567" w:leader="none"/>
      </w:tabs>
      <w:spacing w:before="240" w:after="120"/>
      <w:jc w:val="center"/>
      <w:outlineLvl w:val="2"/>
    </w:pPr>
    <w:rPr>
      <w:rFonts w:eastAsia="Times New Roman" w:cs="Times New Roman"/>
      <w:b/>
      <w:bCs/>
      <w:caps/>
      <w:szCs w:val="28"/>
      <w:lang w:eastAsia="ru-RU"/>
    </w:rPr>
  </w:style>
  <w:style w:type="paragraph" w:styleId="-2" w:customStyle="1">
    <w:name w:val="Контракт-пункт"/>
    <w:basedOn w:val="Normal"/>
    <w:qFormat/>
    <w:rsid w:val="00cd6e45"/>
    <w:pPr>
      <w:tabs>
        <w:tab w:val="clear" w:pos="708"/>
        <w:tab w:val="left" w:pos="1391" w:leader="none"/>
      </w:tabs>
      <w:ind w:hanging="851" w:left="1391"/>
    </w:pPr>
    <w:rPr>
      <w:rFonts w:eastAsia="Times New Roman" w:cs="Times New Roman"/>
      <w:szCs w:val="28"/>
      <w:lang w:eastAsia="ru-RU"/>
    </w:rPr>
  </w:style>
  <w:style w:type="paragraph" w:styleId="112" w:customStyle="1">
    <w:name w:val="Обычный1"/>
    <w:qFormat/>
    <w:rsid w:val="00cd6e45"/>
    <w:pPr>
      <w:widowControl w:val="false"/>
      <w:suppressAutoHyphens w:val="true"/>
      <w:bidi w:val="0"/>
      <w:spacing w:lineRule="auto" w:line="300" w:before="0" w:after="0"/>
      <w:ind w:left="600"/>
      <w:jc w:val="left"/>
    </w:pPr>
    <w:rPr>
      <w:rFonts w:ascii="Times New Roman" w:hAnsi="Times New Roman" w:eastAsia="Times New Roman" w:cs="Times New Roman"/>
      <w:color w:val="auto"/>
      <w:kern w:val="0"/>
      <w:sz w:val="28"/>
      <w:szCs w:val="20"/>
      <w:lang w:eastAsia="ru-RU" w:val="ru-RU" w:bidi="ar-SA"/>
    </w:rPr>
  </w:style>
  <w:style w:type="paragraph" w:styleId="Style39" w:customStyle="1">
    <w:name w:val="Пункт договора"/>
    <w:basedOn w:val="Normal"/>
    <w:qFormat/>
    <w:rsid w:val="00cd6e45"/>
    <w:pPr>
      <w:widowControl w:val="false"/>
      <w:jc w:val="both"/>
    </w:pPr>
    <w:rPr>
      <w:rFonts w:ascii="Arial" w:hAnsi="Arial" w:eastAsia="Times New Roman" w:cs="Times New Roman"/>
      <w:sz w:val="20"/>
      <w:szCs w:val="20"/>
      <w:lang w:eastAsia="ru-RU"/>
    </w:rPr>
  </w:style>
  <w:style w:type="paragraph" w:styleId="Style40" w:customStyle="1">
    <w:name w:val="Подпункт договора"/>
    <w:basedOn w:val="Normal"/>
    <w:qFormat/>
    <w:rsid w:val="00cd6e45"/>
    <w:pPr>
      <w:tabs>
        <w:tab w:val="clear" w:pos="708"/>
        <w:tab w:val="left" w:pos="360" w:leader="none"/>
      </w:tabs>
      <w:jc w:val="both"/>
    </w:pPr>
    <w:rPr>
      <w:rFonts w:ascii="Arial" w:hAnsi="Arial" w:eastAsia="Times New Roman" w:cs="Times New Roman"/>
      <w:sz w:val="20"/>
      <w:szCs w:val="20"/>
      <w:lang w:eastAsia="ru-RU"/>
    </w:rPr>
  </w:style>
  <w:style w:type="paragraph" w:styleId="BodyText21" w:customStyle="1">
    <w:name w:val="Body Text 21"/>
    <w:basedOn w:val="Normal"/>
    <w:qFormat/>
    <w:rsid w:val="00cd6e45"/>
    <w:pPr>
      <w:ind w:firstLine="709"/>
      <w:jc w:val="both"/>
    </w:pPr>
    <w:rPr>
      <w:rFonts w:eastAsia="Times New Roman" w:cs="Times New Roman"/>
      <w:szCs w:val="20"/>
      <w:lang w:eastAsia="ru-RU"/>
    </w:rPr>
  </w:style>
  <w:style w:type="paragraph" w:styleId="Style41" w:customStyle="1">
    <w:name w:val="Обычный+ без отступа"/>
    <w:basedOn w:val="Normal"/>
    <w:uiPriority w:val="99"/>
    <w:qFormat/>
    <w:rsid w:val="00cd6e45"/>
    <w:pPr>
      <w:spacing w:lineRule="auto" w:line="360" w:before="120" w:after="0"/>
      <w:jc w:val="both"/>
    </w:pPr>
    <w:rPr>
      <w:rFonts w:eastAsia="MS Mincho" w:cs="Times New Roman"/>
      <w:sz w:val="28"/>
      <w:szCs w:val="28"/>
      <w:lang w:eastAsia="ru-RU"/>
    </w:rPr>
  </w:style>
  <w:style w:type="paragraph" w:styleId="211" w:customStyle="1">
    <w:name w:val="Обычный2"/>
    <w:qFormat/>
    <w:rsid w:val="00003389"/>
    <w:pPr>
      <w:widowControl w:val="false"/>
      <w:suppressAutoHyphens w:val="true"/>
      <w:bidi w:val="0"/>
      <w:spacing w:lineRule="auto" w:line="300" w:before="0" w:after="0"/>
      <w:ind w:left="600"/>
      <w:jc w:val="left"/>
    </w:pPr>
    <w:rPr>
      <w:rFonts w:ascii="Times New Roman" w:hAnsi="Times New Roman" w:eastAsia="Times New Roman" w:cs="Times New Roman"/>
      <w:color w:val="auto"/>
      <w:kern w:val="0"/>
      <w:sz w:val="28"/>
      <w:szCs w:val="20"/>
      <w:lang w:eastAsia="ru-RU" w:val="ru-RU" w:bidi="ar-SA"/>
    </w:rPr>
  </w:style>
  <w:style w:type="paragraph" w:styleId="PlainText">
    <w:name w:val="Plain Text"/>
    <w:basedOn w:val="Normal"/>
    <w:link w:val="Style18"/>
    <w:uiPriority w:val="99"/>
    <w:unhideWhenUsed/>
    <w:qFormat/>
    <w:rsid w:val="00003389"/>
    <w:pPr/>
    <w:rPr>
      <w:rFonts w:ascii="Calibri" w:hAnsi="Calibri" w:eastAsia="Calibri" w:cs="Times New Roman"/>
      <w:sz w:val="22"/>
      <w:szCs w:val="21"/>
      <w:lang w:val="x-none"/>
    </w:rPr>
  </w:style>
  <w:style w:type="paragraph" w:styleId="Txt1" w:customStyle="1">
    <w:name w:val="txt1"/>
    <w:basedOn w:val="Normal"/>
    <w:qFormat/>
    <w:rsid w:val="00003389"/>
    <w:pPr/>
    <w:rPr>
      <w:rFonts w:ascii="Calibri" w:hAnsi="Calibri" w:eastAsia="Times New Roman" w:cs="Times New Roman"/>
      <w:szCs w:val="24"/>
      <w:lang w:eastAsia="ru-RU"/>
    </w:rPr>
  </w:style>
  <w:style w:type="paragraph" w:styleId="Formattext" w:customStyle="1">
    <w:name w:val="formattext"/>
    <w:basedOn w:val="Normal"/>
    <w:qFormat/>
    <w:rsid w:val="00003389"/>
    <w:pPr>
      <w:spacing w:beforeAutospacing="1" w:afterAutospacing="1"/>
    </w:pPr>
    <w:rPr>
      <w:rFonts w:eastAsia="Times New Roman" w:cs="Times New Roman"/>
      <w:szCs w:val="24"/>
      <w:lang w:eastAsia="ru-RU"/>
    </w:rPr>
  </w:style>
  <w:style w:type="paragraph" w:styleId="38" w:customStyle="1">
    <w:name w:val="Обычный3"/>
    <w:qFormat/>
    <w:rsid w:val="004900e5"/>
    <w:pPr>
      <w:widowControl w:val="false"/>
      <w:suppressAutoHyphens w:val="true"/>
      <w:bidi w:val="0"/>
      <w:spacing w:lineRule="auto" w:line="300" w:before="0" w:after="0"/>
      <w:ind w:left="600"/>
      <w:jc w:val="left"/>
    </w:pPr>
    <w:rPr>
      <w:rFonts w:ascii="Times New Roman" w:hAnsi="Times New Roman" w:eastAsia="Times New Roman" w:cs="Times New Roman"/>
      <w:color w:val="auto"/>
      <w:kern w:val="0"/>
      <w:sz w:val="28"/>
      <w:szCs w:val="20"/>
      <w:lang w:eastAsia="ru-RU" w:val="ru-RU" w:bidi="ar-SA"/>
    </w:rPr>
  </w:style>
  <w:style w:type="paragraph" w:styleId="Style42" w:customStyle="1">
    <w:name w:val="Содержимое таблицы"/>
    <w:basedOn w:val="Normal"/>
    <w:uiPriority w:val="1"/>
    <w:qFormat/>
    <w:pPr>
      <w:widowControl w:val="false"/>
      <w:suppressLineNumbers/>
    </w:pPr>
    <w:rPr/>
  </w:style>
  <w:style w:type="paragraph" w:styleId="Style43" w:customStyle="1">
    <w:name w:val="Заголовок таблицы"/>
    <w:basedOn w:val="Style42"/>
    <w:qFormat/>
    <w:pPr>
      <w:jc w:val="center"/>
    </w:pPr>
    <w:rPr>
      <w:b/>
      <w:bCs/>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4"/>
      <w:szCs w:val="22"/>
      <w:lang w:val="ru-RU" w:eastAsia="en-US" w:bidi="ar-SA"/>
    </w:rPr>
  </w:style>
  <w:style w:type="paragraph" w:styleId="41" w:customStyle="1">
    <w:name w:val="Обычный4"/>
    <w:qFormat/>
    <w:rsid w:val="00947615"/>
    <w:pPr>
      <w:widowControl/>
      <w:pBdr/>
      <w:suppressAutoHyphens w:val="true"/>
      <w:bidi w:val="0"/>
      <w:spacing w:before="0" w:after="0"/>
      <w:jc w:val="left"/>
      <w:textAlignment w:val="baseline"/>
    </w:pPr>
    <w:rPr>
      <w:rFonts w:ascii="Times New Roman" w:hAnsi="Times New Roman" w:eastAsia="Times New Roman" w:cs="Times New Roman"/>
      <w:color w:val="auto"/>
      <w:kern w:val="0"/>
      <w:sz w:val="24"/>
      <w:szCs w:val="22"/>
      <w:lang w:val="ru-RU" w:eastAsia="en-US" w:bidi="ar-SA"/>
    </w:rPr>
  </w:style>
  <w:style w:type="paragraph" w:styleId="1706" w:customStyle="1">
    <w:name w:val="1706"/>
    <w:basedOn w:val="Normal"/>
    <w:qFormat/>
    <w:rsid w:val="00b14d2a"/>
    <w:pPr>
      <w:suppressAutoHyphens w:val="false"/>
      <w:spacing w:beforeAutospacing="1" w:afterAutospacing="1"/>
    </w:pPr>
    <w:rPr>
      <w:rFonts w:eastAsia="Times New Roman" w:cs="Times New Roman"/>
      <w:szCs w:val="24"/>
      <w:lang w:eastAsia="ru-RU"/>
    </w:rPr>
  </w:style>
  <w:style w:type="paragraph" w:styleId="1246" w:customStyle="1">
    <w:name w:val="1246"/>
    <w:basedOn w:val="Normal"/>
    <w:qFormat/>
    <w:rsid w:val="00b14d2a"/>
    <w:pPr>
      <w:suppressAutoHyphens w:val="false"/>
      <w:spacing w:beforeAutospacing="1" w:afterAutospacing="1"/>
    </w:pPr>
    <w:rPr>
      <w:rFonts w:eastAsia="Times New Roman" w:cs="Times New Roman"/>
      <w:szCs w:val="24"/>
      <w:lang w:eastAsia="ru-RU"/>
    </w:rPr>
  </w:style>
  <w:style w:type="paragraph" w:styleId="Style44">
    <w:name w:val="Содержимое врезки"/>
    <w:basedOn w:val="Normal"/>
    <w:qFormat/>
    <w:pPr/>
    <w:rPr/>
  </w:style>
  <w:style w:type="numbering" w:styleId="NoList" w:default="1">
    <w:name w:val="No List"/>
    <w:uiPriority w:val="99"/>
    <w:semiHidden/>
    <w:unhideWhenUsed/>
    <w:qFormat/>
  </w:style>
  <w:style w:type="numbering" w:styleId="113" w:customStyle="1">
    <w:name w:val="Стиль1"/>
    <w:uiPriority w:val="99"/>
    <w:qFormat/>
    <w:rsid w:val="00cd6e45"/>
  </w:style>
  <w:style w:type="numbering" w:styleId="212" w:customStyle="1">
    <w:name w:val="Стиль2"/>
    <w:uiPriority w:val="99"/>
    <w:qFormat/>
    <w:rsid w:val="00cd6e45"/>
  </w:style>
  <w:style w:type="numbering" w:styleId="114" w:customStyle="1">
    <w:name w:val="Нет списка1"/>
    <w:semiHidden/>
    <w:qFormat/>
    <w:rsid w:val="00cd6e45"/>
  </w:style>
  <w:style w:type="table" w:default="1" w:styleId="a5">
    <w:name w:val="Normal Table"/>
    <w:uiPriority w:val="99"/>
    <w:semiHidden/>
    <w:unhideWhenUsed/>
    <w:tblPr>
      <w:tblCellMar>
        <w:top w:w="0" w:type="dxa"/>
        <w:left w:w="108" w:type="dxa"/>
        <w:bottom w:w="0" w:type="dxa"/>
        <w:right w:w="108" w:type="dxa"/>
      </w:tblCellMar>
    </w:tblPr>
  </w:style>
  <w:style w:type="table" w:styleId="afffff">
    <w:name w:val="Table Grid"/>
    <w:basedOn w:val="a5"/>
    <w:rsid w:val="009c3b1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0">
    <w:name w:val="Сетка таблицы1"/>
    <w:basedOn w:val="a5"/>
    <w:uiPriority w:val="39"/>
    <w:rsid w:val="00cd6e45"/>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8B9697F-5E90-46F3-8523-AF33F2D87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Application>AlterOffice/2026.2.0.0$Linux_X86_64 LibreOffice_project/bc4ef1adf80b36c7a6365f8ed6cbf29021361edd</Application>
  <AppVersion>15.0000</AppVersion>
  <Pages>3</Pages>
  <Words>4353</Words>
  <Characters>28962</Characters>
  <CharactersWithSpaces>32488</CharactersWithSpaces>
  <Paragraphs>825</Paragraphs>
  <Company>RusHydro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2026-10-19T07:48:00Z</dcterms:created>
  <dc:creator>Кочетов Сергей Владимирович</dc:creator>
  <dc:description/>
  <dc:language>ru-RU</dc:language>
  <cp:lastModifiedBy>Иванов Алексей Валентинович</cp:lastModifiedBy>
  <cp:lastPrinted>2023-05-16T09:29:00Z</cp:lastPrinted>
  <dcterms:modified xsi:type="dcterms:W3CDTF">2026-10-19T13:31:00Z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