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hanging="0" w:left="288"/>
        <w:rPr>
          <w:szCs w:val="24"/>
        </w:rPr>
      </w:pPr>
      <w:r>
        <w:rPr>
          <w:szCs w:val="24"/>
        </w:rPr>
        <w:t xml:space="preserve">Обоснование указания на конкретный товарный знак (производителя) 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hanging="0" w:left="288"/>
        <w:rPr>
          <w:szCs w:val="24"/>
        </w:rPr>
      </w:pPr>
      <w:r>
        <w:rPr>
          <w:szCs w:val="24"/>
        </w:rPr>
        <w:t>без применения слов «или эквивалент»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hanging="0" w:left="288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ab/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2" w:leader="none"/>
          <w:tab w:val="left" w:pos="1418" w:leader="none"/>
        </w:tabs>
        <w:spacing w:lineRule="auto" w:line="240" w:before="0" w:after="0"/>
        <w:ind w:firstLine="709" w:left="0"/>
        <w:jc w:val="both"/>
        <w:rPr>
          <w:b w:val="false"/>
          <w:sz w:val="24"/>
          <w:szCs w:val="24"/>
        </w:rPr>
      </w:pPr>
      <w:bookmarkStart w:id="0" w:name="_Ref512279441"/>
      <w:r>
        <w:rPr>
          <w:b w:val="false"/>
          <w:sz w:val="24"/>
          <w:szCs w:val="24"/>
        </w:rPr>
        <w:t>При подготовке технических требований к закупаемой продукции в описании характеристик предмета закупки Заказчиком использованы указания на товарный знак без указания слов «(или эквивалент)»</w:t>
      </w:r>
      <w:bookmarkEnd w:id="0"/>
      <w:r>
        <w:rPr>
          <w:b w:val="false"/>
          <w:sz w:val="24"/>
          <w:szCs w:val="24"/>
        </w:rPr>
        <w:t xml:space="preserve"> на основании п. 6.5.1.3 в) ЕПоЗ и п. 6 Приказа П-190 от 01.09.2026г («6. Закупка МТРиО на этапе СМР проводится в соответствии с утвержденными ПД и РД»).</w:t>
      </w:r>
    </w:p>
    <w:p>
      <w:pPr>
        <w:pStyle w:val="Normal"/>
        <w:suppressAutoHyphens w:val="false"/>
        <w:spacing w:lineRule="auto" w:line="240"/>
        <w:ind w:hanging="0"/>
        <w:jc w:val="left"/>
        <w:rPr>
          <w:sz w:val="24"/>
          <w:szCs w:val="24"/>
        </w:rPr>
      </w:pPr>
      <w:r>
        <w:rPr>
          <w:sz w:val="24"/>
          <w:szCs w:val="24"/>
        </w:rPr>
        <w:t>Закупка МТРиО на этапе СМР проводится в соответствии с утвержденными ПД и РД.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firstLine="709" w:left="0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Использование продукции с такими товарными знаками предусмотрено обязательными для Заказчика условиями </w:t>
      </w:r>
      <w:r>
        <w:rPr>
          <w:b w:val="false"/>
          <w:bCs/>
          <w:sz w:val="24"/>
          <w:szCs w:val="24"/>
          <w:shd w:fill="FFFFFF" w:val="clear"/>
        </w:rPr>
        <w:t xml:space="preserve">выполнения работ по договору </w:t>
      </w:r>
      <w:r>
        <w:rPr>
          <w:b w:val="false"/>
          <w:sz w:val="24"/>
          <w:szCs w:val="24"/>
        </w:rPr>
        <w:t xml:space="preserve">№ </w:t>
      </w:r>
      <w:r>
        <w:rPr>
          <w:rStyle w:val="Style7"/>
          <w:b/>
          <w:i w:val="false"/>
          <w:color w:val="000000"/>
          <w:sz w:val="24"/>
          <w:szCs w:val="24"/>
          <w:shd w:fill="auto" w:val="clear"/>
        </w:rPr>
        <w:t>1200-250-2025 от 25.12.2025 г</w:t>
      </w:r>
      <w:r>
        <w:rPr>
          <w:b w:val="false"/>
          <w:sz w:val="24"/>
          <w:szCs w:val="24"/>
        </w:rPr>
        <w:t>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firstLine="709" w:left="0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Ниже представлен перечень приложений к Лоту, в котором со</w:t>
      </w:r>
      <w:bookmarkStart w:id="1" w:name="_GoBack"/>
      <w:bookmarkEnd w:id="1"/>
      <w:r>
        <w:rPr>
          <w:b w:val="false"/>
          <w:sz w:val="24"/>
          <w:szCs w:val="24"/>
        </w:rPr>
        <w:t>держатся указания на такие товарные знаки, а также указание на раздел (пункт) технических требований, в котором указаны требования к товарному знаку.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hanging="0" w:left="288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hanging="0" w:left="0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Таблица 1. Перечень закупаемой продукции </w:t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72"/>
        <w:gridCol w:w="5498"/>
        <w:gridCol w:w="3114"/>
        <w:gridCol w:w="3832"/>
      </w:tblGrid>
      <w:tr>
        <w:trPr>
          <w:trHeight w:val="20" w:hRule="atLeast"/>
        </w:trPr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позиции в Технических требованиях (спецификации)</w:t>
            </w:r>
          </w:p>
          <w:p>
            <w:pPr>
              <w:pStyle w:val="Normal"/>
              <w:widowControl w:val="false"/>
              <w:spacing w:lineRule="auto" w:line="24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color w:val="000000"/>
                <w:sz w:val="24"/>
                <w:szCs w:val="24"/>
              </w:rPr>
              <w:t>​</w:t>
            </w:r>
          </w:p>
        </w:tc>
        <w:tc>
          <w:tcPr>
            <w:tcW w:w="5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продукции (материала)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Сведения о документе, в котором содержится указание на товарный знак (производителя) продукции (материала)</w:t>
            </w:r>
          </w:p>
        </w:tc>
        <w:tc>
          <w:tcPr>
            <w:tcW w:w="3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Отношение такого документа к доходному договору (чем введен, утвержден)</w:t>
            </w:r>
          </w:p>
        </w:tc>
      </w:tr>
      <w:tr>
        <w:trPr>
          <w:trHeight w:val="20" w:hRule="atLeast"/>
        </w:trPr>
        <w:tc>
          <w:tcPr>
            <w:tcW w:w="18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54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  <w:r>
              <w:rPr>
                <w:color w:val="000000"/>
                <w:sz w:val="24"/>
                <w:szCs w:val="24"/>
                <w:lang w:val="en-US"/>
              </w:rPr>
              <w:t>, позиция</w:t>
            </w:r>
          </w:p>
        </w:tc>
        <w:tc>
          <w:tcPr>
            <w:tcW w:w="38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143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b/>
                <w:sz w:val="22"/>
              </w:rPr>
            </w:pPr>
            <w:r>
              <w:rPr>
                <w:b/>
                <w:sz w:val="24"/>
                <w:szCs w:val="24"/>
              </w:rPr>
              <w:t>Рыбинская ГЭС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Комплекс охранный радиолокационный тепловизионный (90°), КОРТ «Х-500-90-ВТ3» ЮСДП.425918.020-69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поз.1.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Комплекс охранный радиолокационный тепловизионный (180°), КОРТ «Х-500-180/2-ВТ3» ЮСДП.425918.020-114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мониторинга «Земля» стационарный ЮСДП.425681.001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сервер с установленным пакетом ПО, монитор LCD 27”, клавиатура проводная USB, мышь проводная USB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поз.3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электропитания и коммутации ЮСДП.436112.001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шкаф электропитания и коммутации ЮСДП.436112.007, КМЧ для крепления шкафа на опоре, козырёк защитный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поз.4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Мачта телескопическая, М-250 ЮСДП.301563.018-06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АТПР224002-КР, поз.1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АТПР224002-КР, выданная в производство работ Заказчиком</w:t>
            </w:r>
          </w:p>
        </w:tc>
      </w:tr>
      <w:tr>
        <w:trPr>
          <w:trHeight w:val="1773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KVM-консоль SMK-980-19UBRU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поз.8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KVM-удлинитель ATEN CE775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поз.6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Медиаконвертер TP-Link MC210CS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поз.7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4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b/>
                <w:sz w:val="22"/>
              </w:rPr>
            </w:pPr>
            <w:r>
              <w:rPr>
                <w:b/>
                <w:sz w:val="24"/>
                <w:szCs w:val="24"/>
              </w:rPr>
              <w:t>ВСП №2 Рыбинской ГЭС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Комплекс охранный радиолокационный тепловизионный (180°), КОРТ «Х-500-180/2-ВТ3» ЮСДП.425918.020-114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поз.1.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мониторинга «Земля» стационарный ЮСДП.425681.001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сервер с установленным пакетом ПО, монитор LCD 27”, клавиатура проводная USB, мышь проводная USB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поз.2.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электропитания и коммутации ЮСДП.436112.001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шкаф электропитания и коммутации ЮСДП.436112.007, КМЧ для крепления шкафа на опоре, козырёк защитный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поз.3.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Мачта телескопическая, М-250 ЮСДП.301563.018-06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АТПР224003-КР, поз.1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АТПР224003-КР,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KVM-консоль SMK-980-19UBRU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поз.7.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KVM-удлинитель ATEN CE775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поз.5.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Медиаконвертер TP-Link MC210CS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АТПР224003-ТСО, поз.6.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АТПР224003-ТСО,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4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b/>
                <w:sz w:val="22"/>
              </w:rPr>
            </w:pPr>
            <w:r>
              <w:rPr>
                <w:b/>
                <w:sz w:val="24"/>
                <w:szCs w:val="24"/>
              </w:rPr>
              <w:t>Угличская ГЭС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Комплекс охранный радиолокационный тепловизионный (90°), КОРТ «Х-500-90-ВТ3» ЮСДП.425918.020-69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поз.1.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мониторинга «Земля» стационарный ЮСДП.425681.001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сервер с установленным пакетом ПО, монитор LCD 27”, клавиатура проводная USB, мышь проводная USB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поз.2.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электропитания и коммутации ЮСДП.436112.001 в составе:</w:t>
            </w:r>
          </w:p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шкаф электропитания и коммутации ЮСДП.436112.007, КМЧ для крепления шкафа на опоре, козырёк защитный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поз.2.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Мачта телескопическая, М-250 ЮСДП.301563.018-06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АТПР224001-КР, поз.3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АТПР224001-КР,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KVM-консоль SMK-980-19UBRU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поз.7.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KVM-удлинитель ATEN CE775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поз.5.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Медиа Медиаконвертер TP-Link MC210CS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Рабочая документация, шифр № АТПР224001-ТСО, поз.6.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выданная в производство работ Заказчиком</w:t>
            </w:r>
          </w:p>
        </w:tc>
      </w:tr>
      <w:tr>
        <w:trPr>
          <w:trHeight w:val="60" w:hRule="atLeast"/>
        </w:trPr>
        <w:tc>
          <w:tcPr>
            <w:tcW w:w="14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b/>
                <w:sz w:val="22"/>
              </w:rPr>
            </w:pPr>
            <w:r>
              <w:rPr>
                <w:b/>
                <w:sz w:val="24"/>
                <w:szCs w:val="24"/>
              </w:rPr>
              <w:t>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Комплекс охранный радиолокационный тепловизионный (90°), КОРТ «Х-500-90» ЮСДП.464213.008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поз.23;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KVM-консоль SMK-980-19UBRU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поз.30;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KVM-удлинитель ATEN CE775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поз.28;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Медиаконвертер TP-Link MC210CS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поз.29;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 xml:space="preserve">Промышленный коммутатор </w:t>
            </w:r>
            <w:r>
              <w:rPr>
                <w:rFonts w:eastAsia="Calibri" w:cs="" w:cstheme="minorBidi"/>
                <w:sz w:val="24"/>
                <w:szCs w:val="22"/>
                <w:lang w:eastAsia="x-none"/>
              </w:rPr>
              <w:t>NSGate NIS-3200-205GS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поз.25;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 xml:space="preserve">Промышленный источник питания </w:t>
            </w:r>
            <w:r>
              <w:rPr>
                <w:rFonts w:eastAsia="Calibri" w:cs="" w:cstheme="minorBidi"/>
                <w:sz w:val="24"/>
                <w:szCs w:val="22"/>
                <w:lang w:eastAsia="x-none"/>
              </w:rPr>
              <w:t>AD1024-24F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</w:rPr>
              <w:t>Рабочая документация, шифр № АТПР224002-ТСО, поз.26;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 xml:space="preserve">Источник питания </w:t>
            </w:r>
            <w:r>
              <w:rPr>
                <w:rFonts w:eastAsia="Calibri" w:cs="" w:cstheme="minorBidi"/>
                <w:sz w:val="24"/>
                <w:szCs w:val="22"/>
                <w:lang w:eastAsia="x-none"/>
              </w:rPr>
              <w:t>MEAN WELL</w:t>
            </w:r>
            <w:r>
              <w:rPr>
                <w:rFonts w:eastAsia="Calibri"/>
                <w:lang w:eastAsia="x-none"/>
              </w:rPr>
              <w:t xml:space="preserve"> </w:t>
            </w:r>
            <w:r>
              <w:rPr>
                <w:rFonts w:eastAsia="Calibri" w:cs="" w:cstheme="minorBidi"/>
                <w:sz w:val="24"/>
                <w:szCs w:val="22"/>
                <w:lang w:eastAsia="x-none"/>
              </w:rPr>
              <w:t>DRS-480-24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поз.27;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АТПР224001-ТСО, АТПР224002-ТСО, АТПР224003-ТСО выданная в производство работ Заказчиком</w:t>
            </w:r>
          </w:p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Письмо от 29.05.2026 № Исх.354.КВГЭС/89-АД/001КВГЭС О составе ЗИП</w:t>
            </w:r>
          </w:p>
        </w:tc>
      </w:tr>
      <w:tr>
        <w:trPr>
          <w:trHeight w:val="60" w:hRule="atLeast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Комплект ПО на физическом носителе, ЮСДП.425979.007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поз.5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2"/>
              <w:widowControl/>
              <w:spacing w:lineRule="auto" w:line="240"/>
              <w:ind w:hanging="0"/>
              <w:rPr>
                <w:sz w:val="22"/>
              </w:rPr>
            </w:pPr>
            <w:r>
              <w:rPr>
                <w:sz w:val="22"/>
              </w:rPr>
              <w:t>Рабочая документация, шифр № АТПР224002-ТСО, выданная в производство работ Заказчиком.</w:t>
            </w:r>
          </w:p>
        </w:tc>
      </w:tr>
    </w:tbl>
    <w:tbl>
      <w:tblPr>
        <w:tblStyle w:val="af1"/>
        <w:tblW w:w="15237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601"/>
        <w:gridCol w:w="635"/>
      </w:tblGrid>
      <w:tr>
        <w:trPr>
          <w:trHeight w:val="345" w:hRule="atLeast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2"/>
              <w:widowControl/>
              <w:numPr>
                <w:ilvl w:val="0"/>
                <w:numId w:val="0"/>
              </w:numPr>
              <w:tabs>
                <w:tab w:val="clear" w:pos="708"/>
                <w:tab w:val="left" w:pos="1418" w:leader="none"/>
              </w:tabs>
              <w:suppressAutoHyphens w:val="true"/>
              <w:spacing w:lineRule="auto" w:line="240" w:before="0" w:after="0"/>
              <w:ind w:hanging="0" w:left="288"/>
              <w:jc w:val="both"/>
              <w:rPr>
                <w:rFonts w:ascii="Times New Roman" w:hAnsi="Times New Roman" w:cs="Times New Roman"/>
                <w:b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  <w:p>
            <w:pPr>
              <w:pStyle w:val="ListParagraph"/>
              <w:suppressAutoHyphens w:val="true"/>
              <w:spacing w:before="0" w:after="200"/>
              <w:ind w:hanging="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ListParagraph"/>
              <w:suppressAutoHyphens w:val="true"/>
              <w:spacing w:before="0" w:after="200"/>
              <w:ind w:hanging="0" w:left="-7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Приложения: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eastAsia="Calibri" w:cs=""/>
                <w:kern w:val="0"/>
                <w:szCs w:val="22"/>
                <w:lang w:val="ru-RU" w:bidi="ar-SA"/>
              </w:rPr>
            </w:pPr>
            <w:r>
              <w:rPr>
                <w:rFonts w:eastAsia="Calibri" w:cs="" w:ascii="Calibri" w:hAnsi="Calibri"/>
                <w:kern w:val="0"/>
                <w:szCs w:val="22"/>
                <w:lang w:val="ru-RU" w:bidi="ar-SA"/>
              </w:rPr>
            </w:r>
          </w:p>
        </w:tc>
      </w:tr>
      <w:tr>
        <w:trPr>
          <w:trHeight w:val="775" w:hRule="atLeast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Конструктивные решения, шифр АТПР224002-КР;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Технические средства охраны, шифр АТПР224002-ТСО;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Конструктивные решения, шифр АТПР224003-КР;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Технические средства охраны, шифр АТПР224003-ТСО;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Конструктивные решения, шифр АТПР224001-КР;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Комплекс технических средств охраны акватории. Рабочая документация. Технические средства охраны, шифр АТПР224001-ТСО;</w:t>
            </w:r>
          </w:p>
          <w:p>
            <w:pPr>
              <w:pStyle w:val="ListParagraph"/>
              <w:numPr>
                <w:ilvl w:val="3"/>
                <w:numId w:val="5"/>
              </w:numPr>
              <w:suppressAutoHyphens w:val="true"/>
              <w:spacing w:before="0" w:after="200"/>
              <w:ind w:hanging="360" w:left="746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Письмо от 29.05.2026 № Исх.354.КВГЭС/89-АД/001КВГЭС. О составе ЗИП.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Cs w:val="22"/>
                <w:lang w:val="ru-RU" w:bidi="ar-SA"/>
              </w:rPr>
            </w:r>
          </w:p>
        </w:tc>
      </w:tr>
    </w:tbl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firstLine="709" w:lef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firstLine="709" w:lef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f1"/>
        <w:tblW w:w="143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85"/>
        <w:gridCol w:w="7131"/>
      </w:tblGrid>
      <w:tr>
        <w:trPr>
          <w:trHeight w:val="386" w:hRule="atLeast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suppressAutoHyphens w:val="true"/>
              <w:spacing w:lineRule="auto" w:line="240" w:before="200" w:after="200"/>
              <w:ind w:hanging="0" w:left="-105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Начальник отдела КСБ</w:t>
            </w: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suppressAutoHyphens w:val="true"/>
              <w:spacing w:lineRule="auto" w:line="240" w:before="200" w:after="200"/>
              <w:ind w:hanging="0" w:left="0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ListParagraph"/>
              <w:suppressAutoHyphens w:val="true"/>
              <w:spacing w:lineRule="auto" w:line="240" w:before="200" w:after="200"/>
              <w:ind w:hanging="0" w:left="0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bidi="ar-SA"/>
              </w:rPr>
              <w:t>Иванов А.В.</w:t>
            </w:r>
          </w:p>
        </w:tc>
      </w:tr>
      <w:tr>
        <w:trPr>
          <w:trHeight w:val="624" w:hRule="atLeast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suppressAutoHyphens w:val="true"/>
              <w:spacing w:lineRule="auto" w:line="240" w:before="200" w:after="200"/>
              <w:ind w:hanging="0" w:left="-105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Директор по развитию</w:t>
            </w: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Paragraph"/>
              <w:suppressAutoHyphens w:val="true"/>
              <w:spacing w:lineRule="auto" w:line="240" w:before="200" w:after="200"/>
              <w:ind w:hanging="0" w:left="0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bidi="ar-SA"/>
              </w:rPr>
              <w:t>Молодкин К.А.</w:t>
            </w:r>
          </w:p>
        </w:tc>
      </w:tr>
    </w:tbl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firstLine="709"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orient="landscape" w:w="16838" w:h="11906"/>
      <w:pgMar w:left="1418" w:right="1134" w:gutter="0" w:header="0" w:top="1134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Cambria">
    <w:charset w:val="01"/>
    <w:family w:val="roman"/>
    <w:pitch w:val="variable"/>
  </w:font>
  <w:font w:name="Verdan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7537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ba5191"/>
    <w:pPr>
      <w:keepNext w:val="true"/>
      <w:numPr>
        <w:ilvl w:val="0"/>
        <w:numId w:val="2"/>
      </w:numPr>
      <w:jc w:val="center"/>
      <w:outlineLvl w:val="0"/>
    </w:pPr>
    <w:rPr>
      <w:b/>
      <w:bCs/>
      <w:sz w:val="36"/>
      <w:szCs w:val="24"/>
    </w:rPr>
  </w:style>
  <w:style w:type="paragraph" w:styleId="Heading2">
    <w:name w:val="Heading 2"/>
    <w:basedOn w:val="Normal"/>
    <w:next w:val="Normal"/>
    <w:link w:val="2"/>
    <w:qFormat/>
    <w:rsid w:val="00ba5191"/>
    <w:pPr>
      <w:keepNext w:val="true"/>
      <w:jc w:val="center"/>
      <w:outlineLvl w:val="1"/>
    </w:pPr>
    <w:rPr>
      <w:szCs w:val="24"/>
    </w:rPr>
  </w:style>
  <w:style w:type="paragraph" w:styleId="Heading4">
    <w:name w:val="Heading 4"/>
    <w:basedOn w:val="Normal"/>
    <w:next w:val="Normal"/>
    <w:link w:val="4"/>
    <w:semiHidden/>
    <w:unhideWhenUsed/>
    <w:qFormat/>
    <w:rsid w:val="00ba5191"/>
    <w:pPr>
      <w:keepNext w:val="true"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ba5191"/>
    <w:rPr>
      <w:b/>
      <w:bCs/>
      <w:sz w:val="36"/>
      <w:szCs w:val="24"/>
      <w:lang w:eastAsia="ru-RU"/>
    </w:rPr>
  </w:style>
  <w:style w:type="character" w:styleId="2" w:customStyle="1">
    <w:name w:val="Заголовок 2 Знак"/>
    <w:basedOn w:val="DefaultParagraphFont"/>
    <w:qFormat/>
    <w:rsid w:val="00ba5191"/>
    <w:rPr>
      <w:sz w:val="28"/>
      <w:szCs w:val="24"/>
      <w:lang w:eastAsia="ru-RU"/>
    </w:rPr>
  </w:style>
  <w:style w:type="character" w:styleId="4" w:customStyle="1">
    <w:name w:val="Заголовок 4 Знак"/>
    <w:semiHidden/>
    <w:qFormat/>
    <w:rsid w:val="00ba5191"/>
    <w:rPr>
      <w:rFonts w:ascii="Calibri" w:hAnsi="Calibri"/>
      <w:b/>
      <w:bCs/>
      <w:sz w:val="28"/>
      <w:szCs w:val="28"/>
    </w:rPr>
  </w:style>
  <w:style w:type="character" w:styleId="11" w:customStyle="1">
    <w:name w:val="Заголовок Знак1"/>
    <w:uiPriority w:val="10"/>
    <w:qFormat/>
    <w:rsid w:val="00ba5191"/>
    <w:rPr>
      <w:sz w:val="28"/>
      <w:szCs w:val="28"/>
    </w:rPr>
  </w:style>
  <w:style w:type="character" w:styleId="Style6" w:customStyle="1">
    <w:name w:val="Заголовок Знак"/>
    <w:basedOn w:val="DefaultParagraphFont"/>
    <w:link w:val="12"/>
    <w:qFormat/>
    <w:rsid w:val="00887537"/>
    <w:rPr>
      <w:b/>
      <w:sz w:val="28"/>
      <w:szCs w:val="28"/>
      <w:lang w:eastAsia="ru-RU"/>
    </w:rPr>
  </w:style>
  <w:style w:type="character" w:styleId="Strong">
    <w:name w:val="Strong"/>
    <w:uiPriority w:val="22"/>
    <w:qFormat/>
    <w:rsid w:val="00125444"/>
    <w:rPr>
      <w:b w:val="false"/>
      <w:bCs w:val="false"/>
      <w:color w:val="000000"/>
    </w:rPr>
  </w:style>
  <w:style w:type="character" w:styleId="Style7" w:customStyle="1">
    <w:name w:val="комментарий"/>
    <w:qFormat/>
    <w:rPr>
      <w:b/>
      <w:i/>
      <w:shd w:fill="FFFF99" w:val="clear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11"/>
    <w:uiPriority w:val="10"/>
    <w:qFormat/>
    <w:rsid w:val="00ba5191"/>
    <w:pPr>
      <w:jc w:val="center"/>
    </w:pPr>
    <w:rPr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TOC1">
    <w:name w:val="TOC 1"/>
    <w:basedOn w:val="Normal"/>
    <w:next w:val="Normal"/>
    <w:autoRedefine/>
    <w:uiPriority w:val="39"/>
    <w:qFormat/>
    <w:rsid w:val="00ba5191"/>
    <w:pPr>
      <w:tabs>
        <w:tab w:val="clear" w:pos="708"/>
        <w:tab w:val="left" w:pos="426" w:leader="none"/>
        <w:tab w:val="right" w:pos="9345" w:leader="dot"/>
      </w:tabs>
      <w:spacing w:before="120" w:after="120"/>
    </w:pPr>
    <w:rPr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ba5191"/>
    <w:pPr>
      <w:ind w:left="280"/>
    </w:pPr>
    <w:rPr/>
  </w:style>
  <w:style w:type="paragraph" w:styleId="TOC3">
    <w:name w:val="TOC 3"/>
    <w:basedOn w:val="Normal"/>
    <w:next w:val="Normal"/>
    <w:autoRedefine/>
    <w:uiPriority w:val="39"/>
    <w:unhideWhenUsed/>
    <w:qFormat/>
    <w:rsid w:val="00ba5191"/>
    <w:pPr>
      <w:spacing w:lineRule="auto" w:line="276" w:before="0" w:after="100"/>
      <w:ind w:left="44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pPr>
      <w:widowControl w:val="false"/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IndexHeading">
    <w:name w:val="Index Heading"/>
    <w:basedOn w:val="Style8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5191"/>
    <w:pPr>
      <w:keepLines/>
      <w:numPr>
        <w:ilvl w:val="0"/>
        <w:numId w:val="0"/>
      </w:numPr>
      <w:spacing w:lineRule="auto" w:line="276" w:before="480" w:after="0"/>
      <w:ind w:firstLine="851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12" w:customStyle="1">
    <w:name w:val="Заголовок1"/>
    <w:basedOn w:val="Normal"/>
    <w:link w:val="Style6"/>
    <w:qFormat/>
    <w:rsid w:val="00887537"/>
    <w:pPr>
      <w:numPr>
        <w:ilvl w:val="0"/>
        <w:numId w:val="3"/>
      </w:numPr>
      <w:spacing w:before="240" w:after="0"/>
      <w:jc w:val="center"/>
    </w:pPr>
    <w:rPr>
      <w:b/>
      <w:szCs w:val="28"/>
    </w:rPr>
  </w:style>
  <w:style w:type="paragraph" w:styleId="Style10" w:customStyle="1">
    <w:name w:val="русгидро п.п.п.п."/>
    <w:basedOn w:val="Normal"/>
    <w:qFormat/>
    <w:rsid w:val="00887537"/>
    <w:pPr>
      <w:numPr>
        <w:ilvl w:val="3"/>
        <w:numId w:val="3"/>
      </w:numPr>
      <w:tabs>
        <w:tab w:val="clear" w:pos="708"/>
        <w:tab w:val="left" w:pos="1843" w:leader="none"/>
      </w:tabs>
      <w:spacing w:lineRule="auto" w:line="240"/>
    </w:pPr>
    <w:rPr>
      <w:szCs w:val="28"/>
    </w:rPr>
  </w:style>
  <w:style w:type="paragraph" w:styleId="Style11" w:customStyle="1">
    <w:name w:val="Знак Знак Знак Знак"/>
    <w:basedOn w:val="Normal"/>
    <w:qFormat/>
    <w:rsid w:val="005c6fa6"/>
    <w:pPr>
      <w:spacing w:lineRule="exact" w:line="240" w:before="0" w:after="160"/>
      <w:ind w:hanging="0"/>
      <w:jc w:val="left"/>
    </w:pPr>
    <w:rPr>
      <w:rFonts w:ascii="Verdana" w:hAnsi="Verdana" w:cs="Verdana"/>
      <w:sz w:val="20"/>
      <w:lang w:val="en-US" w:eastAsia="en-US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2"/>
    <w:uiPriority w:val="39"/>
    <w:rsid w:val="00d70a78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6EF8F-8812-412E-A22B-CD387141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AlterOffice/2026.2.0.0$Linux_X86_64 LibreOffice_project/bc4ef1adf80b36c7a6365f8ed6cbf29021361edd</Application>
  <AppVersion>15.0000</AppVersion>
  <Pages>5</Pages>
  <Words>1073</Words>
  <Characters>8129</Characters>
  <CharactersWithSpaces>9039</CharactersWithSpaces>
  <Paragraphs>164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2026-10-19T13:33:00Z</dcterms:created>
  <dc:creator>Стрельников Антон Александрович</dc:creator>
  <dc:description/>
  <dc:language>ru-RU</dc:language>
  <cp:lastModifiedBy>Иванов Алексей Валентинович</cp:lastModifiedBy>
  <dcterms:modified xsi:type="dcterms:W3CDTF">2026-10-19T13:33:00Z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