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jc w:val="right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jc w:val="right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jc w:val="right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jc w:val="right"/>
        <w:rPr>
          <w:b/>
          <w:bCs/>
          <w:color w:val="000000"/>
          <w:sz w:val="26"/>
          <w:szCs w:val="26"/>
          <w:highlight w:val="none"/>
          <w:shd w:fill="auto" w:val="clear"/>
        </w:rPr>
      </w:pPr>
      <w:r>
        <w:rPr>
          <w:b/>
          <w:bCs/>
          <w:color w:val="000000"/>
          <w:sz w:val="26"/>
          <w:szCs w:val="26"/>
          <w:shd w:fill="auto" w:val="clear"/>
        </w:rPr>
      </w:r>
    </w:p>
    <w:p>
      <w:pPr>
        <w:pStyle w:val="Normal"/>
        <w:keepNext w:val="true"/>
        <w:keepLines/>
        <w:rPr>
          <w:color w:val="000000"/>
          <w:sz w:val="26"/>
          <w:szCs w:val="26"/>
          <w:highlight w:val="none"/>
          <w:shd w:fill="auto" w:val="clear"/>
        </w:rPr>
      </w:pPr>
      <w:r>
        <w:rPr>
          <w:color w:val="000000"/>
          <w:sz w:val="26"/>
          <w:szCs w:val="26"/>
          <w:shd w:fill="auto" w:val="clear"/>
        </w:rPr>
      </w:r>
    </w:p>
    <w:p>
      <w:pPr>
        <w:pStyle w:val="Normal"/>
        <w:keepNext w:val="true"/>
        <w:keepLines/>
        <w:rPr>
          <w:color w:val="000000"/>
          <w:sz w:val="26"/>
          <w:szCs w:val="26"/>
          <w:highlight w:val="none"/>
          <w:shd w:fill="auto" w:val="clear"/>
        </w:rPr>
      </w:pPr>
      <w:r>
        <w:rPr>
          <w:color w:val="000000"/>
          <w:sz w:val="26"/>
          <w:szCs w:val="26"/>
          <w:shd w:fill="auto" w:val="clear"/>
        </w:rPr>
      </w:r>
    </w:p>
    <w:p>
      <w:pPr>
        <w:pStyle w:val="Normal"/>
        <w:keepNext w:val="true"/>
        <w:keepLines/>
        <w:rPr>
          <w:color w:val="000000"/>
          <w:sz w:val="26"/>
          <w:szCs w:val="26"/>
          <w:highlight w:val="none"/>
          <w:shd w:fill="auto" w:val="clear"/>
        </w:rPr>
      </w:pPr>
      <w:r>
        <w:rPr>
          <w:color w:val="000000"/>
          <w:sz w:val="26"/>
          <w:szCs w:val="26"/>
          <w:shd w:fill="auto" w:val="clear"/>
        </w:rPr>
      </w:r>
    </w:p>
    <w:p>
      <w:pPr>
        <w:pStyle w:val="Normal"/>
        <w:keepNext w:val="true"/>
        <w:keepLines/>
        <w:rPr>
          <w:color w:val="000000"/>
          <w:sz w:val="26"/>
          <w:szCs w:val="26"/>
          <w:highlight w:val="none"/>
          <w:shd w:fill="auto" w:val="clear"/>
        </w:rPr>
      </w:pPr>
      <w:r>
        <w:rPr>
          <w:color w:val="000000"/>
          <w:sz w:val="26"/>
          <w:szCs w:val="26"/>
          <w:shd w:fill="auto" w:val="clear"/>
        </w:rPr>
      </w:r>
    </w:p>
    <w:p>
      <w:pPr>
        <w:pStyle w:val="Normal"/>
        <w:keepNext w:val="true"/>
        <w:keepLines/>
        <w:rPr>
          <w:color w:val="000000"/>
          <w:sz w:val="26"/>
          <w:szCs w:val="26"/>
          <w:highlight w:val="none"/>
          <w:shd w:fill="auto" w:val="clear"/>
        </w:rPr>
      </w:pPr>
      <w:r>
        <w:rPr>
          <w:color w:val="000000"/>
          <w:sz w:val="26"/>
          <w:szCs w:val="26"/>
          <w:shd w:fill="auto" w:val="clear"/>
        </w:rPr>
      </w:r>
    </w:p>
    <w:p>
      <w:pPr>
        <w:pStyle w:val="Normal"/>
        <w:keepNext w:val="true"/>
        <w:keepLines/>
        <w:rPr>
          <w:color w:val="000000"/>
          <w:sz w:val="26"/>
          <w:szCs w:val="26"/>
          <w:highlight w:val="none"/>
          <w:shd w:fill="auto" w:val="clear"/>
        </w:rPr>
      </w:pPr>
      <w:r>
        <w:rPr>
          <w:color w:val="000000"/>
          <w:sz w:val="26"/>
          <w:szCs w:val="26"/>
          <w:shd w:fill="auto" w:val="clear"/>
        </w:rPr>
      </w:r>
    </w:p>
    <w:p>
      <w:pPr>
        <w:pStyle w:val="Normal"/>
        <w:keepNext w:val="true"/>
        <w:keepLines/>
        <w:rPr>
          <w:color w:val="000000"/>
          <w:sz w:val="26"/>
          <w:szCs w:val="26"/>
          <w:highlight w:val="none"/>
          <w:shd w:fill="auto" w:val="clear"/>
        </w:rPr>
      </w:pPr>
      <w:r>
        <w:rPr>
          <w:color w:val="000000"/>
          <w:sz w:val="26"/>
          <w:szCs w:val="26"/>
          <w:shd w:fill="auto" w:val="clear"/>
        </w:rPr>
      </w:r>
    </w:p>
    <w:p>
      <w:pPr>
        <w:pStyle w:val="Normal"/>
        <w:keepNext w:val="true"/>
        <w:keepLines/>
        <w:rPr>
          <w:color w:val="000000"/>
          <w:sz w:val="26"/>
          <w:szCs w:val="26"/>
          <w:highlight w:val="none"/>
          <w:shd w:fill="auto" w:val="clear"/>
        </w:rPr>
      </w:pPr>
      <w:r>
        <w:rPr>
          <w:color w:val="000000"/>
          <w:sz w:val="26"/>
          <w:szCs w:val="26"/>
          <w:shd w:fill="auto" w:val="clear"/>
        </w:rPr>
      </w:r>
    </w:p>
    <w:p>
      <w:pPr>
        <w:pStyle w:val="Normal"/>
        <w:keepNext w:val="true"/>
        <w:keepLines/>
        <w:rPr>
          <w:color w:val="000000"/>
          <w:sz w:val="26"/>
          <w:szCs w:val="26"/>
          <w:highlight w:val="none"/>
          <w:shd w:fill="auto" w:val="clear"/>
        </w:rPr>
      </w:pPr>
      <w:r>
        <w:rPr>
          <w:color w:val="000000"/>
          <w:sz w:val="26"/>
          <w:szCs w:val="26"/>
          <w:shd w:fill="auto" w:val="clear"/>
        </w:rPr>
      </w:r>
    </w:p>
    <w:p>
      <w:pPr>
        <w:pStyle w:val="Normal"/>
        <w:keepNext w:val="true"/>
        <w:keepLines/>
        <w:rPr>
          <w:color w:val="000000"/>
          <w:sz w:val="26"/>
          <w:szCs w:val="26"/>
          <w:highlight w:val="none"/>
          <w:shd w:fill="auto" w:val="clear"/>
        </w:rPr>
      </w:pPr>
      <w:r>
        <w:rPr>
          <w:color w:val="000000"/>
          <w:sz w:val="26"/>
          <w:szCs w:val="26"/>
          <w:shd w:fill="auto" w:val="clear"/>
        </w:rPr>
      </w:r>
    </w:p>
    <w:p>
      <w:pPr>
        <w:pStyle w:val="Normal"/>
        <w:keepNext w:val="true"/>
        <w:keepLines/>
        <w:jc w:val="center"/>
        <w:rPr>
          <w:highlight w:val="none"/>
          <w:shd w:fill="auto" w:val="clear"/>
        </w:rPr>
      </w:pPr>
      <w:r>
        <w:rPr>
          <w:rFonts w:eastAsia="Calibri"/>
          <w:b/>
          <w:color w:val="000000"/>
          <w:sz w:val="26"/>
          <w:szCs w:val="26"/>
          <w:shd w:fill="auto" w:val="clear"/>
        </w:rPr>
        <w:t xml:space="preserve">Технические требования </w:t>
      </w:r>
    </w:p>
    <w:p>
      <w:pPr>
        <w:pStyle w:val="Normal"/>
        <w:keepNext w:val="true"/>
        <w:keepLines/>
        <w:jc w:val="center"/>
        <w:rPr>
          <w:rFonts w:eastAsia="Calibri"/>
          <w:b/>
          <w:color w:val="000000"/>
          <w:sz w:val="26"/>
          <w:szCs w:val="26"/>
          <w:highlight w:val="none"/>
          <w:shd w:fill="auto" w:val="clear"/>
        </w:rPr>
      </w:pPr>
      <w:r>
        <w:rPr>
          <w:rFonts w:eastAsia="Calibri"/>
          <w:b/>
          <w:color w:val="000000"/>
          <w:sz w:val="26"/>
          <w:szCs w:val="26"/>
          <w:shd w:fill="auto" w:val="clear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color w:val="000000"/>
          <w:sz w:val="26"/>
          <w:szCs w:val="26"/>
          <w:highlight w:val="none"/>
          <w:shd w:fill="auto" w:val="clear"/>
        </w:rPr>
      </w:pPr>
      <w:r>
        <w:rPr>
          <w:rFonts w:eastAsia="Calibri"/>
          <w:b/>
          <w:color w:val="000000"/>
          <w:sz w:val="26"/>
          <w:szCs w:val="26"/>
          <w:shd w:fill="auto" w:val="clear"/>
        </w:rPr>
      </w:r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120" w:after="120"/>
        <w:jc w:val="center"/>
        <w:rPr>
          <w:highlight w:val="none"/>
          <w:shd w:fill="auto" w:val="clear"/>
        </w:rPr>
      </w:pPr>
      <w:r>
        <w:rPr>
          <w:rFonts w:eastAsia="Calibri"/>
          <w:color w:val="000000"/>
          <w:sz w:val="26"/>
          <w:szCs w:val="26"/>
          <w:shd w:fill="auto" w:val="clear"/>
        </w:rPr>
        <w:t>ОКПД2 27.11.4</w:t>
      </w:r>
      <w:r>
        <w:rPr>
          <w:rFonts w:eastAsia="Calibri"/>
          <w:color w:val="000000"/>
          <w:sz w:val="26"/>
          <w:szCs w:val="26"/>
          <w:shd w:fill="auto" w:val="clear"/>
        </w:rPr>
        <w:t>1</w:t>
      </w:r>
      <w:r>
        <w:rPr>
          <w:rFonts w:eastAsia="Calibri"/>
          <w:color w:val="000000"/>
          <w:sz w:val="26"/>
          <w:szCs w:val="26"/>
          <w:shd w:fill="auto" w:val="clear"/>
        </w:rPr>
        <w:t xml:space="preserve"> Поставка силового трансформатора ТМГ-100/10 УХЛ1</w:t>
      </w:r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120" w:after="120"/>
        <w:jc w:val="center"/>
        <w:rPr>
          <w:highlight w:val="none"/>
          <w:shd w:fill="auto" w:val="clear"/>
        </w:rPr>
      </w:pPr>
      <w:r>
        <w:rPr>
          <w:rFonts w:eastAsia="Calibri"/>
          <w:color w:val="000000"/>
          <w:sz w:val="26"/>
          <w:szCs w:val="26"/>
          <w:shd w:fill="auto" w:val="clear"/>
        </w:rPr>
        <w:t xml:space="preserve">Лот </w:t>
      </w:r>
    </w:p>
    <w:p>
      <w:pPr>
        <w:pStyle w:val="Normal"/>
        <w:keepNext w:val="true"/>
        <w:keepLines/>
        <w:jc w:val="both"/>
        <w:rPr>
          <w:color w:val="000000"/>
          <w:sz w:val="26"/>
          <w:szCs w:val="26"/>
          <w:highlight w:val="none"/>
          <w:shd w:fill="auto" w:val="clear"/>
        </w:rPr>
      </w:pPr>
      <w:r>
        <w:rPr>
          <w:color w:val="000000"/>
          <w:sz w:val="26"/>
          <w:szCs w:val="26"/>
          <w:shd w:fill="auto" w:val="clear"/>
        </w:rPr>
      </w:r>
    </w:p>
    <w:p>
      <w:pPr>
        <w:pStyle w:val="Normal"/>
        <w:rPr>
          <w:color w:val="000000"/>
          <w:sz w:val="26"/>
          <w:szCs w:val="26"/>
          <w:highlight w:val="none"/>
          <w:shd w:fill="auto" w:val="clear"/>
        </w:rPr>
      </w:pPr>
      <w:r>
        <w:rPr>
          <w:color w:val="000000"/>
          <w:sz w:val="26"/>
          <w:szCs w:val="26"/>
          <w:shd w:fill="auto" w:val="clear"/>
        </w:rPr>
      </w:r>
      <w:r>
        <w:br w:type="page"/>
      </w:r>
    </w:p>
    <w:p>
      <w:pPr>
        <w:pStyle w:val="Normal"/>
        <w:jc w:val="center"/>
        <w:rPr>
          <w:highlight w:val="none"/>
          <w:shd w:fill="auto" w:val="clear"/>
        </w:rPr>
      </w:pPr>
      <w:r>
        <w:rPr>
          <w:b/>
          <w:color w:val="000000"/>
          <w:shd w:fill="auto" w:val="clear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327"/>
              <w:tab w:val="left" w:pos="560" w:leader="none"/>
              <w:tab w:val="right" w:pos="991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191395474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Общие сведения</w:t>
              <w:tab/>
            </w:r>
          </w:hyperlink>
          <w:r>
            <w:rPr/>
            <w:t>3</w:t>
          </w:r>
        </w:p>
        <w:p>
          <w:pPr>
            <w:pStyle w:val="TOC4"/>
            <w:tabs>
              <w:tab w:val="clear" w:pos="327"/>
              <w:tab w:val="left" w:pos="1120" w:leader="none"/>
              <w:tab w:val="right" w:pos="9911" w:leader="dot"/>
            </w:tabs>
            <w:rPr/>
          </w:pPr>
          <w:hyperlink w:anchor="_Toc191395475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Обозначения и сокращения</w:t>
              <w:tab/>
            </w:r>
          </w:hyperlink>
          <w:r>
            <w:rPr/>
            <w:t>3</w:t>
          </w:r>
        </w:p>
        <w:p>
          <w:pPr>
            <w:pStyle w:val="TOC4"/>
            <w:tabs>
              <w:tab w:val="clear" w:pos="327"/>
              <w:tab w:val="left" w:pos="1120" w:leader="none"/>
              <w:tab w:val="right" w:pos="9911" w:leader="dot"/>
            </w:tabs>
            <w:rPr/>
          </w:pPr>
          <w:hyperlink w:anchor="_Toc191395476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Наименование закупаемой продукции</w:t>
              <w:tab/>
            </w:r>
          </w:hyperlink>
          <w:r>
            <w:rPr/>
            <w:t>4</w:t>
          </w:r>
        </w:p>
        <w:p>
          <w:pPr>
            <w:pStyle w:val="TOC4"/>
            <w:tabs>
              <w:tab w:val="clear" w:pos="327"/>
              <w:tab w:val="left" w:pos="1120" w:leader="none"/>
              <w:tab w:val="right" w:pos="9911" w:leader="dot"/>
            </w:tabs>
            <w:rPr/>
          </w:pPr>
          <w:hyperlink w:anchor="_Toc191395477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 xml:space="preserve">Цель использования закупаемой продукции </w:t>
              <w:tab/>
            </w:r>
          </w:hyperlink>
          <w:r>
            <w:rPr/>
            <w:t>4</w:t>
          </w:r>
        </w:p>
        <w:p>
          <w:pPr>
            <w:pStyle w:val="TOC4"/>
            <w:tabs>
              <w:tab w:val="clear" w:pos="327"/>
              <w:tab w:val="left" w:pos="1120" w:leader="none"/>
              <w:tab w:val="right" w:pos="9911" w:leader="dot"/>
            </w:tabs>
            <w:rPr/>
          </w:pPr>
          <w:hyperlink w:anchor="_Toc191395478">
            <w:r>
              <w:rPr>
                <w:webHidden/>
                <w:rStyle w:val="Style14"/>
                <w:iCs/>
                <w:vanish w:val="false"/>
              </w:rPr>
              <w:t>1.4.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 xml:space="preserve"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 </w:t>
              <w:tab/>
            </w:r>
          </w:hyperlink>
          <w:r>
            <w:rPr/>
            <w:t>4</w:t>
          </w:r>
        </w:p>
        <w:p>
          <w:pPr>
            <w:pStyle w:val="TOC4"/>
            <w:tabs>
              <w:tab w:val="clear" w:pos="327"/>
              <w:tab w:val="left" w:pos="1120" w:leader="none"/>
              <w:tab w:val="right" w:pos="9911" w:leader="dot"/>
            </w:tabs>
            <w:rPr/>
          </w:pPr>
          <w:hyperlink w:anchor="_Toc191395479">
            <w:r>
              <w:rPr>
                <w:webHidden/>
                <w:rStyle w:val="Style14"/>
                <w:iCs/>
                <w:vanish w:val="false"/>
              </w:rPr>
              <w:t>1.5.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 xml:space="preserve">Иные требования и сведения общего характера </w:t>
              <w:tab/>
            </w:r>
          </w:hyperlink>
          <w:r>
            <w:rPr/>
            <w:t>4</w:t>
          </w:r>
        </w:p>
        <w:p>
          <w:pPr>
            <w:pStyle w:val="TOC3"/>
            <w:tabs>
              <w:tab w:val="clear" w:pos="327"/>
              <w:tab w:val="left" w:pos="1120" w:leader="none"/>
              <w:tab w:val="right" w:pos="9911" w:leader="dot"/>
            </w:tabs>
            <w:rPr/>
          </w:pPr>
          <w:hyperlink w:anchor="_Toc191395480">
            <w:r>
              <w:rPr>
                <w:webHidden/>
                <w:rStyle w:val="Style14"/>
                <w:vanish w:val="false"/>
                <w:color w:val="000000"/>
                <w:shd w:fill="auto" w:val="clear"/>
                <w:lang w:val="en-US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1.5.1.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color w:val="000000"/>
                <w:sz w:val="22"/>
                <w:szCs w:val="22"/>
                <w:shd w:fill="auto" w:val="clear"/>
                <w:lang w:val="en-US"/>
              </w:rPr>
              <w:tab/>
            </w:r>
            <w:r>
              <w:rPr>
                <w:rStyle w:val="Style14"/>
                <w:color w:val="000000"/>
                <w:shd w:fill="auto" w:val="clear"/>
                <w:lang w:val="en-US"/>
              </w:rPr>
              <w:t>Требования к участнику закупки, признанным победителем</w:t>
              <w:tab/>
            </w:r>
          </w:hyperlink>
          <w:r>
            <w:rPr>
              <w:color w:val="000000"/>
              <w:shd w:fill="auto" w:val="clear"/>
              <w:lang w:val="en-US"/>
            </w:rPr>
            <w:t>4</w:t>
          </w:r>
        </w:p>
        <w:p>
          <w:pPr>
            <w:pStyle w:val="TOC1"/>
            <w:tabs>
              <w:tab w:val="clear" w:pos="327"/>
              <w:tab w:val="left" w:pos="560" w:leader="none"/>
              <w:tab w:val="right" w:pos="9911" w:leader="dot"/>
            </w:tabs>
            <w:rPr/>
          </w:pPr>
          <w:hyperlink w:anchor="_Toc191395481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_Toc191395481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327"/>
              <w:tab w:val="left" w:pos="1120" w:leader="none"/>
              <w:tab w:val="right" w:pos="9911" w:leader="dot"/>
            </w:tabs>
            <w:rPr/>
          </w:pPr>
          <w:hyperlink w:anchor="_Toc191395482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_Toc191395482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объемам и срокам поставки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327"/>
              <w:tab w:val="left" w:pos="1120" w:leader="none"/>
              <w:tab w:val="right" w:pos="9911" w:leader="dot"/>
            </w:tabs>
            <w:rPr/>
          </w:pPr>
          <w:hyperlink w:anchor="_Toc191395483">
            <w:r>
              <w:rPr>
                <w:webHidden/>
                <w:rStyle w:val="Style14"/>
                <w:vanish w:val="false"/>
                <w:color w:val="000000"/>
                <w:shd w:fill="auto" w:val="clear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color w:val="000000"/>
                <w:sz w:val="22"/>
                <w:szCs w:val="22"/>
                <w:shd w:fill="auto" w:val="clear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_Toc191395483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color w:val="000000"/>
                <w:shd w:fill="auto" w:val="clear"/>
              </w:rPr>
              <w:t>Перечень и объем закупаемой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327"/>
              <w:tab w:val="right" w:pos="9911" w:leader="dot"/>
            </w:tabs>
            <w:rPr/>
          </w:pPr>
          <w:hyperlink w:anchor="_Toc191395484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_Toc191395484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1.1 Перечень и объем закупаемой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327"/>
              <w:tab w:val="left" w:pos="1120" w:leader="none"/>
              <w:tab w:val="right" w:pos="9911" w:leader="dot"/>
            </w:tabs>
            <w:rPr/>
          </w:pPr>
          <w:hyperlink w:anchor="_Toc191395483">
            <w:r>
              <w:rPr>
                <w:webHidden/>
                <w:rStyle w:val="Style14"/>
                <w:vanish w:val="false"/>
                <w:color w:val="000000"/>
                <w:shd w:fill="auto" w:val="clear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color w:val="000000"/>
                <w:sz w:val="22"/>
                <w:szCs w:val="22"/>
                <w:shd w:fill="auto" w:val="clear"/>
              </w:rPr>
              <w:tab/>
            </w:r>
            <w:r>
              <w:rPr>
                <w:rStyle w:val="Style14"/>
                <w:rFonts w:eastAsia="" w:cs="" w:cstheme="minorBidi" w:eastAsiaTheme="minorEastAsia"/>
                <w:color w:val="000000"/>
                <w:sz w:val="20"/>
                <w:szCs w:val="20"/>
                <w:shd w:fill="auto" w:val="clear"/>
              </w:rPr>
              <w:t xml:space="preserve">Требования к срокам поставки </w:t>
            </w:r>
            <w:r>
              <w:rPr>
                <w:rStyle w:val="Style14"/>
                <w:color w:val="000000"/>
                <w:sz w:val="20"/>
                <w:szCs w:val="20"/>
                <w:shd w:fill="auto" w:val="clear"/>
              </w:rPr>
              <w:t>п</w:t>
            </w:r>
            <w:r>
              <w:rPr>
                <w:rStyle w:val="Style14"/>
                <w:color w:val="000000"/>
                <w:shd w:fill="auto" w:val="clear"/>
              </w:rPr>
              <w:t>родукции</w:t>
              <w:tab/>
            </w:r>
          </w:hyperlink>
          <w:r>
            <w:rPr>
              <w:color w:val="000000"/>
              <w:shd w:fill="auto" w:val="clear"/>
            </w:rPr>
            <w:t>5</w:t>
          </w:r>
        </w:p>
        <w:p>
          <w:pPr>
            <w:pStyle w:val="TOC1"/>
            <w:tabs>
              <w:tab w:val="clear" w:pos="327"/>
              <w:tab w:val="right" w:pos="9911" w:leader="dot"/>
            </w:tabs>
            <w:rPr/>
          </w:pPr>
          <w:hyperlink w:anchor="_Toc191395487">
            <w:r>
              <w:rPr>
                <w:webHidden/>
                <w:rStyle w:val="Style14"/>
                <w:vanish w:val="false"/>
                <w:color w:val="000000"/>
                <w:shd w:fill="auto" w:val="clear"/>
              </w:rPr>
              <w:t>Таблица 2.1 Требования к срокам поставки продукции</w:t>
              <w:tab/>
            </w:r>
          </w:hyperlink>
          <w:r>
            <w:rPr>
              <w:color w:val="000000"/>
              <w:shd w:fill="auto" w:val="clear"/>
            </w:rPr>
            <w:t>5</w:t>
          </w:r>
        </w:p>
        <w:p>
          <w:pPr>
            <w:pStyle w:val="TOC4"/>
            <w:tabs>
              <w:tab w:val="clear" w:pos="327"/>
              <w:tab w:val="left" w:pos="1120" w:leader="none"/>
              <w:tab w:val="right" w:pos="9911" w:leader="dot"/>
            </w:tabs>
            <w:rPr/>
          </w:pPr>
          <w:hyperlink w:anchor="_Toc130454098">
            <w:r>
              <w:rPr>
                <w:webHidden/>
                <w:rStyle w:val="Style14"/>
                <w:rFonts w:eastAsia="Calibri"/>
                <w:iCs/>
                <w:vanish w:val="false"/>
                <w:color w:val="000000"/>
                <w:shd w:fill="auto" w:val="clear"/>
              </w:rPr>
              <w:t>2.2.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color w:val="000000"/>
                <w:sz w:val="22"/>
                <w:szCs w:val="22"/>
                <w:shd w:fill="auto" w:val="clear"/>
              </w:rPr>
              <w:tab/>
            </w:r>
            <w:r>
              <w:rPr>
                <w:rStyle w:val="Style14"/>
                <w:rFonts w:eastAsia="Calibri"/>
                <w:color w:val="000000"/>
                <w:shd w:fill="auto" w:val="clear"/>
              </w:rPr>
              <w:t>Требования к качеству продукции</w:t>
            </w:r>
            <w:r>
              <w:rPr>
                <w:rStyle w:val="Style14"/>
                <w:color w:val="000000"/>
                <w:shd w:fill="auto" w:val="clear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_Toc130454098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color w:val="000000"/>
                <w:shd w:fill="auto" w:val="clear"/>
                <w:lang w:val="en-US"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327"/>
              <w:tab w:val="right" w:pos="9911" w:leader="dot"/>
            </w:tabs>
            <w:rPr/>
          </w:pPr>
          <w:hyperlink w:anchor="_Toc130454099">
            <w:r>
              <w:rPr>
                <w:webHidden/>
                <w:rStyle w:val="Style14"/>
                <w:rFonts w:eastAsia="Calibri"/>
                <w:vanish w:val="false"/>
                <w:color w:val="000000"/>
                <w:shd w:fill="auto" w:val="clear"/>
              </w:rPr>
              <w:t>Таблица 3. Требования к продукции</w:t>
            </w:r>
            <w:r>
              <w:rPr>
                <w:rStyle w:val="Style14"/>
                <w:color w:val="000000"/>
                <w:shd w:fill="auto" w:val="clear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_Toc130454099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color w:val="000000"/>
                <w:shd w:fill="auto" w:val="clear"/>
                <w:lang w:val="en-US"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327"/>
              <w:tab w:val="left" w:pos="560" w:leader="none"/>
              <w:tab w:val="right" w:pos="9911" w:leader="dot"/>
            </w:tabs>
            <w:rPr/>
          </w:pPr>
          <w:hyperlink w:anchor="_Toc191395492">
            <w:r>
              <w:rPr>
                <w:webHidden/>
                <w:rStyle w:val="Style14"/>
                <w:b/>
                <w:vanish w:val="false"/>
                <w:color w:val="000000"/>
                <w:shd w:fill="auto" w:val="clear"/>
                <w:lang w:val="en-US"/>
              </w:rPr>
              <w:t>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color w:val="000000"/>
                <w:sz w:val="22"/>
                <w:szCs w:val="22"/>
                <w:shd w:fill="auto" w:val="clear"/>
                <w:lang w:val="en-US"/>
              </w:rPr>
              <w:tab/>
            </w:r>
            <w:r>
              <w:rPr>
                <w:rStyle w:val="Style14"/>
                <w:b/>
                <w:color w:val="000000"/>
                <w:shd w:fill="auto" w:val="clear"/>
                <w:lang w:val="en-US"/>
              </w:rPr>
              <w:t>Требования к документации по ценообразованию на этапе закупки</w:t>
              <w:tab/>
              <w:t>1</w:t>
            </w:r>
          </w:hyperlink>
          <w:r>
            <w:rPr>
              <w:b/>
              <w:color w:val="000000"/>
              <w:shd w:fill="auto" w:val="clear"/>
              <w:lang w:val="en-US"/>
            </w:rPr>
            <w:t>4</w:t>
          </w:r>
          <w:r>
            <w:rPr>
              <w:b/>
              <w:shd w:fill="auto" w:val="clear"/>
              <w:color w:val="000000"/>
              <w:lang w:val="en-US"/>
            </w:rPr>
            <w:fldChar w:fldCharType="end"/>
          </w:r>
        </w:p>
      </w:sdtContent>
    </w:sdt>
    <w:p>
      <w:pPr>
        <w:pStyle w:val="Heading2"/>
        <w:rPr>
          <w:b w:val="false"/>
          <w:i/>
          <w:i/>
          <w:color w:val="000000"/>
          <w:highlight w:val="none"/>
          <w:shd w:fill="auto" w:val="clear"/>
        </w:rPr>
      </w:pPr>
      <w:r>
        <w:rPr>
          <w:b w:val="false"/>
          <w:i/>
          <w:color w:val="000000"/>
          <w:shd w:fill="auto" w:val="clear"/>
        </w:rPr>
      </w:r>
      <w:bookmarkStart w:id="0" w:name="_GoBack"/>
      <w:bookmarkStart w:id="1" w:name="_GoBack"/>
      <w:bookmarkEnd w:id="1"/>
      <w:r>
        <w:br w:type="page"/>
      </w:r>
    </w:p>
    <w:p>
      <w:pPr>
        <w:pStyle w:val="Heading1"/>
        <w:keepLines/>
        <w:numPr>
          <w:ilvl w:val="0"/>
          <w:numId w:val="1"/>
        </w:numPr>
        <w:ind w:hanging="357" w:left="357"/>
        <w:jc w:val="center"/>
        <w:rPr>
          <w:highlight w:val="none"/>
          <w:shd w:fill="auto" w:val="clear"/>
        </w:rPr>
      </w:pPr>
      <w:bookmarkStart w:id="2" w:name="_Toc130454087"/>
      <w:bookmarkStart w:id="3" w:name="_Toc51339692"/>
      <w:bookmarkEnd w:id="3"/>
      <w:r>
        <w:rPr>
          <w:color w:val="000000"/>
          <w:shd w:fill="auto" w:val="clear"/>
          <w:lang w:val="ru-RU"/>
        </w:rPr>
        <w:t>Общие сведения</w:t>
      </w:r>
      <w:bookmarkEnd w:id="2"/>
    </w:p>
    <w:p>
      <w:pPr>
        <w:pStyle w:val="Heading4"/>
        <w:numPr>
          <w:ilvl w:val="1"/>
          <w:numId w:val="1"/>
        </w:numPr>
        <w:rPr>
          <w:highlight w:val="none"/>
          <w:shd w:fill="auto" w:val="clear"/>
        </w:rPr>
      </w:pPr>
      <w:bookmarkStart w:id="4" w:name="_Toc130454088"/>
      <w:bookmarkStart w:id="5" w:name="_Toc46743505"/>
      <w:bookmarkEnd w:id="5"/>
      <w:r>
        <w:rPr>
          <w:color w:val="000000"/>
          <w:shd w:fill="auto" w:val="clear"/>
        </w:rPr>
        <w:t>Обозначения и сокращения</w:t>
      </w:r>
      <w:bookmarkEnd w:id="4"/>
    </w:p>
    <w:p>
      <w:pPr>
        <w:pStyle w:val="Normal"/>
        <w:rPr>
          <w:bCs/>
          <w:color w:val="000000"/>
          <w:sz w:val="24"/>
          <w:szCs w:val="24"/>
          <w:highlight w:val="none"/>
          <w:shd w:fill="auto" w:val="clear"/>
        </w:rPr>
      </w:pPr>
      <w:r>
        <w:rPr>
          <w:bCs/>
          <w:color w:val="000000"/>
          <w:sz w:val="24"/>
          <w:szCs w:val="24"/>
          <w:shd w:fill="auto" w:val="clear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8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120" w:after="120"/>
              <w:jc w:val="both"/>
              <w:rPr>
                <w:highlight w:val="none"/>
                <w:shd w:fill="auto" w:val="clear"/>
              </w:rPr>
            </w:pPr>
            <w:r>
              <w:rPr>
                <w:bCs/>
                <w:color w:val="000000"/>
                <w:sz w:val="24"/>
                <w:szCs w:val="24"/>
                <w:shd w:fill="auto" w:val="clear"/>
                <w:lang w:val="en-US"/>
              </w:rPr>
              <w:t>КТП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120" w:after="120"/>
              <w:jc w:val="both"/>
              <w:rPr>
                <w:highlight w:val="none"/>
                <w:shd w:fill="auto" w:val="clear"/>
              </w:rPr>
            </w:pPr>
            <w:r>
              <w:rPr>
                <w:bCs/>
                <w:color w:val="000000"/>
                <w:sz w:val="24"/>
                <w:szCs w:val="24"/>
                <w:shd w:fill="auto" w:val="clear"/>
                <w:lang w:val="en-US"/>
              </w:rPr>
              <w:t>Комплектная трансформаторная подстанция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Cs/>
                <w:i w:val="false"/>
                <w:color w:val="000000"/>
                <w:sz w:val="24"/>
                <w:szCs w:val="24"/>
                <w:shd w:fill="auto" w:val="clear"/>
                <w:lang w:val="en-US"/>
              </w:rPr>
              <w:t>ПУЭ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120" w:after="120"/>
              <w:jc w:val="both"/>
              <w:rPr>
                <w:highlight w:val="none"/>
                <w:shd w:fill="auto" w:val="clear"/>
              </w:rPr>
            </w:pPr>
            <w:r>
              <w:rPr>
                <w:bCs/>
                <w:color w:val="000000"/>
                <w:sz w:val="24"/>
                <w:szCs w:val="24"/>
                <w:shd w:fill="auto" w:val="clear"/>
                <w:lang w:val="en-US"/>
              </w:rPr>
              <w:t>Правила устройства электроустановок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120" w:after="120"/>
              <w:jc w:val="both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ТМГ</w:t>
            </w:r>
          </w:p>
        </w:tc>
        <w:tc>
          <w:tcPr>
            <w:tcW w:w="799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120" w:after="120"/>
              <w:jc w:val="both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Трансформатор трехфазный масляный герметичный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60" w:after="60"/>
              <w:jc w:val="both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ТУ</w:t>
            </w:r>
          </w:p>
        </w:tc>
        <w:tc>
          <w:tcPr>
            <w:tcW w:w="799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60" w:after="60"/>
              <w:jc w:val="both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Технические условия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60" w:after="60"/>
              <w:jc w:val="both"/>
              <w:rPr/>
            </w:pPr>
            <w:r>
              <w:rPr>
                <w:iCs/>
                <w:sz w:val="22"/>
                <w:szCs w:val="22"/>
              </w:rPr>
              <w:t>УХЛ1</w:t>
            </w:r>
          </w:p>
        </w:tc>
        <w:tc>
          <w:tcPr>
            <w:tcW w:w="799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60" w:after="60"/>
              <w:jc w:val="both"/>
              <w:rPr/>
            </w:pPr>
            <w:r>
              <w:rPr>
                <w:iCs/>
                <w:sz w:val="22"/>
                <w:szCs w:val="22"/>
              </w:rPr>
              <w:t>климатическое исполнение «умеренный и холодный климат», категория размещения «на открытом воздухе»;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60" w:after="60"/>
              <w:jc w:val="both"/>
              <w:rPr/>
            </w:pPr>
            <w:r>
              <w:rPr>
                <w:iCs/>
                <w:sz w:val="22"/>
                <w:szCs w:val="22"/>
              </w:rPr>
              <w:t>ГОСТ</w:t>
            </w:r>
          </w:p>
        </w:tc>
        <w:tc>
          <w:tcPr>
            <w:tcW w:w="799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60" w:after="60"/>
              <w:jc w:val="both"/>
              <w:rPr/>
            </w:pPr>
            <w:r>
              <w:rPr>
                <w:iCs/>
                <w:sz w:val="22"/>
                <w:szCs w:val="22"/>
              </w:rPr>
              <w:t>государственный стандарт;</w:t>
            </w:r>
          </w:p>
        </w:tc>
      </w:tr>
    </w:tbl>
    <w:p>
      <w:pPr>
        <w:pStyle w:val="Normal"/>
        <w:keepNext w:val="true"/>
        <w:keepLines/>
        <w:jc w:val="both"/>
        <w:rPr>
          <w:color w:val="000000"/>
          <w:sz w:val="24"/>
          <w:szCs w:val="24"/>
          <w:highlight w:val="none"/>
          <w:shd w:fill="auto" w:val="clear"/>
        </w:rPr>
      </w:pPr>
      <w:r>
        <w:rPr>
          <w:color w:val="000000"/>
          <w:sz w:val="24"/>
          <w:szCs w:val="24"/>
          <w:shd w:fill="auto" w:val="clear"/>
        </w:rPr>
      </w:r>
    </w:p>
    <w:p>
      <w:pPr>
        <w:pStyle w:val="Normal"/>
        <w:keepNext w:val="true"/>
        <w:keepLines/>
        <w:jc w:val="both"/>
        <w:rPr>
          <w:color w:val="000000"/>
          <w:sz w:val="24"/>
          <w:szCs w:val="24"/>
          <w:highlight w:val="none"/>
          <w:shd w:fill="auto" w:val="clear"/>
        </w:rPr>
      </w:pPr>
      <w:r>
        <w:rPr>
          <w:color w:val="000000"/>
          <w:sz w:val="24"/>
          <w:szCs w:val="24"/>
          <w:shd w:fill="auto" w:val="clear"/>
        </w:rPr>
      </w:r>
    </w:p>
    <w:p>
      <w:pPr>
        <w:pStyle w:val="Normal"/>
        <w:keepNext w:val="true"/>
        <w:keepLines/>
        <w:rPr>
          <w:color w:val="000000"/>
          <w:sz w:val="24"/>
          <w:szCs w:val="24"/>
          <w:highlight w:val="none"/>
          <w:shd w:fill="auto" w:val="clear"/>
        </w:rPr>
      </w:pPr>
      <w:r>
        <w:rPr>
          <w:color w:val="000000"/>
          <w:sz w:val="24"/>
          <w:szCs w:val="24"/>
          <w:shd w:fill="auto" w:val="clear"/>
        </w:rPr>
      </w:r>
      <w:r>
        <w:br w:type="page"/>
      </w:r>
    </w:p>
    <w:p>
      <w:pPr>
        <w:pStyle w:val="Heading4"/>
        <w:numPr>
          <w:ilvl w:val="1"/>
          <w:numId w:val="1"/>
        </w:numPr>
        <w:rPr>
          <w:highlight w:val="none"/>
          <w:shd w:fill="auto" w:val="clear"/>
        </w:rPr>
      </w:pPr>
      <w:bookmarkStart w:id="6" w:name="_Toc130454089"/>
      <w:bookmarkStart w:id="7" w:name="_Toc46743506"/>
      <w:bookmarkEnd w:id="7"/>
      <w:r>
        <w:rPr>
          <w:color w:val="000000"/>
          <w:shd w:fill="auto" w:val="clear"/>
        </w:rPr>
        <w:t>Наименование закупаемой продукции</w:t>
      </w:r>
      <w:bookmarkEnd w:id="6"/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120" w:after="120"/>
        <w:ind w:hanging="0" w:right="-144"/>
        <w:rPr>
          <w:highlight w:val="none"/>
          <w:shd w:fill="auto" w:val="clear"/>
        </w:rPr>
      </w:pPr>
      <w:r>
        <w:rPr>
          <w:rFonts w:eastAsia="Calibri"/>
          <w:color w:val="000000"/>
          <w:sz w:val="24"/>
          <w:szCs w:val="24"/>
          <w:shd w:fill="auto" w:val="clear"/>
          <w:lang w:eastAsia="x-none"/>
        </w:rPr>
        <w:t>27.11.4</w:t>
      </w:r>
      <w:r>
        <w:rPr>
          <w:rFonts w:eastAsia="Calibri"/>
          <w:color w:val="000000"/>
          <w:sz w:val="24"/>
          <w:szCs w:val="24"/>
          <w:shd w:fill="auto" w:val="clear"/>
          <w:lang w:eastAsia="x-none"/>
        </w:rPr>
        <w:t>1</w:t>
      </w:r>
      <w:r>
        <w:rPr>
          <w:rFonts w:eastAsia="Calibri"/>
          <w:color w:val="000000"/>
          <w:sz w:val="24"/>
          <w:szCs w:val="24"/>
          <w:shd w:fill="auto" w:val="clear"/>
          <w:lang w:eastAsia="x-none"/>
        </w:rPr>
        <w:t xml:space="preserve"> Поставка силового трансформатора ТМГ-100/10 УХЛ1</w:t>
      </w:r>
      <w:r>
        <w:rPr>
          <w:rFonts w:eastAsia="Calibri"/>
          <w:color w:val="000000"/>
          <w:shd w:fill="auto" w:val="clear"/>
          <w:lang w:eastAsia="x-none"/>
        </w:rPr>
        <w:br/>
      </w:r>
    </w:p>
    <w:p>
      <w:pPr>
        <w:pStyle w:val="Heading4"/>
        <w:numPr>
          <w:ilvl w:val="1"/>
          <w:numId w:val="1"/>
        </w:numPr>
        <w:spacing w:before="240" w:after="60"/>
        <w:ind w:hanging="431" w:left="431"/>
        <w:rPr>
          <w:highlight w:val="none"/>
          <w:shd w:fill="auto" w:val="clear"/>
        </w:rPr>
      </w:pPr>
      <w:bookmarkStart w:id="8" w:name="_Toc130454090"/>
      <w:bookmarkStart w:id="9" w:name="_Toc46743507"/>
      <w:r>
        <w:rPr>
          <w:color w:val="000000"/>
          <w:shd w:fill="auto" w:val="clear"/>
        </w:rPr>
        <w:t xml:space="preserve">Цель </w:t>
      </w:r>
      <w:bookmarkEnd w:id="9"/>
      <w:r>
        <w:rPr>
          <w:color w:val="000000"/>
          <w:shd w:fill="auto" w:val="clear"/>
          <w:lang w:val="ru-RU"/>
        </w:rPr>
        <w:t>использования закупаемой продукции</w:t>
      </w:r>
      <w:bookmarkEnd w:id="8"/>
    </w:p>
    <w:p>
      <w:pPr>
        <w:pStyle w:val="Normal"/>
        <w:jc w:val="both"/>
        <w:rPr/>
      </w:pPr>
      <w:r>
        <w:rPr>
          <w:sz w:val="24"/>
          <w:szCs w:val="24"/>
        </w:rPr>
        <w:t xml:space="preserve">Замена вышедшего из строя силового трансформатора комплектной трансформаторной подстанции для электропитания оборудования наружного освещения на Земляной плотине Жигулевской ГЭС.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/>
      </w:pPr>
      <w:r>
        <w:rPr>
          <w:sz w:val="24"/>
          <w:szCs w:val="24"/>
        </w:rPr>
        <w:t>Восстановление работоспособности КТП комплектной трансформаторной подстанции для электропитания оборудования наружного освещения Земляной плотины Жигулевской ГЭС.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/>
      </w:pPr>
      <w:r>
        <w:rPr>
          <w:rFonts w:eastAsia="Calibri" w:cs="Times New Roman"/>
          <w:b/>
          <w:bCs/>
          <w:color w:val="000000"/>
          <w:kern w:val="0"/>
          <w:sz w:val="24"/>
          <w:szCs w:val="24"/>
          <w:lang w:eastAsia="x-none" w:bidi="ar-SA"/>
        </w:rPr>
        <w:t xml:space="preserve">1.4.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 </w:t>
      </w:r>
    </w:p>
    <w:p>
      <w:pPr>
        <w:pStyle w:val="Normal"/>
        <w:jc w:val="both"/>
        <w:rPr/>
      </w:pPr>
      <w:r>
        <w:rPr>
          <w:color w:val="000000"/>
          <w:sz w:val="24"/>
          <w:szCs w:val="24"/>
          <w:shd w:fill="auto" w:val="clear"/>
        </w:rPr>
        <w:t xml:space="preserve">Заказчик предоставит поставщику для разгрузки на территории Филиала: </w:t>
      </w:r>
    </w:p>
    <w:p>
      <w:pPr>
        <w:pStyle w:val="Normal"/>
        <w:jc w:val="both"/>
        <w:rPr/>
      </w:pPr>
      <w:r>
        <w:rPr>
          <w:color w:val="000000"/>
          <w:sz w:val="24"/>
          <w:szCs w:val="24"/>
          <w:shd w:fill="auto" w:val="clear"/>
        </w:rPr>
        <w:t xml:space="preserve">    </w:t>
      </w:r>
      <w:r>
        <w:rPr>
          <w:color w:val="000000"/>
          <w:sz w:val="24"/>
          <w:szCs w:val="24"/>
          <w:shd w:fill="auto" w:val="clear"/>
        </w:rPr>
        <w:t>1. Следующие виды ресурсов:</w:t>
      </w:r>
    </w:p>
    <w:p>
      <w:pPr>
        <w:pStyle w:val="Normal"/>
        <w:jc w:val="both"/>
        <w:rPr/>
      </w:pPr>
      <w:r>
        <w:rPr>
          <w:color w:val="000000"/>
          <w:sz w:val="24"/>
          <w:szCs w:val="24"/>
          <w:shd w:fill="auto" w:val="clear"/>
        </w:rPr>
        <w:t xml:space="preserve">        </w:t>
      </w:r>
      <w:r>
        <w:rPr>
          <w:color w:val="000000"/>
          <w:sz w:val="24"/>
          <w:szCs w:val="24"/>
          <w:shd w:fill="auto" w:val="clear"/>
        </w:rPr>
        <w:t>1.1. Вилочный погрузчик;</w:t>
      </w:r>
    </w:p>
    <w:p>
      <w:pPr>
        <w:pStyle w:val="Normal"/>
        <w:jc w:val="both"/>
        <w:rPr/>
      </w:pPr>
      <w:r>
        <w:rPr>
          <w:color w:val="000000"/>
          <w:sz w:val="24"/>
          <w:szCs w:val="24"/>
          <w:shd w:fill="auto" w:val="clear"/>
        </w:rPr>
        <w:t xml:space="preserve">        </w:t>
      </w:r>
      <w:r>
        <w:rPr>
          <w:color w:val="000000"/>
          <w:sz w:val="24"/>
          <w:szCs w:val="24"/>
          <w:shd w:fill="auto" w:val="clear"/>
        </w:rPr>
        <w:t>1.2. Автомобильный кран.</w:t>
      </w:r>
    </w:p>
    <w:p>
      <w:pPr>
        <w:pStyle w:val="Heading4"/>
        <w:numPr>
          <w:ilvl w:val="0"/>
        </w:numPr>
        <w:tabs>
          <w:tab w:val="clear" w:pos="0"/>
        </w:tabs>
        <w:ind w:hanging="0" w:left="432"/>
        <w:rPr>
          <w:b w:val="false"/>
          <w:iCs/>
        </w:rPr>
      </w:pPr>
      <w:r>
        <w:rPr>
          <w:b w:val="false"/>
          <w:iCs/>
        </w:rPr>
      </w:r>
      <w:bookmarkStart w:id="10" w:name="_Toc191395478_Копия_1"/>
      <w:bookmarkStart w:id="11" w:name="_Toc191395478_Копия_1"/>
      <w:bookmarkEnd w:id="11"/>
    </w:p>
    <w:p>
      <w:pPr>
        <w:pStyle w:val="Heading4"/>
        <w:numPr>
          <w:ilvl w:val="0"/>
          <w:numId w:val="0"/>
        </w:numPr>
        <w:ind w:hanging="0" w:left="0"/>
        <w:rPr/>
      </w:pPr>
      <w:bookmarkStart w:id="12" w:name="_Toc50125126"/>
      <w:bookmarkStart w:id="13" w:name="_Toc46743510"/>
      <w:bookmarkStart w:id="14" w:name="_Hlk48209761_Копия_1"/>
      <w:bookmarkEnd w:id="12"/>
      <w:bookmarkEnd w:id="13"/>
      <w:bookmarkEnd w:id="14"/>
      <w:r>
        <w:rPr/>
        <w:t xml:space="preserve">1.5. </w:t>
      </w:r>
      <w:bookmarkStart w:id="15" w:name="_Toc191395479"/>
      <w:r>
        <w:rPr/>
        <w:t xml:space="preserve">Иные требования и сведения общего характера </w:t>
      </w:r>
      <w:bookmarkEnd w:id="15"/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120" w:after="240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highlight w:val="none"/>
          <w:shd w:fill="auto" w:val="clear"/>
          <w:lang w:val="ru-RU" w:eastAsia="ru-RU" w:bidi="ar-SA"/>
        </w:rPr>
      </w:pPr>
      <w:r>
        <w:rPr>
          <w:rFonts w:eastAsia="Times New Roman" w:cs="Times New Roman"/>
          <w:color w:val="000000"/>
          <w:kern w:val="0"/>
          <w:sz w:val="24"/>
          <w:szCs w:val="24"/>
          <w:shd w:fill="auto" w:val="clear"/>
          <w:lang w:val="ru-RU" w:eastAsia="ru-RU" w:bidi="ar-SA"/>
        </w:rPr>
        <w:t>Требования к участнику закупки:  отсутствие сведений об участнике закупки в реестре недобросовестных поставщиков, предусмотренных статьей 5 Федерального закона от 18 июля 2011г. № 223-ФЗ «О закупках товаров, работ, услуг отдельными видами юридических лиц».</w:t>
      </w:r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120" w:after="240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highlight w:val="none"/>
          <w:shd w:fill="auto" w:val="clear"/>
          <w:lang w:val="ru-RU" w:eastAsia="ru-RU" w:bidi="ar-SA"/>
        </w:rPr>
      </w:pPr>
      <w:r>
        <w:rPr>
          <w:rFonts w:eastAsia="Times New Roman" w:cs="Times New Roman"/>
          <w:color w:val="000000"/>
          <w:kern w:val="0"/>
          <w:sz w:val="24"/>
          <w:szCs w:val="24"/>
          <w:shd w:fill="auto" w:val="clear"/>
          <w:lang w:val="ru-RU" w:eastAsia="ru-RU" w:bidi="ar-SA"/>
        </w:rPr>
        <w:t xml:space="preserve">           </w:t>
      </w:r>
      <w:r>
        <w:rPr>
          <w:rFonts w:eastAsia="Times New Roman" w:cs="Times New Roman"/>
          <w:b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  <w:t xml:space="preserve"> </w:t>
      </w:r>
      <w:r>
        <w:rPr>
          <w:rFonts w:eastAsia="Times New Roman" w:cs="Times New Roman"/>
          <w:b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  <w:t>1.5.1. Требования к участнику закупки, признанным победителем</w:t>
      </w:r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120" w:after="240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highlight w:val="none"/>
          <w:shd w:fill="auto" w:val="clear"/>
          <w:lang w:val="ru-RU" w:eastAsia="ru-RU" w:bidi="ar-SA"/>
        </w:rPr>
      </w:pPr>
      <w:r>
        <w:rPr>
          <w:rFonts w:eastAsia="Times New Roman" w:cs="Times New Roman"/>
          <w:color w:val="000000"/>
          <w:kern w:val="0"/>
          <w:sz w:val="24"/>
          <w:szCs w:val="24"/>
          <w:shd w:fill="auto" w:val="clear"/>
          <w:lang w:val="ru-RU" w:eastAsia="ru-RU" w:bidi="ar-SA"/>
        </w:rPr>
        <w:t>Участник, признанный победителем закупочной процедуры, в течение 3 рабочих дней с даты официального размещения Организатором итогового протокола по результатам закупки (до заключения договора) должен предоставить Письмо – подтверждение завода-изготовителя о согласии на изготовление с указанием конкретных сроков изготовления и предлагаемых гарантийных сроков (в произвольной форме).</w:t>
      </w:r>
    </w:p>
    <w:p>
      <w:pPr>
        <w:pStyle w:val="Heading4"/>
        <w:numPr>
          <w:ilvl w:val="0"/>
          <w:numId w:val="0"/>
        </w:numPr>
        <w:ind w:hanging="0" w:left="720"/>
        <w:rPr/>
      </w:pPr>
      <w:r>
        <w:rPr/>
      </w:r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120" w:after="240"/>
        <w:jc w:val="both"/>
        <w:rPr>
          <w:color w:val="000000"/>
          <w:sz w:val="24"/>
          <w:szCs w:val="24"/>
          <w:highlight w:val="none"/>
          <w:shd w:fill="auto" w:val="clear"/>
        </w:rPr>
      </w:pPr>
      <w:r>
        <w:rPr>
          <w:color w:val="000000"/>
          <w:sz w:val="24"/>
          <w:szCs w:val="24"/>
          <w:shd w:fill="auto" w:val="clear"/>
        </w:rPr>
      </w:r>
    </w:p>
    <w:p>
      <w:pPr>
        <w:pStyle w:val="Heading1"/>
        <w:keepLines/>
        <w:numPr>
          <w:ilvl w:val="0"/>
          <w:numId w:val="1"/>
        </w:numPr>
        <w:ind w:hanging="357" w:left="357"/>
        <w:jc w:val="center"/>
        <w:rPr>
          <w:highlight w:val="none"/>
          <w:shd w:fill="auto" w:val="clear"/>
        </w:rPr>
      </w:pPr>
      <w:bookmarkStart w:id="16" w:name="_Toc130454092"/>
      <w:bookmarkStart w:id="17" w:name="_Toc51339693"/>
      <w:bookmarkEnd w:id="17"/>
      <w:r>
        <w:rPr>
          <w:iCs/>
          <w:color w:val="000000"/>
          <w:shd w:fill="auto" w:val="clear"/>
        </w:rPr>
        <w:t>Требования к продукции</w:t>
      </w:r>
      <w:bookmarkEnd w:id="16"/>
    </w:p>
    <w:p>
      <w:pPr>
        <w:pStyle w:val="Heading4"/>
        <w:numPr>
          <w:ilvl w:val="1"/>
          <w:numId w:val="1"/>
        </w:numPr>
        <w:rPr>
          <w:highlight w:val="none"/>
          <w:shd w:fill="auto" w:val="clear"/>
        </w:rPr>
      </w:pPr>
      <w:bookmarkStart w:id="18" w:name="_Toc130454093"/>
      <w:r>
        <w:rPr>
          <w:color w:val="000000"/>
          <w:shd w:fill="auto" w:val="clear"/>
        </w:rPr>
        <w:t xml:space="preserve">Требования к объемам и срокам </w:t>
      </w:r>
      <w:r>
        <w:rPr>
          <w:color w:val="000000"/>
          <w:shd w:fill="auto" w:val="clear"/>
          <w:lang w:val="ru-RU"/>
        </w:rPr>
        <w:t>поставки</w:t>
      </w:r>
      <w:bookmarkEnd w:id="18"/>
    </w:p>
    <w:p>
      <w:pPr>
        <w:pStyle w:val="Heading3"/>
        <w:numPr>
          <w:ilvl w:val="2"/>
          <w:numId w:val="1"/>
        </w:numPr>
        <w:rPr>
          <w:highlight w:val="none"/>
          <w:shd w:fill="auto" w:val="clear"/>
        </w:rPr>
      </w:pPr>
      <w:bookmarkStart w:id="19" w:name="_Toc130454094"/>
      <w:r>
        <w:rPr>
          <w:color w:val="000000"/>
          <w:shd w:fill="auto" w:val="clear"/>
          <w:lang w:val="ru-RU"/>
        </w:rPr>
        <w:t>Перечень и объем закупаемой продукции</w:t>
      </w:r>
      <w:bookmarkEnd w:id="19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highlight w:val="none"/>
          <w:shd w:fill="auto" w:val="clear"/>
        </w:rPr>
      </w:pPr>
      <w:bookmarkStart w:id="20" w:name="_Toc130454095"/>
      <w:bookmarkStart w:id="21" w:name="_Toc51339695"/>
      <w:r>
        <w:rPr>
          <w:color w:val="000000"/>
          <w:sz w:val="24"/>
          <w:szCs w:val="24"/>
          <w:shd w:fill="auto" w:val="clear"/>
        </w:rPr>
        <w:t xml:space="preserve">Таблица </w:t>
      </w:r>
      <w:r>
        <w:rPr>
          <w:color w:val="000000"/>
          <w:sz w:val="24"/>
          <w:szCs w:val="24"/>
          <w:shd w:fill="auto" w:val="clear"/>
          <w:lang w:val="ru-RU"/>
        </w:rPr>
        <w:t>1.1</w:t>
      </w:r>
      <w:r>
        <w:rPr>
          <w:color w:val="000000"/>
          <w:sz w:val="24"/>
          <w:szCs w:val="24"/>
          <w:shd w:fill="auto" w:val="clear"/>
        </w:rPr>
        <w:t xml:space="preserve"> </w:t>
      </w:r>
      <w:r>
        <w:rPr>
          <w:color w:val="000000"/>
          <w:sz w:val="24"/>
          <w:szCs w:val="24"/>
          <w:shd w:fill="auto" w:val="clear"/>
          <w:lang w:val="ru-RU"/>
        </w:rPr>
        <w:t xml:space="preserve">Перечень </w:t>
      </w:r>
      <w:bookmarkEnd w:id="21"/>
      <w:r>
        <w:rPr>
          <w:color w:val="000000"/>
          <w:sz w:val="24"/>
          <w:szCs w:val="24"/>
          <w:shd w:fill="auto" w:val="clear"/>
          <w:lang w:val="ru-RU"/>
        </w:rPr>
        <w:t>и объем закупаемой продукции</w:t>
      </w:r>
      <w:bookmarkEnd w:id="20"/>
    </w:p>
    <w:p>
      <w:pPr>
        <w:pStyle w:val="Heading1"/>
        <w:tabs>
          <w:tab w:val="clear" w:pos="0"/>
        </w:tabs>
        <w:spacing w:before="240" w:after="60"/>
        <w:ind w:hanging="0" w:left="0"/>
        <w:jc w:val="right"/>
        <w:rPr>
          <w:highlight w:val="none"/>
          <w:shd w:fill="auto" w:val="clear"/>
        </w:rPr>
      </w:pPr>
      <w:r>
        <w:rPr>
          <w:shd w:fill="auto" w:val="clear"/>
        </w:rPr>
      </w:r>
    </w:p>
    <w:tbl>
      <w:tblPr>
        <w:tblW w:w="9765" w:type="dxa"/>
        <w:jc w:val="left"/>
        <w:tblInd w:w="300" w:type="dxa"/>
        <w:tblLayout w:type="fixed"/>
        <w:tblCellMar>
          <w:top w:w="0" w:type="dxa"/>
          <w:left w:w="83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89"/>
        <w:gridCol w:w="6150"/>
        <w:gridCol w:w="1413"/>
        <w:gridCol w:w="1412"/>
      </w:tblGrid>
      <w:tr>
        <w:trPr/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п/п</w:t>
            </w:r>
          </w:p>
        </w:tc>
        <w:tc>
          <w:tcPr>
            <w:tcW w:w="6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Наименование продукции</w:t>
            </w:r>
          </w:p>
        </w:tc>
        <w:tc>
          <w:tcPr>
            <w:tcW w:w="14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Единица измерения</w:t>
            </w:r>
          </w:p>
        </w:tc>
        <w:tc>
          <w:tcPr>
            <w:tcW w:w="1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Количество</w:t>
            </w:r>
          </w:p>
        </w:tc>
      </w:tr>
      <w:tr>
        <w:trPr/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color w:val="000000"/>
                <w:sz w:val="24"/>
                <w:szCs w:val="24"/>
                <w:shd w:fill="auto" w:val="clear"/>
              </w:rPr>
              <w:t>1</w:t>
            </w:r>
          </w:p>
        </w:tc>
        <w:tc>
          <w:tcPr>
            <w:tcW w:w="6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color w:val="000000"/>
                <w:sz w:val="24"/>
                <w:szCs w:val="24"/>
                <w:shd w:fill="auto" w:val="clear"/>
              </w:rPr>
              <w:t>2</w:t>
            </w:r>
          </w:p>
        </w:tc>
        <w:tc>
          <w:tcPr>
            <w:tcW w:w="14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color w:val="000000"/>
                <w:sz w:val="24"/>
                <w:szCs w:val="24"/>
                <w:shd w:fill="auto" w:val="clear"/>
              </w:rPr>
              <w:t>3</w:t>
            </w:r>
          </w:p>
        </w:tc>
        <w:tc>
          <w:tcPr>
            <w:tcW w:w="1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color w:val="000000"/>
                <w:sz w:val="24"/>
                <w:szCs w:val="24"/>
                <w:shd w:fill="auto" w:val="clear"/>
              </w:rPr>
              <w:t>4</w:t>
            </w:r>
          </w:p>
        </w:tc>
      </w:tr>
      <w:tr>
        <w:trPr/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>
                <w:color w:val="000000"/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6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cs="Calibri"/>
                <w:color w:val="000000"/>
                <w:sz w:val="24"/>
                <w:szCs w:val="24"/>
                <w:shd w:fill="auto" w:val="clear"/>
              </w:rPr>
              <w:t>Трансформатор силовой ТМГ-100/10 УХЛ1</w:t>
            </w:r>
          </w:p>
        </w:tc>
        <w:tc>
          <w:tcPr>
            <w:tcW w:w="14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шт.</w:t>
            </w:r>
          </w:p>
        </w:tc>
        <w:tc>
          <w:tcPr>
            <w:tcW w:w="1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  <w:lang w:val="en-US"/>
              </w:rPr>
              <w:t>1</w:t>
            </w:r>
          </w:p>
        </w:tc>
      </w:tr>
    </w:tbl>
    <w:p>
      <w:pPr>
        <w:pStyle w:val="Normal"/>
        <w:ind w:hanging="0" w:left="57"/>
        <w:jc w:val="both"/>
        <w:rPr>
          <w:color w:val="000000"/>
          <w:highlight w:val="none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ind w:hanging="0" w:left="57"/>
        <w:jc w:val="both"/>
        <w:rPr>
          <w:color w:val="000000"/>
          <w:highlight w:val="none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Heading3"/>
        <w:numPr>
          <w:ilvl w:val="0"/>
          <w:numId w:val="0"/>
        </w:numPr>
        <w:ind w:hanging="0" w:left="720"/>
        <w:rPr/>
      </w:pPr>
      <w:r>
        <w:rPr/>
        <w:t xml:space="preserve">2.1.2. </w:t>
      </w:r>
      <w:bookmarkStart w:id="22" w:name="_Toc191395486"/>
      <w:bookmarkStart w:id="23" w:name="_Toc51339696_Копия_1"/>
      <w:r>
        <w:rPr/>
        <w:t xml:space="preserve">Требования </w:t>
      </w:r>
      <w:bookmarkEnd w:id="23"/>
      <w:r>
        <w:rPr/>
        <w:t xml:space="preserve">к срокам поставки продукции </w:t>
      </w:r>
      <w:bookmarkEnd w:id="22"/>
    </w:p>
    <w:p>
      <w:pPr>
        <w:pStyle w:val="Style38"/>
        <w:numPr>
          <w:ilvl w:val="0"/>
          <w:numId w:val="0"/>
        </w:numPr>
        <w:ind w:hanging="0" w:left="0"/>
        <w:outlineLvl w:val="0"/>
        <w:rPr/>
      </w:pPr>
      <w:bookmarkStart w:id="24" w:name="_Toc191395487"/>
      <w:bookmarkStart w:id="25" w:name="_Toc51339697_Копия_1"/>
      <w:bookmarkStart w:id="26" w:name="_Toc50125127_Копия_1"/>
      <w:bookmarkStart w:id="27" w:name="_Toc50125126_Копия_1"/>
      <w:bookmarkEnd w:id="27"/>
      <w:r>
        <w:rPr/>
        <w:t xml:space="preserve">Таблица 2.1 </w:t>
      </w:r>
      <w:bookmarkStart w:id="28" w:name="_Hlk50465284_Копия_1"/>
      <w:r>
        <w:rPr/>
        <w:t xml:space="preserve">Требования к срокам </w:t>
      </w:r>
      <w:bookmarkEnd w:id="25"/>
      <w:bookmarkEnd w:id="26"/>
      <w:bookmarkEnd w:id="28"/>
      <w:r>
        <w:rPr/>
        <w:t>поставки продукции</w:t>
      </w:r>
      <w:bookmarkEnd w:id="24"/>
      <w:r>
        <w:rPr/>
        <w:t xml:space="preserve"> </w:t>
      </w:r>
    </w:p>
    <w:p>
      <w:pPr>
        <w:pStyle w:val="Normal"/>
        <w:ind w:hanging="0" w:left="57"/>
        <w:jc w:val="both"/>
        <w:rPr>
          <w:color w:val="000000"/>
          <w:highlight w:val="none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0"/>
        <w:gridCol w:w="2549"/>
        <w:gridCol w:w="2980"/>
        <w:gridCol w:w="3116"/>
      </w:tblGrid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/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/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hanging="0" w:left="0"/>
              <w:jc w:val="left"/>
              <w:rPr/>
            </w:pPr>
            <w:r>
              <w:rPr/>
              <w:t>1.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cs="Calibri"/>
                <w:color w:val="000000"/>
                <w:sz w:val="24"/>
                <w:szCs w:val="24"/>
                <w:shd w:fill="auto" w:val="clear"/>
              </w:rPr>
              <w:t>Трансформатор силовой ТМГ-100/10 УХЛ1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 (ориентировочно 15.11.2026)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позднее 15 календарных дней с даты подписания договора (плановый срок - 30.11.2026)</w:t>
            </w:r>
          </w:p>
        </w:tc>
      </w:tr>
    </w:tbl>
    <w:p>
      <w:pPr>
        <w:pStyle w:val="Normal"/>
        <w:ind w:hanging="0" w:left="57"/>
        <w:jc w:val="both"/>
        <w:rPr>
          <w:color w:val="000000"/>
          <w:highlight w:val="none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widowControl w:val="false"/>
        <w:numPr>
          <w:ilvl w:val="0"/>
          <w:numId w:val="0"/>
        </w:numPr>
        <w:ind w:hanging="0" w:left="0"/>
        <w:jc w:val="both"/>
        <w:outlineLvl w:val="0"/>
        <w:rPr>
          <w:rFonts w:eastAsia="Calibri"/>
          <w:b/>
        </w:rPr>
      </w:pPr>
      <w:r>
        <w:rPr>
          <w:b/>
          <w:i/>
        </w:rPr>
        <w:t>Поставка осуществляется одной партией</w:t>
      </w:r>
      <w:r>
        <w:rPr>
          <w:rStyle w:val="Style8"/>
          <w:bCs/>
          <w:shd w:fill="auto" w:val="clear"/>
        </w:rPr>
        <w:t>.</w:t>
      </w:r>
    </w:p>
    <w:p>
      <w:pPr>
        <w:pStyle w:val="Normal"/>
        <w:ind w:hanging="0" w:left="57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ind w:hanging="0" w:left="567"/>
        <w:jc w:val="both"/>
        <w:rPr>
          <w:color w:val="000000"/>
          <w:sz w:val="24"/>
          <w:szCs w:val="24"/>
          <w:highlight w:val="none"/>
          <w:shd w:fill="auto" w:val="clear"/>
        </w:rPr>
      </w:pPr>
      <w:r>
        <w:rPr>
          <w:color w:val="000000"/>
          <w:sz w:val="24"/>
          <w:szCs w:val="24"/>
          <w:shd w:fill="auto" w:val="clear"/>
        </w:rPr>
      </w:r>
    </w:p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numPr>
          <w:ilvl w:val="0"/>
          <w:numId w:val="0"/>
        </w:numPr>
        <w:ind w:hanging="0" w:left="57"/>
        <w:jc w:val="both"/>
        <w:rPr>
          <w:color w:val="000000"/>
          <w:highlight w:val="none"/>
          <w:shd w:fill="auto" w:val="clear"/>
          <w:lang w:val="en-US"/>
        </w:rPr>
      </w:pPr>
      <w:r>
        <w:rPr>
          <w:color w:val="000000"/>
          <w:shd w:fill="auto" w:val="clear"/>
          <w:lang w:val="en-US"/>
        </w:rPr>
        <w:t xml:space="preserve">  </w:t>
      </w:r>
      <w:r>
        <w:rPr>
          <w:rFonts w:eastAsia="Calibri" w:cs="Times New Roman"/>
          <w:b/>
          <w:color w:val="00000A"/>
          <w:kern w:val="0"/>
          <w:sz w:val="24"/>
          <w:szCs w:val="24"/>
          <w:lang w:val="x-none" w:eastAsia="x-none" w:bidi="ar-SA"/>
        </w:rPr>
        <w:t xml:space="preserve">    </w:t>
      </w:r>
    </w:p>
    <w:p>
      <w:pPr>
        <w:pStyle w:val="Heading4"/>
        <w:numPr>
          <w:ilvl w:val="1"/>
          <w:numId w:val="1"/>
        </w:numPr>
        <w:rPr>
          <w:highlight w:val="none"/>
          <w:shd w:fill="auto" w:val="clear"/>
        </w:rPr>
      </w:pPr>
      <w:bookmarkStart w:id="29" w:name="_Toc51339698"/>
      <w:bookmarkStart w:id="30" w:name="_Toc130454098"/>
      <w:bookmarkStart w:id="31" w:name="_Toc46743511"/>
      <w:r>
        <w:rPr>
          <w:color w:val="000000"/>
          <w:shd w:fill="auto" w:val="clear"/>
        </w:rPr>
        <w:t xml:space="preserve">Требования к </w:t>
      </w:r>
      <w:bookmarkEnd w:id="31"/>
      <w:r>
        <w:rPr>
          <w:color w:val="000000"/>
          <w:shd w:fill="auto" w:val="clear"/>
          <w:lang w:val="ru-RU"/>
        </w:rPr>
        <w:t>качеству продукции</w:t>
      </w:r>
      <w:bookmarkEnd w:id="30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highlight w:val="none"/>
          <w:shd w:fill="auto" w:val="clear"/>
        </w:rPr>
      </w:pPr>
      <w:r>
        <w:rPr>
          <w:color w:val="000000"/>
          <w:sz w:val="24"/>
          <w:szCs w:val="24"/>
          <w:shd w:fill="auto" w:val="clear"/>
        </w:rPr>
        <w:t xml:space="preserve"> </w:t>
      </w:r>
      <w:bookmarkStart w:id="32" w:name="_Toc130454099"/>
      <w:r>
        <w:rPr>
          <w:color w:val="000000"/>
          <w:sz w:val="24"/>
          <w:szCs w:val="24"/>
          <w:shd w:fill="auto" w:val="clear"/>
        </w:rPr>
        <w:t>Таблица </w:t>
      </w:r>
      <w:r>
        <w:rPr>
          <w:color w:val="000000"/>
          <w:sz w:val="24"/>
          <w:szCs w:val="24"/>
          <w:shd w:fill="auto" w:val="clear"/>
          <w:lang w:val="ru-RU"/>
        </w:rPr>
        <w:t>3</w:t>
      </w:r>
      <w:r>
        <w:rPr>
          <w:color w:val="000000"/>
          <w:sz w:val="24"/>
          <w:szCs w:val="24"/>
          <w:shd w:fill="auto" w:val="clear"/>
        </w:rPr>
        <w:t xml:space="preserve">. Требования к </w:t>
      </w:r>
      <w:r>
        <w:rPr>
          <w:color w:val="000000"/>
          <w:sz w:val="24"/>
          <w:szCs w:val="24"/>
          <w:shd w:fill="auto" w:val="clear"/>
          <w:lang w:val="ru-RU"/>
        </w:rPr>
        <w:t>продукции</w:t>
      </w:r>
      <w:bookmarkEnd w:id="29"/>
      <w:bookmarkEnd w:id="32"/>
      <w:r>
        <w:rPr>
          <w:color w:val="000000"/>
          <w:sz w:val="24"/>
          <w:szCs w:val="24"/>
          <w:shd w:fill="auto" w:val="clear"/>
        </w:rPr>
        <w:t xml:space="preserve"> </w:t>
      </w:r>
    </w:p>
    <w:p>
      <w:pPr>
        <w:pStyle w:val="Normal"/>
        <w:rPr>
          <w:color w:val="000000"/>
          <w:highlight w:val="none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rFonts w:eastAsia="Calibri"/>
          <w:b/>
          <w:bCs/>
          <w:iCs/>
          <w:color w:val="000000"/>
          <w:sz w:val="24"/>
          <w:szCs w:val="24"/>
          <w:shd w:fill="auto" w:val="clear"/>
          <w:lang w:eastAsia="x-none"/>
        </w:rPr>
        <w:t xml:space="preserve">Наименование продукции: Трансформатор силовой ТМГ-100/10 УХЛ1 </w:t>
      </w:r>
    </w:p>
    <w:tbl>
      <w:tblPr>
        <w:tblStyle w:val="affff8"/>
        <w:tblW w:w="15275" w:type="dxa"/>
        <w:jc w:val="left"/>
        <w:tblInd w:w="83" w:type="dxa"/>
        <w:tblLayout w:type="fixed"/>
        <w:tblCellMar>
          <w:top w:w="0" w:type="dxa"/>
          <w:left w:w="8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90"/>
        <w:gridCol w:w="2340"/>
        <w:gridCol w:w="8"/>
        <w:gridCol w:w="3116"/>
        <w:gridCol w:w="3774"/>
        <w:gridCol w:w="2617"/>
        <w:gridCol w:w="2729"/>
      </w:tblGrid>
      <w:tr>
        <w:trPr/>
        <w:tc>
          <w:tcPr>
            <w:tcW w:w="690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п/п</w:t>
            </w:r>
          </w:p>
        </w:tc>
        <w:tc>
          <w:tcPr>
            <w:tcW w:w="2340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124" w:type="dxa"/>
            <w:gridSpan w:val="2"/>
            <w:vMerge w:val="restart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Требование заказчика</w:t>
            </w:r>
          </w:p>
        </w:tc>
        <w:tc>
          <w:tcPr>
            <w:tcW w:w="6391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729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90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340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3124" w:type="dxa"/>
            <w:gridSpan w:val="2"/>
            <w:vMerge w:val="continue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377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61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729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69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1</w:t>
            </w:r>
          </w:p>
        </w:tc>
        <w:tc>
          <w:tcPr>
            <w:tcW w:w="234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2</w:t>
            </w:r>
          </w:p>
        </w:tc>
        <w:tc>
          <w:tcPr>
            <w:tcW w:w="3124" w:type="dxa"/>
            <w:gridSpan w:val="2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3</w:t>
            </w:r>
          </w:p>
        </w:tc>
        <w:tc>
          <w:tcPr>
            <w:tcW w:w="377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4</w:t>
            </w:r>
          </w:p>
        </w:tc>
        <w:tc>
          <w:tcPr>
            <w:tcW w:w="261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5</w:t>
            </w:r>
          </w:p>
        </w:tc>
        <w:tc>
          <w:tcPr>
            <w:tcW w:w="272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690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5464" w:type="dxa"/>
            <w:gridSpan w:val="3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377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-//-</w:t>
            </w:r>
          </w:p>
        </w:tc>
        <w:tc>
          <w:tcPr>
            <w:tcW w:w="261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-//-</w:t>
            </w:r>
          </w:p>
        </w:tc>
        <w:tc>
          <w:tcPr>
            <w:tcW w:w="2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690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340" w:type="dxa"/>
            <w:tcBorders/>
            <w:shd w:color="auto" w:fill="auto" w:val="clear"/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spacing w:before="120" w:after="60"/>
              <w:ind w:hanging="0" w:left="0" w:right="142"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shd w:fill="auto" w:val="clear"/>
              </w:rPr>
              <w:t>Тип</w:t>
            </w:r>
          </w:p>
        </w:tc>
        <w:tc>
          <w:tcPr>
            <w:tcW w:w="3124" w:type="dxa"/>
            <w:gridSpan w:val="2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4"/>
                <w:szCs w:val="24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A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ТМГ</w:t>
            </w:r>
          </w:p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4"/>
                <w:szCs w:val="24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A"/>
                <w:kern w:val="0"/>
                <w:sz w:val="24"/>
                <w:szCs w:val="24"/>
                <w:shd w:fill="auto" w:val="clear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4"/>
                <w:szCs w:val="24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A"/>
                <w:kern w:val="0"/>
                <w:sz w:val="24"/>
                <w:szCs w:val="24"/>
                <w:shd w:fill="auto" w:val="clear"/>
                <w:lang w:val="ru-RU" w:eastAsia="ru-RU" w:bidi="ar-SA"/>
              </w:rPr>
            </w:r>
          </w:p>
        </w:tc>
        <w:tc>
          <w:tcPr>
            <w:tcW w:w="377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17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Тех. предложение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Тех. условия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Руководство по эксплуатации</w:t>
            </w:r>
          </w:p>
        </w:tc>
        <w:tc>
          <w:tcPr>
            <w:tcW w:w="2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69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340" w:type="dxa"/>
            <w:tcBorders>
              <w:top w:val="nil"/>
            </w:tcBorders>
            <w:shd w:color="auto" w:fill="auto" w:val="clear"/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spacing w:before="120" w:after="60"/>
              <w:ind w:hanging="0" w:left="0" w:right="142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Число фаз</w:t>
            </w:r>
          </w:p>
        </w:tc>
        <w:tc>
          <w:tcPr>
            <w:tcW w:w="3124" w:type="dxa"/>
            <w:gridSpan w:val="2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4"/>
                <w:szCs w:val="24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A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3</w:t>
            </w:r>
          </w:p>
        </w:tc>
        <w:tc>
          <w:tcPr>
            <w:tcW w:w="377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17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Тех. предложение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Тех. условия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hd w:fill="auto" w:val="clear"/>
                <w:lang w:val="ru-RU" w:eastAsia="ru-RU" w:bidi="ar-SA"/>
              </w:rPr>
              <w:t>Руководство по эксплуатации</w:t>
            </w:r>
          </w:p>
        </w:tc>
        <w:tc>
          <w:tcPr>
            <w:tcW w:w="272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69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340" w:type="dxa"/>
            <w:tcBorders>
              <w:top w:val="nil"/>
            </w:tcBorders>
            <w:shd w:color="auto" w:fill="auto" w:val="clear"/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spacing w:before="120" w:after="60"/>
              <w:ind w:hanging="0" w:left="0" w:right="142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Система охлаждения</w:t>
            </w:r>
          </w:p>
        </w:tc>
        <w:tc>
          <w:tcPr>
            <w:tcW w:w="3124" w:type="dxa"/>
            <w:gridSpan w:val="2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4"/>
                <w:szCs w:val="24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A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 естественной циркуляцией воздуха и масла</w:t>
            </w:r>
          </w:p>
        </w:tc>
        <w:tc>
          <w:tcPr>
            <w:tcW w:w="377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17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Тех. предложение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Тех. условия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hd w:fill="auto" w:val="clear"/>
                <w:lang w:val="ru-RU" w:eastAsia="ru-RU" w:bidi="ar-SA"/>
              </w:rPr>
              <w:t>Руководство по эксплуатации</w:t>
            </w:r>
          </w:p>
        </w:tc>
        <w:tc>
          <w:tcPr>
            <w:tcW w:w="272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69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340" w:type="dxa"/>
            <w:tcBorders>
              <w:top w:val="nil"/>
            </w:tcBorders>
            <w:shd w:color="auto" w:fill="auto" w:val="clear"/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spacing w:before="120" w:after="60"/>
              <w:ind w:hanging="0" w:left="0" w:right="142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Исполнение</w:t>
            </w:r>
          </w:p>
        </w:tc>
        <w:tc>
          <w:tcPr>
            <w:tcW w:w="3124" w:type="dxa"/>
            <w:gridSpan w:val="2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4"/>
                <w:szCs w:val="24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A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Герметичное</w:t>
            </w:r>
          </w:p>
        </w:tc>
        <w:tc>
          <w:tcPr>
            <w:tcW w:w="377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17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Тех. предложение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Тех. условия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hd w:fill="auto" w:val="clear"/>
                <w:lang w:val="ru-RU" w:eastAsia="ru-RU" w:bidi="ar-SA"/>
              </w:rPr>
              <w:t>Руководство по эксплуатации</w:t>
            </w:r>
          </w:p>
        </w:tc>
        <w:tc>
          <w:tcPr>
            <w:tcW w:w="272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69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340" w:type="dxa"/>
            <w:tcBorders>
              <w:top w:val="nil"/>
            </w:tcBorders>
            <w:shd w:color="auto" w:fill="auto" w:val="clear"/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spacing w:before="120" w:after="60"/>
              <w:ind w:hanging="0" w:left="0" w:right="142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Мощность, кВА</w:t>
            </w:r>
          </w:p>
        </w:tc>
        <w:tc>
          <w:tcPr>
            <w:tcW w:w="3124" w:type="dxa"/>
            <w:gridSpan w:val="2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4"/>
                <w:szCs w:val="24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A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100</w:t>
            </w:r>
          </w:p>
        </w:tc>
        <w:tc>
          <w:tcPr>
            <w:tcW w:w="377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17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Тех. предложение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Тех. условия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Руководство по эксплуатации</w:t>
            </w:r>
          </w:p>
        </w:tc>
        <w:tc>
          <w:tcPr>
            <w:tcW w:w="272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69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340" w:type="dxa"/>
            <w:tcBorders>
              <w:top w:val="nil"/>
            </w:tcBorders>
            <w:shd w:color="auto" w:fill="auto" w:val="clear"/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spacing w:before="120" w:after="60"/>
              <w:ind w:hanging="0" w:left="0" w:right="142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color w:val="00000A"/>
                <w:sz w:val="24"/>
                <w:szCs w:val="24"/>
                <w:shd w:fill="auto" w:val="clear"/>
              </w:rPr>
              <w:t>Напряжение ВН, кВ</w:t>
            </w:r>
          </w:p>
        </w:tc>
        <w:tc>
          <w:tcPr>
            <w:tcW w:w="3124" w:type="dxa"/>
            <w:gridSpan w:val="2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4"/>
                <w:szCs w:val="24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A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10</w:t>
            </w:r>
          </w:p>
        </w:tc>
        <w:tc>
          <w:tcPr>
            <w:tcW w:w="377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17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Тех. предложение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Тех. условия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Руководство по эксплуатации</w:t>
            </w:r>
          </w:p>
        </w:tc>
        <w:tc>
          <w:tcPr>
            <w:tcW w:w="272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69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340" w:type="dxa"/>
            <w:tcBorders>
              <w:top w:val="nil"/>
            </w:tcBorders>
            <w:shd w:color="auto" w:fill="auto" w:val="clear"/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spacing w:before="120" w:after="60"/>
              <w:ind w:hanging="0" w:left="0" w:right="142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color w:val="00000A"/>
                <w:sz w:val="24"/>
                <w:szCs w:val="24"/>
                <w:shd w:fill="auto" w:val="clear"/>
              </w:rPr>
              <w:t>Напряжение НН, кВ</w:t>
            </w:r>
          </w:p>
        </w:tc>
        <w:tc>
          <w:tcPr>
            <w:tcW w:w="3124" w:type="dxa"/>
            <w:gridSpan w:val="2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4"/>
                <w:szCs w:val="24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A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0,4</w:t>
            </w:r>
          </w:p>
        </w:tc>
        <w:tc>
          <w:tcPr>
            <w:tcW w:w="377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17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Тех. предложение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Тех. условия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Руководство по эксплуатации</w:t>
            </w:r>
          </w:p>
        </w:tc>
        <w:tc>
          <w:tcPr>
            <w:tcW w:w="272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69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340" w:type="dxa"/>
            <w:tcBorders>
              <w:top w:val="nil"/>
            </w:tcBorders>
            <w:shd w:color="auto" w:fill="auto" w:val="clear"/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spacing w:before="120" w:after="60"/>
              <w:ind w:hanging="0" w:left="0" w:right="142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color w:val="00000A"/>
                <w:sz w:val="24"/>
                <w:szCs w:val="24"/>
                <w:shd w:fill="auto" w:val="clear"/>
              </w:rPr>
              <w:t>Схема и группа соединения обмоток</w:t>
            </w:r>
          </w:p>
        </w:tc>
        <w:tc>
          <w:tcPr>
            <w:tcW w:w="3124" w:type="dxa"/>
            <w:gridSpan w:val="2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auto" w:val="clear"/>
              </w:rPr>
              <w:t>У/Ун-0</w:t>
            </w:r>
          </w:p>
        </w:tc>
        <w:tc>
          <w:tcPr>
            <w:tcW w:w="377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17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Тех. предложение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Тех. условия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Руководство по эксплуатации</w:t>
            </w:r>
          </w:p>
        </w:tc>
        <w:tc>
          <w:tcPr>
            <w:tcW w:w="272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69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34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auto" w:val="clear"/>
              </w:rPr>
              <w:t>Номинальная частота, Гц</w:t>
            </w:r>
          </w:p>
        </w:tc>
        <w:tc>
          <w:tcPr>
            <w:tcW w:w="3124" w:type="dxa"/>
            <w:gridSpan w:val="2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auto" w:val="clear"/>
              </w:rPr>
              <w:t>50</w:t>
            </w:r>
          </w:p>
        </w:tc>
        <w:tc>
          <w:tcPr>
            <w:tcW w:w="377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2617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Тех. предложение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Тех. условия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Руководство по эксплуатации</w:t>
            </w:r>
          </w:p>
        </w:tc>
        <w:tc>
          <w:tcPr>
            <w:tcW w:w="272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69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34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auto" w:val="clear"/>
              </w:rPr>
              <w:t>Тип регулирования напряжения и глубина регулирования в %</w:t>
            </w:r>
          </w:p>
        </w:tc>
        <w:tc>
          <w:tcPr>
            <w:tcW w:w="3124" w:type="dxa"/>
            <w:gridSpan w:val="2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auto" w:val="clear"/>
                <w:lang w:val="en-US"/>
              </w:rPr>
              <w:t>ПБВ +-2х2,5%</w:t>
            </w:r>
          </w:p>
        </w:tc>
        <w:tc>
          <w:tcPr>
            <w:tcW w:w="377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2617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Тех. предложение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Тех. условия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Руководство по эксплуатации</w:t>
            </w:r>
          </w:p>
        </w:tc>
        <w:tc>
          <w:tcPr>
            <w:tcW w:w="272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69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34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auto" w:val="clear"/>
              </w:rPr>
              <w:t>Климатическое исполнение и категория размещения по ГОСТ 15150-69</w:t>
            </w:r>
          </w:p>
        </w:tc>
        <w:tc>
          <w:tcPr>
            <w:tcW w:w="3124" w:type="dxa"/>
            <w:gridSpan w:val="2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auto" w:val="clear"/>
              </w:rPr>
              <w:t>УХЛ1</w:t>
            </w:r>
          </w:p>
        </w:tc>
        <w:tc>
          <w:tcPr>
            <w:tcW w:w="377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2617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Тех. предложение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Тех. условия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Руководство по эксплуатации</w:t>
            </w:r>
          </w:p>
        </w:tc>
        <w:tc>
          <w:tcPr>
            <w:tcW w:w="272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69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34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auto" w:val="clear"/>
              </w:rPr>
              <w:t>Класс энергоэффективности</w:t>
            </w:r>
          </w:p>
        </w:tc>
        <w:tc>
          <w:tcPr>
            <w:tcW w:w="3124" w:type="dxa"/>
            <w:gridSpan w:val="2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Header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менее «В»</w:t>
            </w:r>
          </w:p>
          <w:p>
            <w:pPr>
              <w:pStyle w:val="Header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  <w:p>
            <w:pPr>
              <w:pStyle w:val="Header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  <w:p>
            <w:pPr>
              <w:pStyle w:val="Header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  <w:p>
            <w:pPr>
              <w:pStyle w:val="Header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Header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Header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77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2617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Тех. предложение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Тех. условия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Руководство по эксплуатации</w:t>
            </w:r>
          </w:p>
        </w:tc>
        <w:tc>
          <w:tcPr>
            <w:tcW w:w="272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69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34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обмоток НН-ВН</w:t>
            </w:r>
          </w:p>
        </w:tc>
        <w:tc>
          <w:tcPr>
            <w:tcW w:w="3124" w:type="dxa"/>
            <w:gridSpan w:val="2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Header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Медь-медь</w:t>
            </w:r>
          </w:p>
        </w:tc>
        <w:tc>
          <w:tcPr>
            <w:tcW w:w="377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2617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Тех. предложение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Тех. условия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Руководство по эксплуатации</w:t>
            </w:r>
          </w:p>
        </w:tc>
        <w:tc>
          <w:tcPr>
            <w:tcW w:w="272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69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340" w:type="dxa"/>
            <w:tcBorders>
              <w:top w:val="nil"/>
            </w:tcBorders>
            <w:shd w:color="auto" w:fill="auto" w:val="clear"/>
          </w:tcPr>
          <w:p>
            <w:pPr>
              <w:pStyle w:val="Header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Потери холостого хода, Вт</w:t>
            </w:r>
          </w:p>
        </w:tc>
        <w:tc>
          <w:tcPr>
            <w:tcW w:w="3124" w:type="dxa"/>
            <w:gridSpan w:val="2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320</w:t>
            </w:r>
          </w:p>
        </w:tc>
        <w:tc>
          <w:tcPr>
            <w:tcW w:w="377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2617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Тех. предложение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Тех. условия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Руководство по эксплуатации</w:t>
            </w:r>
          </w:p>
        </w:tc>
        <w:tc>
          <w:tcPr>
            <w:tcW w:w="272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69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340" w:type="dxa"/>
            <w:tcBorders>
              <w:top w:val="nil"/>
            </w:tcBorders>
            <w:shd w:color="auto" w:fill="auto" w:val="clear"/>
          </w:tcPr>
          <w:p>
            <w:pPr>
              <w:pStyle w:val="Header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Ток холостого хода, %</w:t>
            </w:r>
          </w:p>
        </w:tc>
        <w:tc>
          <w:tcPr>
            <w:tcW w:w="3124" w:type="dxa"/>
            <w:gridSpan w:val="2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4</w:t>
            </w:r>
          </w:p>
        </w:tc>
        <w:tc>
          <w:tcPr>
            <w:tcW w:w="377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2617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Тех. предложение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Тех. условия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Руководство по эксплуатации</w:t>
            </w:r>
          </w:p>
        </w:tc>
        <w:tc>
          <w:tcPr>
            <w:tcW w:w="272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69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340" w:type="dxa"/>
            <w:tcBorders>
              <w:top w:val="nil"/>
            </w:tcBorders>
            <w:shd w:color="auto" w:fill="auto" w:val="clear"/>
          </w:tcPr>
          <w:p>
            <w:pPr>
              <w:pStyle w:val="Header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Потери короткого замыкания, Вт</w:t>
            </w:r>
          </w:p>
        </w:tc>
        <w:tc>
          <w:tcPr>
            <w:tcW w:w="3124" w:type="dxa"/>
            <w:gridSpan w:val="2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2400</w:t>
            </w:r>
          </w:p>
        </w:tc>
        <w:tc>
          <w:tcPr>
            <w:tcW w:w="377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2617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Тех. предложение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Тех. условия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Руководство по эксплуатации</w:t>
            </w:r>
          </w:p>
        </w:tc>
        <w:tc>
          <w:tcPr>
            <w:tcW w:w="272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69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340" w:type="dxa"/>
            <w:tcBorders>
              <w:top w:val="nil"/>
            </w:tcBorders>
            <w:shd w:color="auto" w:fill="auto" w:val="clear"/>
          </w:tcPr>
          <w:p>
            <w:pPr>
              <w:pStyle w:val="Header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Напряжение короткого замыкания, %</w:t>
            </w:r>
          </w:p>
        </w:tc>
        <w:tc>
          <w:tcPr>
            <w:tcW w:w="3124" w:type="dxa"/>
            <w:gridSpan w:val="2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5</w:t>
            </w:r>
          </w:p>
        </w:tc>
        <w:tc>
          <w:tcPr>
            <w:tcW w:w="377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2617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Тех. предложение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Тех. условия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Руководство по эксплуатации</w:t>
            </w:r>
          </w:p>
        </w:tc>
        <w:tc>
          <w:tcPr>
            <w:tcW w:w="272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69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340" w:type="dxa"/>
            <w:tcBorders>
              <w:top w:val="nil"/>
            </w:tcBorders>
            <w:shd w:color="auto" w:fill="auto" w:val="clear"/>
          </w:tcPr>
          <w:p>
            <w:pPr>
              <w:pStyle w:val="Header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 установки над уровнем моря, не более, м</w:t>
            </w:r>
          </w:p>
        </w:tc>
        <w:tc>
          <w:tcPr>
            <w:tcW w:w="3124" w:type="dxa"/>
            <w:gridSpan w:val="2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1000</w:t>
            </w:r>
          </w:p>
        </w:tc>
        <w:tc>
          <w:tcPr>
            <w:tcW w:w="377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2617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Тех. предложение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Тех. условия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Руководство по эксплуатации</w:t>
            </w:r>
          </w:p>
        </w:tc>
        <w:tc>
          <w:tcPr>
            <w:tcW w:w="272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69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340" w:type="dxa"/>
            <w:tcBorders>
              <w:top w:val="nil"/>
            </w:tcBorders>
            <w:shd w:color="auto" w:fill="auto" w:val="clear"/>
          </w:tcPr>
          <w:p>
            <w:pPr>
              <w:pStyle w:val="Header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Интенсивность землетрясения по ГОСТ 17516.1-90, баллы по MSK-644</w:t>
            </w:r>
          </w:p>
        </w:tc>
        <w:tc>
          <w:tcPr>
            <w:tcW w:w="3124" w:type="dxa"/>
            <w:gridSpan w:val="2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6</w:t>
            </w:r>
          </w:p>
        </w:tc>
        <w:tc>
          <w:tcPr>
            <w:tcW w:w="377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2617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Тех. предложение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Тех. условия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Руководство по эксплуатации</w:t>
            </w:r>
          </w:p>
        </w:tc>
        <w:tc>
          <w:tcPr>
            <w:tcW w:w="272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69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340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Габаритные размеры (длина х ширина х высота), мм</w:t>
            </w:r>
          </w:p>
        </w:tc>
        <w:tc>
          <w:tcPr>
            <w:tcW w:w="3124" w:type="dxa"/>
            <w:gridSpan w:val="2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более 1200х1000х1200</w:t>
            </w:r>
          </w:p>
        </w:tc>
        <w:tc>
          <w:tcPr>
            <w:tcW w:w="377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2617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Тех. предложение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Тех. условия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Руководство по эксплуатации</w:t>
            </w:r>
          </w:p>
        </w:tc>
        <w:tc>
          <w:tcPr>
            <w:tcW w:w="272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69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34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auto" w:val="clear"/>
              </w:rPr>
              <w:t>Тип индикатора уровня жидкого диэлектрика</w:t>
            </w:r>
          </w:p>
        </w:tc>
        <w:tc>
          <w:tcPr>
            <w:tcW w:w="3124" w:type="dxa"/>
            <w:gridSpan w:val="2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auto" w:val="clear"/>
              </w:rPr>
              <w:t>Поплавковый (сухие контакты не требуются)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  <w:tc>
          <w:tcPr>
            <w:tcW w:w="377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2617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Тех. предложение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Тех. условия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Руководство по эксплуатации</w:t>
            </w:r>
          </w:p>
        </w:tc>
        <w:tc>
          <w:tcPr>
            <w:tcW w:w="272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69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34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индикатора температуры</w:t>
            </w:r>
          </w:p>
        </w:tc>
        <w:tc>
          <w:tcPr>
            <w:tcW w:w="3124" w:type="dxa"/>
            <w:gridSpan w:val="2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Термометр манометрический (сухие контакты не требуются)</w:t>
            </w:r>
          </w:p>
        </w:tc>
        <w:tc>
          <w:tcPr>
            <w:tcW w:w="377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2617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Тех. предложение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Тех. условия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Руководство по эксплуатации</w:t>
            </w:r>
          </w:p>
        </w:tc>
        <w:tc>
          <w:tcPr>
            <w:tcW w:w="272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69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34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газового реле</w:t>
            </w:r>
          </w:p>
        </w:tc>
        <w:tc>
          <w:tcPr>
            <w:tcW w:w="3124" w:type="dxa"/>
            <w:gridSpan w:val="2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требуется</w:t>
            </w:r>
          </w:p>
        </w:tc>
        <w:tc>
          <w:tcPr>
            <w:tcW w:w="377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2617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Тех. предложение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Тех. условия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Руководство по эксплуатации</w:t>
            </w:r>
          </w:p>
        </w:tc>
        <w:tc>
          <w:tcPr>
            <w:tcW w:w="272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69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34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катков</w:t>
            </w:r>
          </w:p>
        </w:tc>
        <w:tc>
          <w:tcPr>
            <w:tcW w:w="3124" w:type="dxa"/>
            <w:gridSpan w:val="2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требуется</w:t>
            </w:r>
          </w:p>
        </w:tc>
        <w:tc>
          <w:tcPr>
            <w:tcW w:w="377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2617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Тех. предложение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Тех. условия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Руководство по эксплуатации</w:t>
            </w:r>
          </w:p>
        </w:tc>
        <w:tc>
          <w:tcPr>
            <w:tcW w:w="272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69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34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мановакуумметра</w:t>
            </w:r>
          </w:p>
        </w:tc>
        <w:tc>
          <w:tcPr>
            <w:tcW w:w="3124" w:type="dxa"/>
            <w:gridSpan w:val="2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требуется</w:t>
            </w:r>
          </w:p>
        </w:tc>
        <w:tc>
          <w:tcPr>
            <w:tcW w:w="377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2617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Тех. предложение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Тех. условия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Руководство по эксплуатации</w:t>
            </w:r>
          </w:p>
        </w:tc>
        <w:tc>
          <w:tcPr>
            <w:tcW w:w="272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69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34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Зажим аппаратный штырьевой ВН</w:t>
            </w:r>
          </w:p>
        </w:tc>
        <w:tc>
          <w:tcPr>
            <w:tcW w:w="3124" w:type="dxa"/>
            <w:gridSpan w:val="2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требуется</w:t>
            </w:r>
          </w:p>
        </w:tc>
        <w:tc>
          <w:tcPr>
            <w:tcW w:w="377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2617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Тех. предложение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Тех. условия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Руководство по эксплуатации</w:t>
            </w:r>
          </w:p>
        </w:tc>
        <w:tc>
          <w:tcPr>
            <w:tcW w:w="272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69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34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Зажим аппаратный штырьевой НН</w:t>
            </w:r>
          </w:p>
        </w:tc>
        <w:tc>
          <w:tcPr>
            <w:tcW w:w="3124" w:type="dxa"/>
            <w:gridSpan w:val="2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требуется</w:t>
            </w:r>
          </w:p>
        </w:tc>
        <w:tc>
          <w:tcPr>
            <w:tcW w:w="377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2617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Тех. предложение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Тех. условия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Руководство по эксплуатации</w:t>
            </w:r>
          </w:p>
        </w:tc>
        <w:tc>
          <w:tcPr>
            <w:tcW w:w="272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69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5464" w:type="dxa"/>
            <w:gridSpan w:val="3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377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-//-</w:t>
            </w:r>
          </w:p>
        </w:tc>
        <w:tc>
          <w:tcPr>
            <w:tcW w:w="261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-//-</w:t>
            </w:r>
          </w:p>
        </w:tc>
        <w:tc>
          <w:tcPr>
            <w:tcW w:w="272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690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34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Требования к продукции</w:t>
            </w:r>
          </w:p>
        </w:tc>
        <w:tc>
          <w:tcPr>
            <w:tcW w:w="3124" w:type="dxa"/>
            <w:gridSpan w:val="2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новая*, ранее не используемая.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* - Под новым следует понимать оборудование, которое не было в употреблении, не приходило ремонт, в том числе восстановление, замену составных частей, восстановление потребительских свойств.</w:t>
            </w:r>
          </w:p>
        </w:tc>
        <w:tc>
          <w:tcPr>
            <w:tcW w:w="377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17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69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34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Год выпуска продукции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24" w:type="dxa"/>
            <w:gridSpan w:val="2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ранее 2026 г.</w:t>
            </w:r>
          </w:p>
        </w:tc>
        <w:tc>
          <w:tcPr>
            <w:tcW w:w="377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617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Тех. предложение</w:t>
            </w:r>
          </w:p>
        </w:tc>
        <w:tc>
          <w:tcPr>
            <w:tcW w:w="272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690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5464" w:type="dxa"/>
            <w:gridSpan w:val="3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377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-//-</w:t>
            </w:r>
          </w:p>
        </w:tc>
        <w:tc>
          <w:tcPr>
            <w:tcW w:w="261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-//-</w:t>
            </w:r>
          </w:p>
        </w:tc>
        <w:tc>
          <w:tcPr>
            <w:tcW w:w="2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69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34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Погрузка, доставка, разгрузка и перемещение Товара</w:t>
            </w:r>
          </w:p>
        </w:tc>
        <w:tc>
          <w:tcPr>
            <w:tcW w:w="3124" w:type="dxa"/>
            <w:gridSpan w:val="2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Продукция должна быть доставлена поставщиком по адресу: Российская Федерация, 445350, Самарская область, город Жигулевск, Московское шоссе, дом 2. Разгрузка осуществляется за счёт покупателя. Погрузка на территории Поставщика/ Производителя, транспорт и доставка до склада Заказчика выполняются за счёт средств Поставщика. Разгрузка на территории Заказчика за счет средств Заказчика. Приемка продукции в рабочие дни с 08.00 до 15.00 по местному времени. Информация о транспорте (марка, гос.номер), на котором осуществляется доставка, а также ФИО и номер водительского удостоверения водителя и сопровождающих лиц (при наличии) для оформления допуска на территорию предоставляется не позднее предыдущего рабочего дня до прибытия транспорта, до 15.00.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Возможность вертикальной разгрузки транспорта обязательна. Попутный груз при въезде на территорию Филиала запрещен.</w:t>
            </w:r>
          </w:p>
        </w:tc>
        <w:tc>
          <w:tcPr>
            <w:tcW w:w="377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17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Тех. предложение</w:t>
            </w:r>
          </w:p>
        </w:tc>
        <w:tc>
          <w:tcPr>
            <w:tcW w:w="272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690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5464" w:type="dxa"/>
            <w:gridSpan w:val="3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377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-//-</w:t>
            </w:r>
          </w:p>
        </w:tc>
        <w:tc>
          <w:tcPr>
            <w:tcW w:w="261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-//-</w:t>
            </w:r>
          </w:p>
        </w:tc>
        <w:tc>
          <w:tcPr>
            <w:tcW w:w="2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690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340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auto" w:val="clear"/>
              </w:rPr>
              <w:t>Срок гарантии изготовителя, с момента ввода в эксплуатацию, не менее, лет</w:t>
            </w:r>
          </w:p>
        </w:tc>
        <w:tc>
          <w:tcPr>
            <w:tcW w:w="3124" w:type="dxa"/>
            <w:gridSpan w:val="2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auto" w:val="clear"/>
              </w:rPr>
              <w:t>5</w:t>
            </w:r>
          </w:p>
        </w:tc>
        <w:tc>
          <w:tcPr>
            <w:tcW w:w="377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617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Тех. предложение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Технические условия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Руководство по эксплуатации</w:t>
            </w:r>
          </w:p>
        </w:tc>
        <w:tc>
          <w:tcPr>
            <w:tcW w:w="2729" w:type="dxa"/>
            <w:tcBorders/>
            <w:shd w:color="auto" w:fill="auto" w:val="clea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ascii="Times New Roman" w:hAnsi="Times New Roman" w:eastAsia="Times New Roman" w:cs="Times New Roman"/>
                <w:b w:val="false"/>
                <w:color w:val="000000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</w:r>
          </w:p>
        </w:tc>
      </w:tr>
      <w:tr>
        <w:trPr/>
        <w:tc>
          <w:tcPr>
            <w:tcW w:w="69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34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сервисных центров на территории РФ</w:t>
            </w:r>
          </w:p>
        </w:tc>
        <w:tc>
          <w:tcPr>
            <w:tcW w:w="3124" w:type="dxa"/>
            <w:gridSpan w:val="2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377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17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Тех. предложение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Руководство по эксплуатации</w:t>
            </w:r>
          </w:p>
        </w:tc>
        <w:tc>
          <w:tcPr>
            <w:tcW w:w="2729" w:type="dxa"/>
            <w:tcBorders>
              <w:top w:val="nil"/>
            </w:tcBorders>
            <w:shd w:color="auto" w:fill="auto" w:val="clea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ascii="Times New Roman" w:hAnsi="Times New Roman" w:eastAsia="Times New Roman" w:cs="Times New Roman"/>
                <w:b w:val="false"/>
                <w:color w:val="000000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</w:r>
          </w:p>
        </w:tc>
      </w:tr>
      <w:tr>
        <w:trPr/>
        <w:tc>
          <w:tcPr>
            <w:tcW w:w="69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34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Гарантии распространяются на все поставляемое оборудование.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течение гарантийного срока должна быть обеспечена безвозмездная замена или ремонт вышедшего из строя оборудования, включая его доставку туда и обратно. Доставка неисправного оборудования в сервисный центр для проведения ремонта и возвращение исправного, после ремонта, оборудования Поставщик осуществляет за свой счет.</w:t>
            </w:r>
          </w:p>
        </w:tc>
        <w:tc>
          <w:tcPr>
            <w:tcW w:w="3124" w:type="dxa"/>
            <w:gridSpan w:val="2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377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17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Тех. предложение</w:t>
            </w:r>
          </w:p>
        </w:tc>
        <w:tc>
          <w:tcPr>
            <w:tcW w:w="2729" w:type="dxa"/>
            <w:tcBorders>
              <w:top w:val="nil"/>
            </w:tcBorders>
            <w:shd w:color="auto" w:fill="auto" w:val="clea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ascii="Times New Roman" w:hAnsi="Times New Roman" w:eastAsia="Times New Roman" w:cs="Times New Roman"/>
                <w:b w:val="false"/>
                <w:color w:val="000000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</w:r>
          </w:p>
        </w:tc>
      </w:tr>
      <w:tr>
        <w:trPr/>
        <w:tc>
          <w:tcPr>
            <w:tcW w:w="690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5464" w:type="dxa"/>
            <w:gridSpan w:val="3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377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-//-</w:t>
            </w:r>
          </w:p>
        </w:tc>
        <w:tc>
          <w:tcPr>
            <w:tcW w:w="261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-//-</w:t>
            </w:r>
          </w:p>
        </w:tc>
        <w:tc>
          <w:tcPr>
            <w:tcW w:w="2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69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34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1.Эксплуатационная документация, экз.: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руководство по эксплуатации;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паспорт.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2.Сертификат качества.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3.Товарная накладная унифицированной формы ТОРГ 12.</w:t>
            </w:r>
          </w:p>
        </w:tc>
        <w:tc>
          <w:tcPr>
            <w:tcW w:w="3124" w:type="dxa"/>
            <w:gridSpan w:val="2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377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1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  <w:tc>
          <w:tcPr>
            <w:tcW w:w="272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690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5464" w:type="dxa"/>
            <w:gridSpan w:val="3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377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-//-</w:t>
            </w:r>
          </w:p>
        </w:tc>
        <w:tc>
          <w:tcPr>
            <w:tcW w:w="261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-//-</w:t>
            </w:r>
          </w:p>
        </w:tc>
        <w:tc>
          <w:tcPr>
            <w:tcW w:w="2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69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0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6.1.</w:t>
            </w:r>
          </w:p>
        </w:tc>
        <w:tc>
          <w:tcPr>
            <w:tcW w:w="2348" w:type="dxa"/>
            <w:gridSpan w:val="2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Во всем неоговоренном трансформатор должен соответствовать требованиям </w:t>
            </w:r>
            <w:r>
              <w:rPr>
                <w:rFonts w:eastAsia="Times New Roman" w:cs="Times New Roman"/>
                <w:b w:val="false"/>
                <w:iCs/>
                <w:color w:val="00000A"/>
                <w:kern w:val="0"/>
                <w:sz w:val="22"/>
                <w:szCs w:val="22"/>
                <w:lang w:val="ru-RU" w:eastAsia="ru-RU" w:bidi="ar-SA"/>
              </w:rPr>
              <w:t>ГОСТ Р 52719-2007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, ПУЭ</w:t>
            </w:r>
          </w:p>
        </w:tc>
        <w:tc>
          <w:tcPr>
            <w:tcW w:w="3116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377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1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2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690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5464" w:type="dxa"/>
            <w:gridSpan w:val="3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Требования к экономическим параметрам</w:t>
            </w:r>
          </w:p>
        </w:tc>
        <w:tc>
          <w:tcPr>
            <w:tcW w:w="377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-//-</w:t>
            </w:r>
          </w:p>
        </w:tc>
        <w:tc>
          <w:tcPr>
            <w:tcW w:w="261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-//-</w:t>
            </w:r>
          </w:p>
        </w:tc>
        <w:tc>
          <w:tcPr>
            <w:tcW w:w="2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69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0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7.1.</w:t>
            </w:r>
          </w:p>
        </w:tc>
        <w:tc>
          <w:tcPr>
            <w:tcW w:w="2348" w:type="dxa"/>
            <w:gridSpan w:val="2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службы, не менее, лет</w:t>
            </w:r>
          </w:p>
        </w:tc>
        <w:tc>
          <w:tcPr>
            <w:tcW w:w="3116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30</w:t>
            </w:r>
          </w:p>
        </w:tc>
        <w:tc>
          <w:tcPr>
            <w:tcW w:w="377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617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Тех. предложение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hanging="229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Руководство по эксплуатации</w:t>
            </w:r>
          </w:p>
        </w:tc>
        <w:tc>
          <w:tcPr>
            <w:tcW w:w="272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ind w:hanging="0" w:left="357"/>
        <w:jc w:val="center"/>
        <w:rPr>
          <w:color w:val="000000"/>
          <w:highlight w:val="none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numPr>
          <w:ilvl w:val="0"/>
          <w:numId w:val="0"/>
        </w:numPr>
        <w:ind w:hanging="0" w:left="57"/>
        <w:jc w:val="both"/>
        <w:rPr>
          <w:color w:val="000000"/>
          <w:highlight w:val="none"/>
          <w:shd w:fill="auto" w:val="clear"/>
          <w:lang w:val="en-US"/>
        </w:rPr>
      </w:pPr>
      <w:r>
        <w:rPr>
          <w:rFonts w:eastAsia="Calibri" w:cs="Times New Roman"/>
          <w:b/>
          <w:color w:val="00000A"/>
          <w:kern w:val="0"/>
          <w:sz w:val="24"/>
          <w:szCs w:val="24"/>
          <w:lang w:val="x-none" w:eastAsia="x-none" w:bidi="ar-SA"/>
        </w:rPr>
        <w:t xml:space="preserve">  </w:t>
      </w:r>
      <w:r>
        <w:rPr>
          <w:rFonts w:eastAsia="Calibri" w:cs="Times New Roman"/>
          <w:b/>
          <w:color w:val="00000A"/>
          <w:kern w:val="0"/>
          <w:sz w:val="24"/>
          <w:szCs w:val="24"/>
          <w:lang w:val="x-none" w:eastAsia="x-none" w:bidi="ar-SA"/>
        </w:rPr>
        <w:t>Примечания:</w:t>
      </w:r>
    </w:p>
    <w:p>
      <w:pPr>
        <w:pStyle w:val="Normal"/>
        <w:numPr>
          <w:ilvl w:val="0"/>
          <w:numId w:val="0"/>
        </w:numPr>
        <w:ind w:hanging="0" w:left="57"/>
        <w:jc w:val="both"/>
        <w:rPr>
          <w:b w:val="false"/>
          <w:bCs w:val="false"/>
        </w:rPr>
      </w:pPr>
      <w:r>
        <w:rPr>
          <w:rFonts w:eastAsia="Calibri" w:cs="Times New Roman"/>
          <w:b w:val="false"/>
          <w:bCs w:val="false"/>
          <w:color w:val="00000A"/>
          <w:kern w:val="0"/>
          <w:sz w:val="24"/>
          <w:szCs w:val="24"/>
          <w:lang w:val="x-none" w:eastAsia="x-none" w:bidi="ar-SA"/>
        </w:rPr>
        <w:t xml:space="preserve"> </w:t>
      </w:r>
      <w:r>
        <w:rPr>
          <w:rFonts w:eastAsia="Calibri" w:cs="Times New Roman"/>
          <w:b w:val="false"/>
          <w:bCs w:val="false"/>
          <w:color w:val="00000A"/>
          <w:kern w:val="0"/>
          <w:sz w:val="24"/>
          <w:szCs w:val="24"/>
          <w:lang w:val="x-none" w:eastAsia="x-none" w:bidi="ar-SA"/>
        </w:rPr>
        <w:t>1) В случае если какой-либо из указанных в настоящих ТТ ГОСТ или нормативный документ был отменен в связи с выпуском новой редакции стандарта, то Участнику необходимо применять актуализированный ГОСТ или нормативный документ, принятый в его развитие.</w:t>
      </w:r>
    </w:p>
    <w:p>
      <w:pPr>
        <w:pStyle w:val="Normal"/>
        <w:numPr>
          <w:ilvl w:val="0"/>
          <w:numId w:val="0"/>
        </w:numPr>
        <w:ind w:hanging="0" w:left="57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Heading1"/>
        <w:numPr>
          <w:ilvl w:val="0"/>
          <w:numId w:val="0"/>
        </w:numPr>
        <w:ind w:hanging="0" w:left="426"/>
        <w:rPr/>
      </w:pPr>
      <w:r>
        <w:rPr/>
        <w:t xml:space="preserve">3. </w:t>
      </w:r>
      <w:bookmarkStart w:id="33" w:name="_Toc191395492"/>
      <w:bookmarkStart w:id="34" w:name="_Toc53393312"/>
      <w:r>
        <w:rPr/>
        <w:t>Требования к документации по ценообразованию</w:t>
      </w:r>
      <w:bookmarkEnd w:id="34"/>
      <w:r>
        <w:rPr/>
        <w:t xml:space="preserve"> на этапе закупки</w:t>
      </w:r>
      <w:bookmarkEnd w:id="33"/>
    </w:p>
    <w:p>
      <w:pPr>
        <w:pStyle w:val="Normal"/>
        <w:widowControl w:val="false"/>
        <w:numPr>
          <w:ilvl w:val="3"/>
        </w:numPr>
        <w:tabs>
          <w:tab w:val="clear" w:pos="327"/>
          <w:tab w:val="left" w:pos="426" w:leader="none"/>
        </w:tabs>
        <w:spacing w:before="60" w:after="0"/>
        <w:jc w:val="both"/>
        <w:rPr/>
      </w:pPr>
      <w:r>
        <w:rPr>
          <w:rStyle w:val="Style8"/>
          <w:rFonts w:eastAsia="Calibri"/>
          <w:b w:val="false"/>
          <w:bCs/>
          <w:i w:val="false"/>
          <w:iCs/>
          <w:color w:val="000000"/>
          <w:sz w:val="24"/>
          <w:szCs w:val="24"/>
          <w:shd w:fill="auto" w:val="clear"/>
          <w:lang w:val="x-none" w:eastAsia="x-none"/>
        </w:rPr>
        <w:t>3.1 В обоснование стоимости своей заявки Участник предоставляет Коммерческое предложение.</w:t>
      </w:r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60" w:after="0"/>
        <w:jc w:val="both"/>
        <w:rPr/>
      </w:pPr>
      <w:r>
        <w:rPr>
          <w:rStyle w:val="Style8"/>
          <w:rFonts w:eastAsia="Calibri"/>
          <w:b w:val="false"/>
          <w:bCs/>
          <w:i w:val="false"/>
          <w:iCs/>
          <w:color w:val="000000"/>
          <w:sz w:val="24"/>
          <w:szCs w:val="24"/>
          <w:shd w:fill="auto" w:val="clear"/>
          <w:lang w:val="x-none" w:eastAsia="x-none"/>
        </w:rPr>
        <w:t>3.2 Дополнительные документы по ценообразованию в состав заявки не включаются.</w:t>
      </w:r>
    </w:p>
    <w:p>
      <w:pPr>
        <w:pStyle w:val="Normal"/>
        <w:numPr>
          <w:ilvl w:val="3"/>
        </w:numPr>
        <w:spacing w:before="0" w:after="120"/>
        <w:jc w:val="both"/>
        <w:rPr>
          <w:rFonts w:eastAsia="Calibri"/>
          <w:i/>
          <w:i/>
          <w:iCs/>
          <w:color w:val="000000"/>
          <w:sz w:val="24"/>
          <w:szCs w:val="24"/>
          <w:highlight w:val="none"/>
          <w:shd w:fill="auto" w:val="clear"/>
          <w:lang w:val="x-none" w:eastAsia="x-none"/>
        </w:rPr>
      </w:pPr>
      <w:r>
        <w:rPr>
          <w:rFonts w:eastAsia="Calibri"/>
          <w:i/>
          <w:iCs/>
          <w:color w:val="000000"/>
          <w:sz w:val="24"/>
          <w:szCs w:val="24"/>
          <w:shd w:fill="auto" w:val="clear"/>
          <w:lang w:val="x-none" w:eastAsia="x-none"/>
        </w:rPr>
      </w:r>
    </w:p>
    <w:p>
      <w:pPr>
        <w:pStyle w:val="Heading1"/>
        <w:keepLines/>
        <w:numPr>
          <w:ilvl w:val="3"/>
        </w:numPr>
        <w:tabs>
          <w:tab w:val="clear" w:pos="0"/>
        </w:tabs>
        <w:spacing w:before="120" w:after="60"/>
        <w:ind w:hanging="425" w:left="1134"/>
        <w:rPr>
          <w:b w:val="false"/>
          <w:iCs/>
          <w:color w:val="000000"/>
          <w:sz w:val="24"/>
          <w:szCs w:val="24"/>
          <w:highlight w:val="none"/>
          <w:shd w:fill="auto" w:val="clear"/>
          <w:lang w:val="ru-RU"/>
        </w:rPr>
      </w:pPr>
      <w:r>
        <w:rPr>
          <w:b w:val="false"/>
          <w:iCs/>
          <w:color w:val="000000"/>
          <w:sz w:val="24"/>
          <w:szCs w:val="24"/>
          <w:shd w:fill="auto" w:val="clear"/>
          <w:lang w:val="ru-RU"/>
        </w:rPr>
      </w:r>
    </w:p>
    <w:sectPr>
      <w:headerReference w:type="default" r:id="rId6"/>
      <w:headerReference w:type="first" r:id="rId7"/>
      <w:type w:val="nextPage"/>
      <w:pgSz w:w="11906" w:h="16838"/>
      <w:pgMar w:left="1134" w:right="992" w:gutter="0" w:header="680" w:top="851" w:footer="0" w:bottom="1134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Symbol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13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effect w:val="none"/>
        <w:szCs w:val="24"/>
        <w:iCs w:val="false"/>
        <w:bCs w:val="false"/>
        <w:em w:val="none"/>
        <w:vanish w:val="false"/>
        <w:rFonts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revisionView w:insDel="0" w:formatting="0"/>
  <w:defaultTabStop w:val="327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link w:val="11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qFormat/>
    <w:rsid w:val="00ea61a8"/>
    <w:pPr>
      <w:tabs>
        <w:tab w:val="clear" w:pos="0"/>
      </w:tabs>
      <w:ind w:hanging="0" w:left="0"/>
      <w:outlineLvl w:val="1"/>
    </w:pPr>
    <w:rPr/>
  </w:style>
  <w:style w:type="paragraph" w:styleId="Heading3">
    <w:name w:val="Heading 3"/>
    <w:basedOn w:val="Normal"/>
    <w:link w:val="31"/>
    <w:autoRedefine/>
    <w:qFormat/>
    <w:rsid w:val="00035e96"/>
    <w:pPr>
      <w:keepNext w:val="true"/>
      <w:tabs>
        <w:tab w:val="clear" w:pos="327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1" w:customStyle="1">
    <w:name w:val="Гиперссылка1"/>
    <w:basedOn w:val="DefaultParagraphFont"/>
    <w:uiPriority w:val="99"/>
    <w:unhideWhenUsed/>
    <w:qFormat/>
    <w:rsid w:val="007450ef"/>
    <w:rPr>
      <w:color w:val="0563C1" w:themeColor="hyperlink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uiPriority w:val="99"/>
    <w:qFormat/>
    <w:rsid w:val="00d22f6d"/>
    <w:rPr>
      <w:rFonts w:eastAsia="Calibri"/>
      <w:sz w:val="24"/>
      <w:szCs w:val="24"/>
    </w:rPr>
  </w:style>
  <w:style w:type="character" w:styleId="111" w:customStyle="1">
    <w:name w:val="Заголовок 1 Знак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i/>
      <w:shd w:fill="FFFF99" w:val="clear"/>
    </w:rPr>
  </w:style>
  <w:style w:type="character" w:styleId="Style9" w:customStyle="1">
    <w:name w:val="Подподпункт Знак"/>
    <w:qFormat/>
    <w:locked/>
    <w:rsid w:val="0025139e"/>
    <w:rPr>
      <w:sz w:val="26"/>
      <w:szCs w:val="26"/>
    </w:rPr>
  </w:style>
  <w:style w:type="character" w:styleId="31" w:customStyle="1">
    <w:name w:val="Заголовок 3 Знак1"/>
    <w:qFormat/>
    <w:rsid w:val="00b56f46"/>
    <w:rPr>
      <w:rFonts w:eastAsia="Calibri"/>
      <w:b/>
      <w:color w:val="00000A"/>
      <w:sz w:val="24"/>
      <w:szCs w:val="24"/>
      <w:lang w:val="x-none" w:eastAsia="x-none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5"/>
    <w:qFormat/>
    <w:rsid w:val="00de52bc"/>
    <w:rPr>
      <w:b/>
      <w:sz w:val="28"/>
    </w:rPr>
  </w:style>
  <w:style w:type="character" w:styleId="12" w:customStyle="1">
    <w:name w:val="УРОВЕНЬ_1. Знак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главление 3 Знак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Символы концевой сноски"/>
    <w:qFormat/>
    <w:rPr/>
  </w:style>
  <w:style w:type="character" w:styleId="WW8Num25z0" w:customStyle="1">
    <w:name w:val="WW8Num25z0"/>
    <w:qFormat/>
    <w:rPr>
      <w:b/>
    </w:rPr>
  </w:style>
  <w:style w:type="character" w:styleId="WW8Num46z0" w:customStyle="1">
    <w:name w:val="WW8Num46z0"/>
    <w:qFormat/>
    <w:rPr/>
  </w:style>
  <w:style w:type="character" w:styleId="WW8Num35z0" w:customStyle="1">
    <w:name w:val="WW8Num35z0"/>
    <w:qFormat/>
    <w:rPr>
      <w:rFonts w:ascii="Symbol" w:hAnsi="Symbol" w:cs="Symbol"/>
    </w:rPr>
  </w:style>
  <w:style w:type="character" w:styleId="WW8Num35z1" w:customStyle="1">
    <w:name w:val="WW8Num35z1"/>
    <w:qFormat/>
    <w:rPr>
      <w:rFonts w:ascii="Courier New" w:hAnsi="Courier New" w:cs="Courier New"/>
    </w:rPr>
  </w:style>
  <w:style w:type="character" w:styleId="WW8Num35z2" w:customStyle="1">
    <w:name w:val="WW8Num35z2"/>
    <w:qFormat/>
    <w:rPr>
      <w:rFonts w:ascii="Wingdings" w:hAnsi="Wingdings" w:cs="Wingdings"/>
    </w:rPr>
  </w:style>
  <w:style w:type="character" w:styleId="WW8Num68z0" w:customStyle="1">
    <w:name w:val="WW8Num68z0"/>
    <w:qFormat/>
    <w:rPr>
      <w:rFonts w:ascii="Symbol" w:hAnsi="Symbol" w:cs="Symbol"/>
    </w:rPr>
  </w:style>
  <w:style w:type="character" w:styleId="WW8Num68z1" w:customStyle="1">
    <w:name w:val="WW8Num68z1"/>
    <w:qFormat/>
    <w:rPr>
      <w:rFonts w:ascii="Courier New" w:hAnsi="Courier New" w:cs="Courier New"/>
    </w:rPr>
  </w:style>
  <w:style w:type="character" w:styleId="WW8Num68z2" w:customStyle="1">
    <w:name w:val="WW8Num68z2"/>
    <w:qFormat/>
    <w:rPr>
      <w:rFonts w:ascii="Wingdings" w:hAnsi="Wingdings" w:cs="Wingdings"/>
    </w:rPr>
  </w:style>
  <w:style w:type="character" w:styleId="WW8Num55z0" w:customStyle="1">
    <w:name w:val="WW8Num55z0"/>
    <w:qFormat/>
    <w:rPr>
      <w:rFonts w:ascii="Symbol" w:hAnsi="Symbol" w:cs="Symbol"/>
    </w:rPr>
  </w:style>
  <w:style w:type="character" w:styleId="WW8Num55z1" w:customStyle="1">
    <w:name w:val="WW8Num55z1"/>
    <w:qFormat/>
    <w:rPr>
      <w:rFonts w:ascii="Courier New" w:hAnsi="Courier New" w:cs="Courier New"/>
    </w:rPr>
  </w:style>
  <w:style w:type="character" w:styleId="WW8Num55z2" w:customStyle="1">
    <w:name w:val="WW8Num55z2"/>
    <w:qFormat/>
    <w:rPr>
      <w:rFonts w:ascii="Wingdings" w:hAnsi="Wingdings" w:cs="Wingdings"/>
    </w:rPr>
  </w:style>
  <w:style w:type="character" w:styleId="WW8Num56z0" w:customStyle="1">
    <w:name w:val="WW8Num56z0"/>
    <w:qFormat/>
    <w:rPr>
      <w:color w:val="000000"/>
    </w:rPr>
  </w:style>
  <w:style w:type="character" w:styleId="WW8Num56z1" w:customStyle="1">
    <w:name w:val="WW8Num56z1"/>
    <w:qFormat/>
    <w:rPr>
      <w:rFonts w:ascii="Symbol" w:hAnsi="Symbol" w:eastAsia="Times New Roman" w:cs="Times New Roman"/>
    </w:rPr>
  </w:style>
  <w:style w:type="character" w:styleId="WW8Num62z0" w:customStyle="1">
    <w:name w:val="WW8Num62z0"/>
    <w:qFormat/>
    <w:rPr/>
  </w:style>
  <w:style w:type="character" w:styleId="WW8Num62z1" w:customStyle="1">
    <w:name w:val="WW8Num62z1"/>
    <w:qFormat/>
    <w:rPr>
      <w:rFonts w:ascii="Symbol" w:hAnsi="Symbol" w:cs="Symbol"/>
    </w:rPr>
  </w:style>
  <w:style w:type="character" w:styleId="WW8Num53z0" w:customStyle="1">
    <w:name w:val="WW8Num53z0"/>
    <w:qFormat/>
    <w:rPr>
      <w:rFonts w:ascii="Symbol" w:hAnsi="Symbol" w:cs="Symbol"/>
    </w:rPr>
  </w:style>
  <w:style w:type="character" w:styleId="WW8Num53z1" w:customStyle="1">
    <w:name w:val="WW8Num53z1"/>
    <w:qFormat/>
    <w:rPr>
      <w:rFonts w:ascii="Courier New" w:hAnsi="Courier New" w:cs="Courier New"/>
    </w:rPr>
  </w:style>
  <w:style w:type="character" w:styleId="WW8Num53z2" w:customStyle="1">
    <w:name w:val="WW8Num53z2"/>
    <w:qFormat/>
    <w:rPr>
      <w:rFonts w:ascii="Wingdings" w:hAnsi="Wingdings" w:cs="Wingdings"/>
    </w:rPr>
  </w:style>
  <w:style w:type="character" w:styleId="WW8Num39z0" w:customStyle="1">
    <w:name w:val="WW8Num39z0"/>
    <w:qFormat/>
    <w:rPr>
      <w:rFonts w:ascii="Symbol" w:hAnsi="Symbol" w:cs="Symbol"/>
    </w:rPr>
  </w:style>
  <w:style w:type="character" w:styleId="WW8Num39z1" w:customStyle="1">
    <w:name w:val="WW8Num39z1"/>
    <w:qFormat/>
    <w:rPr>
      <w:rFonts w:ascii="Courier New" w:hAnsi="Courier New" w:cs="Courier New"/>
    </w:rPr>
  </w:style>
  <w:style w:type="character" w:styleId="WW8Num39z2" w:customStyle="1">
    <w:name w:val="WW8Num39z2"/>
    <w:qFormat/>
    <w:rPr>
      <w:rFonts w:ascii="Wingdings" w:hAnsi="Wingdings" w:cs="Wingdings"/>
    </w:rPr>
  </w:style>
  <w:style w:type="character" w:styleId="WW8Num66z0" w:customStyle="1">
    <w:name w:val="WW8Num66z0"/>
    <w:qFormat/>
    <w:rPr/>
  </w:style>
  <w:style w:type="character" w:styleId="WW8Num66z1" w:customStyle="1">
    <w:name w:val="WW8Num66z1"/>
    <w:qFormat/>
    <w:rPr>
      <w:rFonts w:ascii="Symbol" w:hAnsi="Symbol" w:cs="Symbol"/>
    </w:rPr>
  </w:style>
  <w:style w:type="character" w:styleId="WW8Num41z0" w:customStyle="1">
    <w:name w:val="WW8Num41z0"/>
    <w:qFormat/>
    <w:rPr>
      <w:rFonts w:ascii="Wingdings" w:hAnsi="Wingdings" w:cs="Wingdings"/>
    </w:rPr>
  </w:style>
  <w:style w:type="character" w:styleId="WW8Num41z1" w:customStyle="1">
    <w:name w:val="WW8Num41z1"/>
    <w:qFormat/>
    <w:rPr>
      <w:rFonts w:ascii="Courier New" w:hAnsi="Courier New" w:cs="Courier New"/>
    </w:rPr>
  </w:style>
  <w:style w:type="character" w:styleId="WW8Num41z3" w:customStyle="1">
    <w:name w:val="WW8Num41z3"/>
    <w:qFormat/>
    <w:rPr>
      <w:rFonts w:ascii="Symbol" w:hAnsi="Symbol" w:cs="Symbol"/>
    </w:rPr>
  </w:style>
  <w:style w:type="character" w:styleId="Style16" w:customStyle="1">
    <w:name w:val="Маркеры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character" w:styleId="LineNumber">
    <w:name w:val="Line Number"/>
    <w:rPr/>
  </w:style>
  <w:style w:type="character" w:styleId="WW8Num45z0">
    <w:name w:val="WW8Num45z0"/>
    <w:qFormat/>
    <w:rPr>
      <w:rFonts w:ascii="Symbol" w:hAnsi="Symbol" w:cs="Symbol"/>
    </w:rPr>
  </w:style>
  <w:style w:type="character" w:styleId="WW8Num45z1">
    <w:name w:val="WW8Num45z1"/>
    <w:qFormat/>
    <w:rPr>
      <w:rFonts w:ascii="Courier New" w:hAnsi="Courier New" w:cs="Courier New"/>
    </w:rPr>
  </w:style>
  <w:style w:type="character" w:styleId="WW8Num45z2">
    <w:name w:val="WW8Num45z2"/>
    <w:qFormat/>
    <w:rPr>
      <w:rFonts w:ascii="Wingdings" w:hAnsi="Wingdings" w:cs="Wingdings"/>
    </w:rPr>
  </w:style>
  <w:style w:type="character" w:styleId="WW8Num58z0">
    <w:name w:val="WW8Num58z0"/>
    <w:qFormat/>
    <w:rPr>
      <w:rFonts w:ascii="Symbol" w:hAnsi="Symbol" w:cs="Symbol"/>
    </w:rPr>
  </w:style>
  <w:style w:type="character" w:styleId="WW8Num58z1">
    <w:name w:val="WW8Num58z1"/>
    <w:qFormat/>
    <w:rPr>
      <w:rFonts w:ascii="Courier New" w:hAnsi="Courier New" w:cs="Courier New"/>
    </w:rPr>
  </w:style>
  <w:style w:type="character" w:styleId="WW8Num58z2">
    <w:name w:val="WW8Num58z2"/>
    <w:qFormat/>
    <w:rPr>
      <w:rFonts w:ascii="Wingdings" w:hAnsi="Wingdings" w:cs="Wingdings"/>
    </w:rPr>
  </w:style>
  <w:style w:type="character" w:styleId="WW8Num33z0">
    <w:name w:val="WW8Num33z0"/>
    <w:qFormat/>
    <w:rPr>
      <w:rFonts w:ascii="Symbol" w:hAnsi="Symbol" w:cs="Symbol"/>
    </w:rPr>
  </w:style>
  <w:style w:type="character" w:styleId="WW8Num33z1">
    <w:name w:val="WW8Num33z1"/>
    <w:qFormat/>
    <w:rPr>
      <w:rFonts w:ascii="Courier New" w:hAnsi="Courier New" w:cs="Courier New"/>
    </w:rPr>
  </w:style>
  <w:style w:type="character" w:styleId="WW8Num33z2">
    <w:name w:val="WW8Num33z2"/>
    <w:qFormat/>
    <w:rPr>
      <w:rFonts w:ascii="Wingdings" w:hAnsi="Wingdings" w:cs="Wingdings"/>
    </w:rPr>
  </w:style>
  <w:style w:type="character" w:styleId="WW8Num60z0">
    <w:name w:val="WW8Num60z0"/>
    <w:qFormat/>
    <w:rPr>
      <w:rFonts w:ascii="Symbol" w:hAnsi="Symbol" w:cs="Symbol"/>
    </w:rPr>
  </w:style>
  <w:style w:type="character" w:styleId="WW8Num60z1">
    <w:name w:val="WW8Num60z1"/>
    <w:qFormat/>
    <w:rPr>
      <w:rFonts w:ascii="Courier New" w:hAnsi="Courier New" w:cs="Courier New"/>
    </w:rPr>
  </w:style>
  <w:style w:type="character" w:styleId="WW8Num60z2">
    <w:name w:val="WW8Num60z2"/>
    <w:qFormat/>
    <w:rPr>
      <w:rFonts w:ascii="Wingdings" w:hAnsi="Wingdings" w:cs="Wingdings"/>
    </w:rPr>
  </w:style>
  <w:style w:type="character" w:styleId="WW8Num36z0">
    <w:name w:val="WW8Num36z0"/>
    <w:qFormat/>
    <w:rPr>
      <w:rFonts w:ascii="Symbol" w:hAnsi="Symbol" w:cs="Symbol"/>
    </w:rPr>
  </w:style>
  <w:style w:type="character" w:styleId="WW8Num36z1">
    <w:name w:val="WW8Num36z1"/>
    <w:qFormat/>
    <w:rPr>
      <w:rFonts w:ascii="Courier New" w:hAnsi="Courier New" w:cs="Courier New"/>
    </w:rPr>
  </w:style>
  <w:style w:type="character" w:styleId="WW8Num36z2">
    <w:name w:val="WW8Num36z2"/>
    <w:qFormat/>
    <w:rPr>
      <w:rFonts w:ascii="Wingdings" w:hAnsi="Wingdings" w:cs="Wingdings"/>
    </w:rPr>
  </w:style>
  <w:style w:type="character" w:styleId="WW8Num67z0">
    <w:name w:val="WW8Num67z0"/>
    <w:qFormat/>
    <w:rPr>
      <w:rFonts w:ascii="Symbol" w:hAnsi="Symbol" w:cs="Symbol"/>
    </w:rPr>
  </w:style>
  <w:style w:type="character" w:styleId="WW8Num67z1">
    <w:name w:val="WW8Num67z1"/>
    <w:qFormat/>
    <w:rPr>
      <w:rFonts w:ascii="Courier New" w:hAnsi="Courier New" w:cs="Courier New"/>
    </w:rPr>
  </w:style>
  <w:style w:type="character" w:styleId="WW8Num67z2">
    <w:name w:val="WW8Num67z2"/>
    <w:qFormat/>
    <w:rPr>
      <w:rFonts w:ascii="Wingdings" w:hAnsi="Wingdings" w:cs="Wingdings"/>
    </w:rPr>
  </w:style>
  <w:style w:type="character" w:styleId="WW8Num54z0">
    <w:name w:val="WW8Num54z0"/>
    <w:qFormat/>
    <w:rPr/>
  </w:style>
  <w:style w:type="character" w:styleId="WW8Num54z1">
    <w:name w:val="WW8Num54z1"/>
    <w:qFormat/>
    <w:rPr>
      <w:rFonts w:ascii="Wingdings" w:hAnsi="Wingdings" w:cs="Wingdings"/>
    </w:rPr>
  </w:style>
  <w:style w:type="character" w:styleId="Strong">
    <w:name w:val="Strong"/>
    <w:qFormat/>
    <w:rPr>
      <w:b/>
      <w:bCs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" w:customStyle="1">
    <w:name w:val="index heading11"/>
    <w:basedOn w:val="Title"/>
    <w:qFormat/>
    <w:pPr/>
    <w:rPr/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spacing w:before="80" w:after="80"/>
      <w:jc w:val="both"/>
    </w:pPr>
    <w:rPr/>
  </w:style>
  <w:style w:type="paragraph" w:styleId="FootnoteText">
    <w:name w:val="Footnote Text"/>
    <w:basedOn w:val="Normal"/>
    <w:pPr/>
    <w:rPr/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A"/>
      </w:pBdr>
      <w:spacing w:before="0" w:after="240"/>
      <w:jc w:val="center"/>
    </w:pPr>
    <w:rPr>
      <w:sz w:val="22"/>
      <w:szCs w:val="22"/>
    </w:rPr>
  </w:style>
  <w:style w:type="paragraph" w:styleId="211" w:customStyle="1">
    <w:name w:val="Заголовок 2 Знак1"/>
    <w:basedOn w:val="Normal"/>
    <w:qFormat/>
    <w:rsid w:val="00d561d9"/>
    <w:pPr>
      <w:pBdr>
        <w:bottom w:val="thickThinSmallGap" w:sz="24" w:space="1" w:color="00000A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A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rsid w:val="0076353a"/>
    <w:pPr>
      <w:tabs>
        <w:tab w:val="clear" w:pos="327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327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qFormat/>
    <w:rsid w:val="0076353a"/>
    <w:pPr>
      <w:tabs>
        <w:tab w:val="clear" w:pos="327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3" w:customStyle="1">
    <w:name w:val="Пункт2"/>
    <w:basedOn w:val="Normal"/>
    <w:qFormat/>
    <w:rsid w:val="0076353a"/>
    <w:pPr>
      <w:keepNext w:val="true"/>
      <w:tabs>
        <w:tab w:val="clear" w:pos="327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link w:val="32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4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uiPriority w:val="39"/>
    <w:qFormat/>
    <w:rsid w:val="00d22f6d"/>
    <w:pPr>
      <w:keepLines/>
      <w:tabs>
        <w:tab w:val="clear" w:pos="0"/>
      </w:tabs>
      <w:spacing w:before="480" w:after="60"/>
      <w:ind w:hanging="0" w:left="0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Основной текст с отступом 3 Знак"/>
    <w:basedOn w:val="Normal"/>
    <w:qFormat/>
    <w:rsid w:val="00d22f6d"/>
    <w:p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25" w:customStyle="1">
    <w:name w:val="Нумерованный список ур2"/>
    <w:basedOn w:val="Normal"/>
    <w:link w:val="22"/>
    <w:qFormat/>
    <w:rsid w:val="00d22f6d"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A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00000A"/>
      <w:kern w:val="0"/>
      <w:sz w:val="28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327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1" w:customStyle="1">
    <w:name w:val="Подподпункт"/>
    <w:basedOn w:val="Style23"/>
    <w:qFormat/>
    <w:rsid w:val="0025139e"/>
    <w:pPr>
      <w:tabs>
        <w:tab w:val="left" w:pos="1134" w:leader="none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spacing w:lineRule="exact" w:line="360" w:before="120" w:after="0"/>
      <w:contextualSpacing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spacing w:lineRule="exact" w:line="360" w:before="120" w:after="0"/>
      <w:contextualSpacing/>
      <w:jc w:val="both"/>
      <w:outlineLvl w:val="4"/>
    </w:pPr>
    <w:rPr>
      <w:sz w:val="26"/>
      <w:szCs w:val="28"/>
      <w:lang w:eastAsia="en-US"/>
    </w:rPr>
  </w:style>
  <w:style w:type="paragraph" w:styleId="26" w:customStyle="1">
    <w:name w:val="УРОВЕНЬ_Абзац_тип2"/>
    <w:basedOn w:val="ListParagraph"/>
    <w:qFormat/>
    <w:rsid w:val="00b56f46"/>
    <w:p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qFormat/>
    <w:rsid w:val="00b56f46"/>
    <w:p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spacing w:lineRule="exact" w:line="360" w:before="120" w:after="120"/>
      <w:contextualSpacing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sz w:val="40"/>
      <w:szCs w:val="20"/>
      <w:lang w:val="ru-RU" w:eastAsia="ru-RU"/>
    </w:rPr>
  </w:style>
  <w:style w:type="paragraph" w:styleId="EndnoteText">
    <w:name w:val="Endnote Text"/>
    <w:basedOn w:val="Normal"/>
    <w:qFormat/>
    <w:rsid w:val="003879d4"/>
    <w:pPr/>
    <w:rPr>
      <w:sz w:val="20"/>
      <w:szCs w:val="20"/>
    </w:rPr>
  </w:style>
  <w:style w:type="paragraph" w:styleId="27" w:customStyle="1">
    <w:name w:val="Заголовок 2 КВВ"/>
    <w:basedOn w:val="Normal"/>
    <w:qFormat/>
    <w:rsid w:val="00cb35e8"/>
    <w:pPr>
      <w:keepNext w:val="true"/>
      <w:spacing w:before="120" w:after="120"/>
      <w:jc w:val="both"/>
      <w:outlineLvl w:val="0"/>
    </w:pPr>
    <w:rPr>
      <w:b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19" w:customStyle="1">
    <w:name w:val="УРОВЕНЬ_1."/>
    <w:basedOn w:val="ListParagraph"/>
    <w:qFormat/>
    <w:rsid w:val="004a17ae"/>
    <w:pPr>
      <w:keepNext w:val="true"/>
      <w:keepLines/>
      <w:spacing w:lineRule="auto" w:line="276" w:before="240" w:after="120"/>
      <w:ind w:hanging="0" w:left="0"/>
      <w:contextualSpacing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5" w:customStyle="1">
    <w:name w:val="Содержимое таблицы"/>
    <w:basedOn w:val="Normal"/>
    <w:qFormat/>
    <w:pPr/>
    <w:rPr/>
  </w:style>
  <w:style w:type="paragraph" w:styleId="Style36" w:customStyle="1">
    <w:name w:val="Заголовок таблицы"/>
    <w:basedOn w:val="Style35"/>
    <w:qFormat/>
    <w:pPr/>
    <w:rPr/>
  </w:style>
  <w:style w:type="paragraph" w:styleId="Msonormalmrcssattr" w:customStyle="1">
    <w:name w:val="msonormalmrcssattr"/>
    <w:basedOn w:val="Normal"/>
    <w:qFormat/>
    <w:pPr>
      <w:spacing w:beforeAutospacing="1" w:afterAutospacing="1"/>
    </w:pPr>
    <w:rPr>
      <w:rFonts w:eastAsia="Calibri" w:eastAsiaTheme="minorHAnsi"/>
    </w:rPr>
  </w:style>
  <w:style w:type="paragraph" w:styleId="Style37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paragraph" w:styleId="TableParagraph">
    <w:name w:val="Table Paragraph"/>
    <w:basedOn w:val="Normal"/>
    <w:qFormat/>
    <w:pPr>
      <w:ind w:hanging="0" w:left="115"/>
    </w:pPr>
    <w:rPr/>
  </w:style>
  <w:style w:type="paragraph" w:styleId="Style38">
    <w:name w:val="НТ"/>
    <w:basedOn w:val="Normal"/>
    <w:qFormat/>
    <w:pPr/>
    <w:rPr>
      <w:b/>
      <w:sz w:val="24"/>
      <w:szCs w:val="24"/>
    </w:rPr>
  </w:style>
  <w:style w:type="paragraph" w:styleId="51">
    <w:name w:val="Н5"/>
    <w:basedOn w:val="Heading3"/>
    <w:qFormat/>
    <w:pPr>
      <w:numPr>
        <w:ilvl w:val="3"/>
      </w:numPr>
      <w:ind w:hanging="992" w:left="1418"/>
      <w:outlineLvl w:val="9"/>
    </w:pPr>
    <w:rPr>
      <w:b w:val="false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8" w:customStyle="1">
    <w:name w:val="Стиль2"/>
    <w:uiPriority w:val="99"/>
    <w:qFormat/>
    <w:rsid w:val="006629c9"/>
  </w:style>
  <w:style w:type="numbering" w:styleId="WW8Num25" w:customStyle="1">
    <w:name w:val="WW8Num25"/>
    <w:qFormat/>
  </w:style>
  <w:style w:type="numbering" w:styleId="WW8Num46" w:customStyle="1">
    <w:name w:val="WW8Num46"/>
    <w:qFormat/>
  </w:style>
  <w:style w:type="numbering" w:styleId="WW8Num35" w:customStyle="1">
    <w:name w:val="WW8Num35"/>
    <w:qFormat/>
  </w:style>
  <w:style w:type="numbering" w:styleId="WW8Num68" w:customStyle="1">
    <w:name w:val="WW8Num68"/>
    <w:qFormat/>
  </w:style>
  <w:style w:type="numbering" w:styleId="WW8Num55" w:customStyle="1">
    <w:name w:val="WW8Num55"/>
    <w:qFormat/>
  </w:style>
  <w:style w:type="numbering" w:styleId="WW8Num56" w:customStyle="1">
    <w:name w:val="WW8Num56"/>
    <w:qFormat/>
  </w:style>
  <w:style w:type="numbering" w:styleId="WW8Num62" w:customStyle="1">
    <w:name w:val="WW8Num62"/>
    <w:qFormat/>
  </w:style>
  <w:style w:type="numbering" w:styleId="WW8Num53" w:customStyle="1">
    <w:name w:val="WW8Num53"/>
    <w:qFormat/>
  </w:style>
  <w:style w:type="numbering" w:styleId="WW8Num39" w:customStyle="1">
    <w:name w:val="WW8Num39"/>
    <w:qFormat/>
  </w:style>
  <w:style w:type="numbering" w:styleId="WW8Num66" w:customStyle="1">
    <w:name w:val="WW8Num66"/>
    <w:qFormat/>
  </w:style>
  <w:style w:type="numbering" w:styleId="WW8Num41" w:customStyle="1">
    <w:name w:val="WW8Num41"/>
    <w:qFormat/>
  </w:style>
  <w:style w:type="numbering" w:styleId="WW8Num2" w:customStyle="1">
    <w:name w:val="WW8Num2"/>
    <w:qFormat/>
  </w:style>
  <w:style w:type="numbering" w:styleId="39766624161" w:customStyle="1">
    <w:name w:val="39766624161"/>
    <w:qFormat/>
  </w:style>
  <w:style w:type="numbering" w:styleId="WW8Num45">
    <w:name w:val="WW8Num45"/>
    <w:qFormat/>
  </w:style>
  <w:style w:type="numbering" w:styleId="WW8Num58">
    <w:name w:val="WW8Num58"/>
    <w:qFormat/>
  </w:style>
  <w:style w:type="numbering" w:styleId="WW8Num33">
    <w:name w:val="WW8Num33"/>
    <w:qFormat/>
  </w:style>
  <w:style w:type="numbering" w:styleId="WW8Num60">
    <w:name w:val="WW8Num60"/>
    <w:qFormat/>
  </w:style>
  <w:style w:type="numbering" w:styleId="WW8Num36">
    <w:name w:val="WW8Num36"/>
    <w:qFormat/>
  </w:style>
  <w:style w:type="numbering" w:styleId="WW8Num67">
    <w:name w:val="WW8Num67"/>
    <w:qFormat/>
  </w:style>
  <w:style w:type="numbering" w:styleId="WW8Num54">
    <w:name w:val="WW8Num54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8">
    <w:name w:val="Table Grid"/>
    <w:basedOn w:val="a1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1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23845-4124-4F1E-98E8-E9E4520D5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24431</TotalTime>
  <Application>AlterOffice/2026.2.0.0$Linux_X86_64 LibreOffice_project/bc4ef1adf80b36c7a6365f8ed6cbf29021361edd</Application>
  <AppVersion>15.0000</AppVersion>
  <Pages>14</Pages>
  <Words>1532</Words>
  <Characters>9870</Characters>
  <CharactersWithSpaces>10979</CharactersWithSpaces>
  <Paragraphs>384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2023-04-20T09:36:00Z</dcterms:created>
  <dc:creator>Быстров Олег Геннадьевич</dc:creator>
  <dc:description/>
  <dc:language>ru-RU</dc:language>
  <cp:lastModifiedBy>nikulshinrv@corp.gidroogk.com</cp:lastModifiedBy>
  <cp:lastPrinted>2024-10-09T13:11:00Z</cp:lastPrinted>
  <dcterms:modified xsi:type="dcterms:W3CDTF">2026-10-20T14:44:09Z</dcterms:modified>
  <cp:revision>226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