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ECD" w:rsidRDefault="00B97ED4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Техническое задание</w:t>
      </w:r>
    </w:p>
    <w:p w:rsidR="00B73ECD" w:rsidRDefault="00B97ED4">
      <w:pPr>
        <w:pStyle w:val="ConsPlusNormal"/>
        <w:spacing w:line="276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Cs w:val="24"/>
        </w:rPr>
        <w:t>выполнение  первого</w:t>
      </w:r>
      <w:proofErr w:type="gramEnd"/>
      <w:r>
        <w:rPr>
          <w:rFonts w:ascii="Times New Roman" w:hAnsi="Times New Roman" w:cs="Times New Roman"/>
          <w:szCs w:val="24"/>
        </w:rPr>
        <w:t xml:space="preserve"> этапа работ по созданию локальной системы оповещения населения комплекса гидротехнических сооружений инженерной защиты г. Абакана, комплекса гидротехнических сооружений инженерной защиты г. Абакана (район Нижняя </w:t>
      </w:r>
      <w:proofErr w:type="spellStart"/>
      <w:r>
        <w:rPr>
          <w:rFonts w:ascii="Times New Roman" w:hAnsi="Times New Roman" w:cs="Times New Roman"/>
          <w:szCs w:val="24"/>
        </w:rPr>
        <w:t>Согра</w:t>
      </w:r>
      <w:proofErr w:type="spellEnd"/>
      <w:r>
        <w:rPr>
          <w:rFonts w:ascii="Times New Roman" w:hAnsi="Times New Roman" w:cs="Times New Roman"/>
          <w:szCs w:val="24"/>
        </w:rPr>
        <w:t>),  комплекса ги</w:t>
      </w:r>
      <w:r>
        <w:rPr>
          <w:rFonts w:ascii="Times New Roman" w:hAnsi="Times New Roman" w:cs="Times New Roman"/>
          <w:szCs w:val="24"/>
        </w:rPr>
        <w:t xml:space="preserve">дротехнических сооружений инженерной защиты </w:t>
      </w:r>
      <w:proofErr w:type="spellStart"/>
      <w:r>
        <w:rPr>
          <w:rFonts w:ascii="Times New Roman" w:hAnsi="Times New Roman" w:cs="Times New Roman"/>
          <w:szCs w:val="24"/>
        </w:rPr>
        <w:t>рп</w:t>
      </w:r>
      <w:proofErr w:type="spellEnd"/>
      <w:r>
        <w:rPr>
          <w:rFonts w:ascii="Times New Roman" w:hAnsi="Times New Roman" w:cs="Times New Roman"/>
          <w:szCs w:val="24"/>
        </w:rPr>
        <w:t xml:space="preserve">. Усть-Абакан </w:t>
      </w:r>
    </w:p>
    <w:p w:rsidR="00B73ECD" w:rsidRDefault="00B73ECD">
      <w:pPr>
        <w:widowControl w:val="0"/>
        <w:jc w:val="center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1 Общие сведения</w:t>
      </w:r>
    </w:p>
    <w:p w:rsidR="00B73ECD" w:rsidRDefault="00B73ECD">
      <w:pPr>
        <w:widowControl w:val="0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1.1 Полное наименование системы и ее условное обозначение </w:t>
      </w:r>
    </w:p>
    <w:p w:rsidR="00B73ECD" w:rsidRDefault="00B97ED4">
      <w:pPr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Полное наименование системы: Локальная система оповещения населения комплекса гидротехнических сооружений инженерной </w:t>
      </w:r>
      <w:r>
        <w:rPr>
          <w:rFonts w:ascii="Times New Roman" w:hAnsi="Times New Roman" w:cs="Times New Roman"/>
          <w:shd w:val="clear" w:color="auto" w:fill="FFFFFF"/>
        </w:rPr>
        <w:t xml:space="preserve">защиты г. Абакана, комплекса гидротехнических сооружений инженерной защиты г. Абакана (район Нижняя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Согра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), комплекса гидротехнических сооружений инженерной защиты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Усть-Абакана. </w:t>
      </w: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Краткое наименование системы: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Усть-Абакана. </w:t>
      </w:r>
    </w:p>
    <w:p w:rsidR="00B73ECD" w:rsidRDefault="00B73ECD">
      <w:pPr>
        <w:widowControl w:val="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1.2 Основания проведения работ </w:t>
      </w: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Федеральные законы: </w:t>
      </w:r>
    </w:p>
    <w:p w:rsidR="00B73ECD" w:rsidRDefault="00B97ED4">
      <w:pPr>
        <w:widowControl w:val="0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21 декабря 1994 г. № 68-ФЗ «О защите населения и территорий от чрезвычайных ситуаций природного и техногенного характера»; </w:t>
      </w:r>
    </w:p>
    <w:p w:rsidR="00B73ECD" w:rsidRDefault="00B97ED4">
      <w:pPr>
        <w:widowControl w:val="0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12 февраля 1998 г. № 28-ФЗ «О гражданской обороне»; </w:t>
      </w:r>
    </w:p>
    <w:p w:rsidR="00B73ECD" w:rsidRDefault="00B97ED4">
      <w:pPr>
        <w:widowControl w:val="0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21 июля 1997 г. </w:t>
      </w:r>
      <w:r>
        <w:rPr>
          <w:rFonts w:ascii="Times New Roman" w:hAnsi="Times New Roman" w:cs="Times New Roman"/>
          <w:shd w:val="clear" w:color="auto" w:fill="FFFFFF"/>
        </w:rPr>
        <w:t xml:space="preserve">№ 116-ФЗ «О промышленной безопасности опасных производственных объектов»; </w:t>
      </w:r>
    </w:p>
    <w:p w:rsidR="00B73ECD" w:rsidRDefault="00B97ED4">
      <w:pPr>
        <w:widowControl w:val="0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7 июля 2003 г. № 126-ФЗ «О связи».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Указ Президента Российской Федерации: </w:t>
      </w:r>
    </w:p>
    <w:p w:rsidR="00B73ECD" w:rsidRDefault="00B97ED4">
      <w:pPr>
        <w:widowControl w:val="0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от 13.11.2012 г. № 1522 «О создании комплексной системы экстренного оповещения населения об угрозе воз</w:t>
      </w:r>
      <w:r>
        <w:rPr>
          <w:rFonts w:ascii="Times New Roman" w:hAnsi="Times New Roman" w:cs="Times New Roman"/>
          <w:shd w:val="clear" w:color="auto" w:fill="FFFFFF"/>
        </w:rPr>
        <w:t xml:space="preserve">никновения или о возникновении чрезвычайных ситуаций».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Постановления Правительства Российской Федерации: </w:t>
      </w:r>
    </w:p>
    <w:p w:rsidR="00B73ECD" w:rsidRDefault="00B97ED4">
      <w:pPr>
        <w:widowControl w:val="0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30 декабря 2003 г. № 794 «О единой государственной системе предупреждения и ликвидации чрезвычайных ситуаций»; </w:t>
      </w:r>
    </w:p>
    <w:p w:rsidR="00B73ECD" w:rsidRDefault="00B97ED4">
      <w:pPr>
        <w:widowControl w:val="0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26 ноября 2007 г. № 804 «Об утверждении положения о гражданской обороне в Российской Федерации»; </w:t>
      </w:r>
    </w:p>
    <w:p w:rsidR="00B73ECD" w:rsidRDefault="00B97ED4">
      <w:pPr>
        <w:widowControl w:val="0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18.04.2014 № 360 (ред. от 24.05.2024 г.) «О зонах затопления, подтопления»; </w:t>
      </w:r>
    </w:p>
    <w:p w:rsidR="00B73ECD" w:rsidRDefault="00B97ED4">
      <w:pPr>
        <w:widowControl w:val="0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17 мая 2023 г. № 769 «О порядке создания, реконструкции и поддержания в </w:t>
      </w:r>
      <w:r>
        <w:rPr>
          <w:rFonts w:ascii="Times New Roman" w:hAnsi="Times New Roman" w:cs="Times New Roman"/>
          <w:shd w:val="clear" w:color="auto" w:fill="FFFFFF"/>
        </w:rPr>
        <w:t xml:space="preserve">состоянии постоянной готовности к использованию систем оповещения населения». </w:t>
      </w:r>
    </w:p>
    <w:p w:rsidR="00B73ECD" w:rsidRDefault="00B73ECD">
      <w:pPr>
        <w:widowControl w:val="0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Приказы МЧС России,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Минцифры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России: </w:t>
      </w:r>
    </w:p>
    <w:p w:rsidR="00B73ECD" w:rsidRDefault="00B97ED4">
      <w:pPr>
        <w:widowControl w:val="0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от 31 июля 2020 г. № 587/365 «Об утверждении Положения о системах оповещения населения» (зарегистрирован в Минюсте России, регистрационный</w:t>
      </w:r>
      <w:r>
        <w:rPr>
          <w:rFonts w:ascii="Times New Roman" w:hAnsi="Times New Roman" w:cs="Times New Roman"/>
          <w:shd w:val="clear" w:color="auto" w:fill="FFFFFF"/>
        </w:rPr>
        <w:t xml:space="preserve"> номер 60567 от 26 октября 2020 г.); </w:t>
      </w:r>
    </w:p>
    <w:p w:rsidR="00B73ECD" w:rsidRDefault="00B97ED4">
      <w:pPr>
        <w:widowControl w:val="0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от 31 июля 2020 г. № 579/366 «Об утверждении Положения по организации эксплуатационно-технического обслуживания систем оповещения населения» (зарегистрирован в Минюсте России, регистрационный номер 60566 от 26 октября </w:t>
      </w:r>
      <w:r>
        <w:rPr>
          <w:rFonts w:ascii="Times New Roman" w:hAnsi="Times New Roman" w:cs="Times New Roman"/>
          <w:shd w:val="clear" w:color="auto" w:fill="FFFFFF"/>
        </w:rPr>
        <w:t xml:space="preserve">2020 г.).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Приказ МЧС России, МВД России и ФСБ России: </w:t>
      </w:r>
    </w:p>
    <w:p w:rsidR="00B73ECD" w:rsidRDefault="00B97ED4">
      <w:pPr>
        <w:widowControl w:val="0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от 31 мая 2005 г. №428/432/321 «О порядке размещения современных технических средств массовой информации в местах массового пребывания людей в целях подготовки населения в области гражданской обороны</w:t>
      </w:r>
      <w:r>
        <w:rPr>
          <w:rFonts w:ascii="Times New Roman" w:hAnsi="Times New Roman" w:cs="Times New Roman"/>
          <w:shd w:val="clear" w:color="auto" w:fill="FFFFFF"/>
        </w:rPr>
        <w:t>, защиты от чрезвычайных ситуаций, обеспечения пожарной безопасности и охраны общественного порядка, а также своевременного оповещения и оперативного информирования граждан о чрезвычайных ситуациях и угрозе террористических акций» (зарегистрирован в Минюст</w:t>
      </w:r>
      <w:r>
        <w:rPr>
          <w:rFonts w:ascii="Times New Roman" w:hAnsi="Times New Roman" w:cs="Times New Roman"/>
          <w:shd w:val="clear" w:color="auto" w:fill="FFFFFF"/>
        </w:rPr>
        <w:t xml:space="preserve">е России, регистрационный номер 6700 от 9 июня 2005 г.). </w:t>
      </w: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 xml:space="preserve">Технический регламент: </w:t>
      </w:r>
    </w:p>
    <w:p w:rsidR="00B73ECD" w:rsidRDefault="00B97ED4">
      <w:pPr>
        <w:widowControl w:val="0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ТР ЕАЭС 050/2021 «Технический регламент Евразийского экономического союза «О безопасности продукции, предназначенной для гражданской обороны и защиты от чрезвычайных ситуаций</w:t>
      </w:r>
      <w:r>
        <w:rPr>
          <w:rFonts w:ascii="Times New Roman" w:hAnsi="Times New Roman" w:cs="Times New Roman"/>
          <w:shd w:val="clear" w:color="auto" w:fill="FFFFFF"/>
        </w:rPr>
        <w:t xml:space="preserve"> природного и техногенного характера». </w:t>
      </w: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Государственные стандарты: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−</w:t>
      </w:r>
      <w:r>
        <w:rPr>
          <w:rFonts w:ascii="Times New Roman" w:hAnsi="Times New Roman" w:cs="Times New Roman"/>
          <w:shd w:val="clear" w:color="auto" w:fill="FFFFFF"/>
        </w:rPr>
        <w:t xml:space="preserve"> ГОСТ Р 22.7.05-2022 «Гражданская оборона. Локальные системы оповещения в районах размещения потенциально опасных объектов»;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−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ГОСТ Р 42.3.01-2021 «Гражданская оборона. Технические средства оповещения населения. Классификация. Общие технические требования» (с учётом изм. №1);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−</w:t>
      </w:r>
      <w:r>
        <w:rPr>
          <w:rFonts w:ascii="Times New Roman" w:hAnsi="Times New Roman" w:cs="Times New Roman"/>
          <w:shd w:val="clear" w:color="auto" w:fill="FFFFFF"/>
        </w:rPr>
        <w:t xml:space="preserve"> ГОСТ Р 22.1.03-2025 «Безопасность в чрезвычайных ситуациях. Объектовая система мониторинга чрезвычайных</w:t>
      </w:r>
      <w:r>
        <w:rPr>
          <w:rFonts w:ascii="Times New Roman" w:hAnsi="Times New Roman" w:cs="Times New Roman"/>
          <w:shd w:val="clear" w:color="auto" w:fill="FFFFFF"/>
        </w:rPr>
        <w:t xml:space="preserve"> ситуаций техногенного характера. Общие технические требования»;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−</w:t>
      </w:r>
      <w:r>
        <w:rPr>
          <w:rFonts w:ascii="Times New Roman" w:hAnsi="Times New Roman" w:cs="Times New Roman"/>
          <w:shd w:val="clear" w:color="auto" w:fill="FFFFFF"/>
        </w:rPr>
        <w:t xml:space="preserve"> ГОСТ Р 22.1.08-2023 «Безопасность в чрезвычайных ситуациях. Мониторинг и прогнозирование опасных гидрологических явлений и процессов. Общие технические требования».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Методические рекоменда</w:t>
      </w:r>
      <w:r>
        <w:rPr>
          <w:rFonts w:ascii="Times New Roman" w:hAnsi="Times New Roman" w:cs="Times New Roman"/>
          <w:shd w:val="clear" w:color="auto" w:fill="FFFFFF"/>
        </w:rPr>
        <w:t xml:space="preserve">ции: </w:t>
      </w:r>
    </w:p>
    <w:p w:rsidR="00B73ECD" w:rsidRDefault="00B97ED4">
      <w:pPr>
        <w:widowControl w:val="0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Методические рекомендации по поддержанию в состоянии постоянной готовности к использованию систем оповещения населения, утверждены протоколом заседания рабочей группы Правительственной комиссии по предупреждению и ликвидации чрезвычайных ситуаций и о</w:t>
      </w:r>
      <w:r>
        <w:rPr>
          <w:rFonts w:ascii="Times New Roman" w:hAnsi="Times New Roman" w:cs="Times New Roman"/>
          <w:shd w:val="clear" w:color="auto" w:fill="FFFFFF"/>
        </w:rPr>
        <w:t xml:space="preserve">беспечению пожарной безопасности по координации создания и поддержания в постоянной готовности систем оповещения населения от 26.06.2024 г. № 2; </w:t>
      </w:r>
    </w:p>
    <w:p w:rsidR="00B73ECD" w:rsidRDefault="00B97ED4">
      <w:pPr>
        <w:widowControl w:val="0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Методические рекомендации по организации оповещения населения, одобренные протоколом заседания рабочей группы </w:t>
      </w:r>
      <w:r>
        <w:rPr>
          <w:rFonts w:ascii="Times New Roman" w:hAnsi="Times New Roman" w:cs="Times New Roman"/>
          <w:shd w:val="clear" w:color="auto" w:fill="FFFFFF"/>
        </w:rPr>
        <w:t xml:space="preserve">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12.03.2025 г. № 3.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Законы и постановления Прав</w:t>
      </w:r>
      <w:r>
        <w:rPr>
          <w:rFonts w:ascii="Times New Roman" w:hAnsi="Times New Roman" w:cs="Times New Roman"/>
          <w:shd w:val="clear" w:color="auto" w:fill="FFFFFF"/>
        </w:rPr>
        <w:t xml:space="preserve">ительства Республики Хакасия: </w:t>
      </w:r>
    </w:p>
    <w:p w:rsidR="00B73ECD" w:rsidRDefault="00B97ED4">
      <w:pPr>
        <w:widowControl w:val="0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Закон Республики Хакасия от 17 ноября 1998 года № 43 «О защите населения и территорий от чрезвычайных ситуаций природного и техногенного характера в Республике Хакасия»; </w:t>
      </w:r>
    </w:p>
    <w:p w:rsidR="00B73ECD" w:rsidRDefault="00B97ED4">
      <w:pPr>
        <w:widowControl w:val="0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Постановление Правительства Республики Хакасия от 18 мая 2009 года № 184 «О системе и порядке оповещения и информирования населения об опасностях, возникающих при военных конфликтах или вследствие этих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конфликтов, а также при угрозе возникновения или возн</w:t>
      </w:r>
      <w:r>
        <w:rPr>
          <w:rFonts w:ascii="Times New Roman" w:hAnsi="Times New Roman" w:cs="Times New Roman"/>
          <w:shd w:val="clear" w:color="auto" w:fill="FFFFFF"/>
        </w:rPr>
        <w:t xml:space="preserve">икновении чрезвычайных ситуаций природного и техногенного характера на территории Республики Хакасия»;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−</w:t>
      </w:r>
      <w:r>
        <w:rPr>
          <w:rFonts w:ascii="Times New Roman" w:hAnsi="Times New Roman" w:cs="Times New Roman"/>
          <w:shd w:val="clear" w:color="auto" w:fill="FFFFFF"/>
        </w:rPr>
        <w:t xml:space="preserve"> Постановление Правительства Республики Хакасия от 16 декабря 2014 года № 680 «Об утверждении границ зон экстренного оповещения населения об угрозе воз</w:t>
      </w:r>
      <w:r>
        <w:rPr>
          <w:rFonts w:ascii="Times New Roman" w:hAnsi="Times New Roman" w:cs="Times New Roman"/>
          <w:shd w:val="clear" w:color="auto" w:fill="FFFFFF"/>
        </w:rPr>
        <w:t xml:space="preserve">никновения чрезвычайных ситуаций на территории Республики Хакасия и признании утратившим силу постановления Президиума Правительства Республики Хакасия от 22.03.2013 № 20-п». </w:t>
      </w: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1.3 Плановые сроки начала и окончания работ </w:t>
      </w: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Начало работ — с даты заключения До</w:t>
      </w:r>
      <w:r>
        <w:rPr>
          <w:rFonts w:ascii="Times New Roman" w:hAnsi="Times New Roman" w:cs="Times New Roman"/>
          <w:shd w:val="clear" w:color="auto" w:fill="FFFFFF"/>
        </w:rPr>
        <w:t xml:space="preserve">говора. </w:t>
      </w: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Окончание работ — до 01.12.2026 г.</w:t>
      </w:r>
    </w:p>
    <w:p w:rsidR="00B73ECD" w:rsidRDefault="00B73ECD">
      <w:pPr>
        <w:widowControl w:val="0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jc w:val="both"/>
      </w:pPr>
      <w:r>
        <w:rPr>
          <w:rFonts w:ascii="Times New Roman" w:hAnsi="Times New Roman"/>
          <w:b/>
          <w:bCs/>
          <w:lang w:eastAsia="ru-RU"/>
        </w:rPr>
        <w:t>Место выполнения работ:</w:t>
      </w:r>
    </w:p>
    <w:p w:rsidR="00B73ECD" w:rsidRDefault="00B73ECD">
      <w:pPr>
        <w:widowControl w:val="0"/>
        <w:jc w:val="both"/>
        <w:rPr>
          <w:rFonts w:ascii="Times New Roman" w:hAnsi="Times New Roman"/>
          <w:bCs/>
          <w:lang w:eastAsia="ru-RU"/>
        </w:rPr>
      </w:pPr>
    </w:p>
    <w:p w:rsidR="00B73ECD" w:rsidRDefault="00B97ED4">
      <w:pPr>
        <w:widowControl w:val="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Таблица 1. Место размещения пункта управления ЛСОН ГТС ИЗ г. Абакана, </w:t>
      </w:r>
      <w:proofErr w:type="spellStart"/>
      <w:r>
        <w:rPr>
          <w:rFonts w:ascii="Times New Roman" w:hAnsi="Times New Roman"/>
          <w:bCs/>
          <w:lang w:eastAsia="ru-RU"/>
        </w:rPr>
        <w:t>рп</w:t>
      </w:r>
      <w:proofErr w:type="spellEnd"/>
      <w:r>
        <w:rPr>
          <w:rFonts w:ascii="Times New Roman" w:hAnsi="Times New Roman"/>
          <w:bCs/>
          <w:lang w:eastAsia="ru-RU"/>
        </w:rPr>
        <w:t xml:space="preserve">. Усть-Абакана. </w:t>
      </w:r>
    </w:p>
    <w:p w:rsidR="00B73ECD" w:rsidRDefault="00B73ECD">
      <w:pPr>
        <w:widowControl w:val="0"/>
        <w:jc w:val="both"/>
        <w:rPr>
          <w:rFonts w:ascii="Times New Roman" w:hAnsi="Times New Roman"/>
          <w:bCs/>
          <w:lang w:eastAsia="ru-RU"/>
        </w:rPr>
      </w:pPr>
    </w:p>
    <w:tbl>
      <w:tblPr>
        <w:tblW w:w="9796" w:type="dxa"/>
        <w:jc w:val="right"/>
        <w:tblLayout w:type="fixed"/>
        <w:tblLook w:val="04A0" w:firstRow="1" w:lastRow="0" w:firstColumn="1" w:lastColumn="0" w:noHBand="0" w:noVBand="1"/>
      </w:tblPr>
      <w:tblGrid>
        <w:gridCol w:w="617"/>
        <w:gridCol w:w="4336"/>
        <w:gridCol w:w="4843"/>
      </w:tblGrid>
      <w:tr w:rsidR="00B73ECD">
        <w:trPr>
          <w:tblHeader/>
          <w:jc w:val="right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Населенный пункт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Адрес пункта управления</w:t>
            </w:r>
          </w:p>
        </w:tc>
      </w:tr>
      <w:tr w:rsidR="00B73ECD">
        <w:trPr>
          <w:jc w:val="right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город Абакан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Абакан, ул. Маршала Жукова, 90</w:t>
            </w:r>
          </w:p>
        </w:tc>
      </w:tr>
    </w:tbl>
    <w:p w:rsidR="00B73ECD" w:rsidRDefault="00B73ECD">
      <w:pPr>
        <w:widowControl w:val="0"/>
        <w:jc w:val="both"/>
        <w:rPr>
          <w:rFonts w:ascii="Times New Roman" w:hAnsi="Times New Roman"/>
          <w:bCs/>
          <w:lang w:eastAsia="ru-RU"/>
        </w:rPr>
      </w:pPr>
    </w:p>
    <w:p w:rsidR="00B73ECD" w:rsidRDefault="00B97ED4">
      <w:pPr>
        <w:widowControl w:val="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Таблица 2. Перечень мест размещения пунктов оповещения ЛСОН ГТС ИЗ г. Абакана, </w:t>
      </w:r>
      <w:proofErr w:type="spellStart"/>
      <w:r>
        <w:rPr>
          <w:rFonts w:ascii="Times New Roman" w:hAnsi="Times New Roman"/>
          <w:bCs/>
          <w:lang w:eastAsia="ru-RU"/>
        </w:rPr>
        <w:t>рп</w:t>
      </w:r>
      <w:proofErr w:type="spellEnd"/>
      <w:r>
        <w:rPr>
          <w:rFonts w:ascii="Times New Roman" w:hAnsi="Times New Roman"/>
          <w:bCs/>
          <w:lang w:eastAsia="ru-RU"/>
        </w:rPr>
        <w:t>. Усть-Абакана.</w:t>
      </w:r>
    </w:p>
    <w:p w:rsidR="00B73ECD" w:rsidRDefault="00B73ECD"/>
    <w:tbl>
      <w:tblPr>
        <w:tblW w:w="9865" w:type="dxa"/>
        <w:jc w:val="right"/>
        <w:tblLayout w:type="fixed"/>
        <w:tblLook w:val="04A0" w:firstRow="1" w:lastRow="0" w:firstColumn="1" w:lastColumn="0" w:noHBand="0" w:noVBand="1"/>
      </w:tblPr>
      <w:tblGrid>
        <w:gridCol w:w="567"/>
        <w:gridCol w:w="1983"/>
        <w:gridCol w:w="2436"/>
        <w:gridCol w:w="2542"/>
        <w:gridCol w:w="2337"/>
      </w:tblGrid>
      <w:tr w:rsidR="00B73ECD">
        <w:trPr>
          <w:tblHeader/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Населенный пункт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Адрес установки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объекта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Оконечное устройство РСОН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Ленина, 67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Правительство РХ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Советская, 150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МУП Абаканское троллейбусное управление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Игарская</w:t>
            </w:r>
            <w:proofErr w:type="spellEnd"/>
            <w:r>
              <w:rPr>
                <w:rFonts w:ascii="Times New Roman" w:hAnsi="Times New Roman" w:cs="Times New Roman"/>
              </w:rPr>
              <w:t>, 3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Пирятинская</w:t>
            </w:r>
            <w:proofErr w:type="spellEnd"/>
            <w:r>
              <w:rPr>
                <w:rFonts w:ascii="Times New Roman" w:hAnsi="Times New Roman" w:cs="Times New Roman"/>
              </w:rPr>
              <w:t>, 20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ДК Железнодорожников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Торговая, 13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ПАО Ростелеком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Зоотехническая, 6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МОУ СОШ №23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Белоярская, 68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ГАУ РХ Абаканский пансионат ветеранов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Зеленая, 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Спецавтобаза ЖКХ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Павших Коммунаров, 131Б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ОАО Абаканский опытно-механический завод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Жукова, 70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Ленина, 23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Республиканская больница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Лермонтова, 12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СОШ №14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п. Усть-Абакан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Кирова, 20 Б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ПАО Ростелеком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п. Усть-Абакан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Мира, 44 А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МОУ Усть-Абаканская СОШ №2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п. Усть-Абакан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Добровольского, 14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 xml:space="preserve">ГБОУ РХ </w:t>
            </w:r>
            <w:r>
              <w:rPr>
                <w:rFonts w:ascii="Times New Roman" w:hAnsi="Times New Roman" w:cs="Times New Roman"/>
              </w:rPr>
              <w:t>Хакасский политехнический колледж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п. Усть-Абакан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 Октябрьская, 17 Б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МБУ РДК Дружба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п. Усть-Абакан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ул.30 лет Победы, 6 А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 xml:space="preserve">МБУ Дом культуры </w:t>
            </w:r>
            <w:proofErr w:type="spellStart"/>
            <w:r>
              <w:rPr>
                <w:rFonts w:ascii="Times New Roman" w:hAnsi="Times New Roman" w:cs="Times New Roman"/>
              </w:rPr>
              <w:t>им.Гагарина</w:t>
            </w:r>
            <w:proofErr w:type="spellEnd"/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  <w:tr w:rsidR="00B73ECD">
        <w:trPr>
          <w:jc w:val="righ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п. Усть-Абакан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>Подгорный Квартал, 2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r>
              <w:rPr>
                <w:rFonts w:ascii="Times New Roman" w:hAnsi="Times New Roman" w:cs="Times New Roman"/>
              </w:rPr>
              <w:t xml:space="preserve">НО МЖФ </w:t>
            </w:r>
            <w:proofErr w:type="spellStart"/>
            <w:r>
              <w:rPr>
                <w:rFonts w:ascii="Times New Roman" w:hAnsi="Times New Roman" w:cs="Times New Roman"/>
              </w:rPr>
              <w:t>г.Абакан</w:t>
            </w:r>
            <w:proofErr w:type="spellEnd"/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ECD" w:rsidRDefault="00B97ED4">
            <w:pPr>
              <w:widowControl w:val="0"/>
            </w:pPr>
            <w:proofErr w:type="spellStart"/>
            <w:r>
              <w:rPr>
                <w:rFonts w:ascii="Times New Roman" w:hAnsi="Times New Roman" w:cs="Times New Roman"/>
              </w:rPr>
              <w:t>Электросирена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С-40</w:t>
            </w:r>
          </w:p>
        </w:tc>
      </w:tr>
    </w:tbl>
    <w:p w:rsidR="00B73ECD" w:rsidRDefault="00B73ECD">
      <w:pPr>
        <w:widowControl w:val="0"/>
        <w:jc w:val="both"/>
        <w:rPr>
          <w:rFonts w:ascii="Times New Roman" w:hAnsi="Times New Roman" w:cs="Times New Roman"/>
          <w:bCs/>
          <w:lang w:eastAsia="ru-RU"/>
        </w:rPr>
      </w:pPr>
    </w:p>
    <w:p w:rsidR="00B73ECD" w:rsidRDefault="00B97ED4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1.4 Определения, обозначения и сокращения</w:t>
      </w:r>
    </w:p>
    <w:p w:rsidR="00B73ECD" w:rsidRDefault="00B73ECD">
      <w:pPr>
        <w:widowControl w:val="0"/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W w:w="9863" w:type="dxa"/>
        <w:tblInd w:w="-98" w:type="dxa"/>
        <w:tblLayout w:type="fixed"/>
        <w:tblLook w:val="0000" w:firstRow="0" w:lastRow="0" w:firstColumn="0" w:lastColumn="0" w:noHBand="0" w:noVBand="0"/>
      </w:tblPr>
      <w:tblGrid>
        <w:gridCol w:w="853"/>
        <w:gridCol w:w="1189"/>
        <w:gridCol w:w="7821"/>
      </w:tblGrid>
      <w:tr w:rsidR="00B73ECD">
        <w:trPr>
          <w:trHeight w:val="253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№п/п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Сокращение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Расшифровка</w:t>
            </w:r>
          </w:p>
        </w:tc>
      </w:tr>
      <w:tr w:rsidR="00B73ECD">
        <w:trPr>
          <w:trHeight w:val="624"/>
        </w:trPr>
        <w:tc>
          <w:tcPr>
            <w:tcW w:w="853" w:type="dxa"/>
            <w:vAlign w:val="center"/>
          </w:tcPr>
          <w:p w:rsidR="00B73ECD" w:rsidRDefault="00B97ED4">
            <w:pPr>
              <w:ind w:firstLine="227"/>
            </w:pPr>
            <w:r>
              <w:t>1.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ЕАЭС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Евразийский экономический союз</w:t>
            </w:r>
          </w:p>
        </w:tc>
      </w:tr>
      <w:tr w:rsidR="00B73ECD">
        <w:trPr>
          <w:trHeight w:val="120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spacing w:before="171" w:after="171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ЕДДС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spacing w:before="171" w:after="17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Единая дежурная диспетчерская служба</w:t>
            </w:r>
          </w:p>
        </w:tc>
      </w:tr>
      <w:tr w:rsidR="00B73ECD">
        <w:trPr>
          <w:trHeight w:val="183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ЛСОН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Локальная система оповещения населения</w:t>
            </w:r>
          </w:p>
        </w:tc>
      </w:tr>
      <w:tr w:rsidR="00B73ECD">
        <w:trPr>
          <w:trHeight w:val="120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МСОН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Муниципальная система оповещения населения</w:t>
            </w:r>
          </w:p>
        </w:tc>
      </w:tr>
      <w:tr w:rsidR="00B73ECD">
        <w:trPr>
          <w:trHeight w:val="427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spacing w:before="171" w:after="1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МЧС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B73ECD">
        <w:trPr>
          <w:trHeight w:val="510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РСОН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Региональная система оповещения населения</w:t>
            </w:r>
          </w:p>
        </w:tc>
      </w:tr>
      <w:tr w:rsidR="00B73ECD">
        <w:trPr>
          <w:trHeight w:val="404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7.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РСЧС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Единая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государственная система предупреждения и ликвидации чрезвычайных ситуаций</w:t>
            </w:r>
          </w:p>
        </w:tc>
      </w:tr>
      <w:tr w:rsidR="00B73ECD">
        <w:trPr>
          <w:trHeight w:val="140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ФСТЭК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Федеральная служба по техническому и экспортному контролю</w:t>
            </w:r>
          </w:p>
        </w:tc>
      </w:tr>
      <w:tr w:rsidR="00B73ECD">
        <w:trPr>
          <w:trHeight w:val="140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ЧС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Чрезвычайная ситуация</w:t>
            </w:r>
          </w:p>
        </w:tc>
      </w:tr>
      <w:tr w:rsidR="00B73ECD">
        <w:trPr>
          <w:trHeight w:val="382"/>
        </w:trPr>
        <w:tc>
          <w:tcPr>
            <w:tcW w:w="853" w:type="dxa"/>
            <w:vAlign w:val="center"/>
          </w:tcPr>
          <w:p w:rsidR="00B73ECD" w:rsidRDefault="00B97ED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10</w:t>
            </w:r>
          </w:p>
        </w:tc>
        <w:tc>
          <w:tcPr>
            <w:tcW w:w="1189" w:type="dxa"/>
            <w:vAlign w:val="center"/>
          </w:tcPr>
          <w:p w:rsidR="00B73ECD" w:rsidRDefault="00B97E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ГТС ИЗ</w:t>
            </w:r>
          </w:p>
        </w:tc>
        <w:tc>
          <w:tcPr>
            <w:tcW w:w="7821" w:type="dxa"/>
            <w:vAlign w:val="center"/>
          </w:tcPr>
          <w:p w:rsidR="00B73ECD" w:rsidRDefault="00B97ED4">
            <w:pPr>
              <w:widowControl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Гидротехнические сооружения инженерной защиты</w:t>
            </w:r>
          </w:p>
        </w:tc>
      </w:tr>
    </w:tbl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2 Цели и назначение работ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2.1 Цель выполнения работ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Целью выполнения работ является оснащение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>. Усть-Абакана оборудованием и программным обеспечением. в соответствии с утверждённой проектно-технической документацией (шифр 72870439.425790.352).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2.2 Назначение ЛСОН ГТС ИЗ г. Абакана,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</w:rPr>
        <w:t xml:space="preserve">. Усть-Абакана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Основной задачей, создаваемой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>. Усть-Абакана, является своевременное и гарантированное доведение сигналов оповещения или экстренной информации при угрозе возникновения или в</w:t>
      </w:r>
      <w:r>
        <w:rPr>
          <w:rFonts w:ascii="Times New Roman" w:hAnsi="Times New Roman" w:cs="Times New Roman"/>
          <w:shd w:val="clear" w:color="auto" w:fill="FFFFFF"/>
        </w:rPr>
        <w:t xml:space="preserve">озникновении ЧС до: </w:t>
      </w:r>
    </w:p>
    <w:p w:rsidR="00B73ECD" w:rsidRDefault="00B97ED4">
      <w:pPr>
        <w:widowControl w:val="0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руководства ГБУ РХ «Управление инженерных защит»; </w:t>
      </w:r>
    </w:p>
    <w:p w:rsidR="00B73ECD" w:rsidRDefault="00B97ED4">
      <w:pPr>
        <w:widowControl w:val="0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руководящего состава объектового звена РСЧС; </w:t>
      </w:r>
    </w:p>
    <w:p w:rsidR="00B73ECD" w:rsidRDefault="00B97ED4">
      <w:pPr>
        <w:widowControl w:val="0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единой дежурно-диспетчерской службы городского округа г. Абакан; </w:t>
      </w:r>
      <w:r>
        <w:rPr>
          <w:rFonts w:ascii="Times New Roman" w:hAnsi="Times New Roman"/>
        </w:rPr>
        <w:t>единой дежурно-диспетчерской службы Усть-Абаканского муниципального район</w:t>
      </w:r>
      <w:r>
        <w:rPr>
          <w:rFonts w:ascii="Times New Roman" w:hAnsi="Times New Roman"/>
        </w:rPr>
        <w:t xml:space="preserve">а; </w:t>
      </w:r>
    </w:p>
    <w:p w:rsidR="00B73ECD" w:rsidRDefault="00B97ED4">
      <w:pPr>
        <w:widowControl w:val="0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аварийно-спасательных формирований, в том числе специализированных; </w:t>
      </w:r>
    </w:p>
    <w:p w:rsidR="00B73ECD" w:rsidRDefault="00B97ED4">
      <w:pPr>
        <w:widowControl w:val="0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руководителей и дежурно-диспетчерских служб организаций, расположенных в зоне действия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Усть-Абакана; </w:t>
      </w:r>
    </w:p>
    <w:p w:rsidR="00B73ECD" w:rsidRDefault="00B97ED4">
      <w:pPr>
        <w:widowControl w:val="0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людей, находящихся в границах зоны действия ЛСОН ГТС </w:t>
      </w:r>
      <w:r>
        <w:rPr>
          <w:rFonts w:ascii="Times New Roman" w:hAnsi="Times New Roman" w:cs="Times New Roman"/>
          <w:shd w:val="clear" w:color="auto" w:fill="FFFFFF"/>
        </w:rPr>
        <w:t xml:space="preserve">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Усть-Абакана. </w:t>
      </w:r>
    </w:p>
    <w:p w:rsidR="00B73ECD" w:rsidRDefault="00B73ECD">
      <w:pPr>
        <w:widowControl w:val="0"/>
        <w:ind w:left="720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3 Характеристика объекта автоматизации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3.1 Сведения о локальной системе оповещения населения и зоне действия ЛСОН ГТС ИЗ г. Абакана,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</w:rPr>
        <w:t xml:space="preserve">. Усть-Абакана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В настоящее время локальная система оповещения населения комплекса гидротехнических сооружений инженерной защиты г. Абакана, комплекса гидротехнических сооружений инженерной защиты г. Абакана (район Нижняя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Согра</w:t>
      </w:r>
      <w:proofErr w:type="spellEnd"/>
      <w:r>
        <w:rPr>
          <w:rFonts w:ascii="Times New Roman" w:hAnsi="Times New Roman" w:cs="Times New Roman"/>
          <w:shd w:val="clear" w:color="auto" w:fill="FFFFFF"/>
        </w:rPr>
        <w:t>), комплекса гидротехнических сооружений инже</w:t>
      </w:r>
      <w:r>
        <w:rPr>
          <w:rFonts w:ascii="Times New Roman" w:hAnsi="Times New Roman" w:cs="Times New Roman"/>
          <w:shd w:val="clear" w:color="auto" w:fill="FFFFFF"/>
        </w:rPr>
        <w:t xml:space="preserve">нерной защиты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не создана.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Зона действия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>. Усть-Абакана определены в результате расчетов, произведенных МКУ «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Архоград</w:t>
      </w:r>
      <w:proofErr w:type="spellEnd"/>
      <w:r>
        <w:rPr>
          <w:rFonts w:ascii="Times New Roman" w:hAnsi="Times New Roman" w:cs="Times New Roman"/>
          <w:shd w:val="clear" w:color="auto" w:fill="FFFFFF"/>
        </w:rPr>
        <w:t>» «Предложения и сведения о границах зон затопления, подтопления территорий г. Абакана Республик</w:t>
      </w:r>
      <w:r>
        <w:rPr>
          <w:rFonts w:ascii="Times New Roman" w:hAnsi="Times New Roman" w:cs="Times New Roman"/>
          <w:shd w:val="clear" w:color="auto" w:fill="FFFFFF"/>
        </w:rPr>
        <w:t xml:space="preserve">и Хакасия, прилегающих к водным объектам» (№ 102Е/25), выполненным в соответствии с постановлением Правительства РФ от 18.04.2014 № 360 (ред. от 24.05.2024 г.) «О зонах затопления, подтопления».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Результаты расчетов зон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звукопокрытия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оконечными средствами </w:t>
      </w:r>
      <w:r>
        <w:rPr>
          <w:rFonts w:ascii="Times New Roman" w:hAnsi="Times New Roman" w:cs="Times New Roman"/>
          <w:shd w:val="clear" w:color="auto" w:fill="FFFFFF"/>
        </w:rPr>
        <w:t xml:space="preserve">оповещения г. Абакана и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Усть-Абакана, выполненные на основании расчетов зон действия ЛСОН, приведены в разделе 5 «Зоны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звукопокрытия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оконечными средствами оповещения» утверждённой проектно-технической документации (шифр 72870439.425790.352).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В зону де</w:t>
      </w:r>
      <w:r>
        <w:rPr>
          <w:rFonts w:ascii="Times New Roman" w:hAnsi="Times New Roman" w:cs="Times New Roman"/>
          <w:shd w:val="clear" w:color="auto" w:fill="FFFFFF"/>
        </w:rPr>
        <w:t xml:space="preserve">йствия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попадают г. Абакан и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р.п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Согласно Постановления Правительства Республики Хакасия от 16 декабря 2014 года № 680 «Об утверждении границ зон экстренного оповещения населения об угрозе возникновени</w:t>
      </w:r>
      <w:r>
        <w:rPr>
          <w:rFonts w:ascii="Times New Roman" w:hAnsi="Times New Roman" w:cs="Times New Roman"/>
          <w:shd w:val="clear" w:color="auto" w:fill="FFFFFF"/>
        </w:rPr>
        <w:t xml:space="preserve">я чрезвычайных ситуаций на территории Республики Хакасия и признании утратившим силу постановления Президиума Правительства Республики Хакасия от 22.03.2013 № 20-п» с изменениями территория г. Абакан и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р.п</w:t>
      </w:r>
      <w:proofErr w:type="spellEnd"/>
      <w:r>
        <w:rPr>
          <w:rFonts w:ascii="Times New Roman" w:hAnsi="Times New Roman" w:cs="Times New Roman"/>
          <w:shd w:val="clear" w:color="auto" w:fill="FFFFFF"/>
        </w:rPr>
        <w:t>. Усть-Абакан не включены в зоны возможного катастр</w:t>
      </w:r>
      <w:r>
        <w:rPr>
          <w:rFonts w:ascii="Times New Roman" w:hAnsi="Times New Roman" w:cs="Times New Roman"/>
          <w:shd w:val="clear" w:color="auto" w:fill="FFFFFF"/>
        </w:rPr>
        <w:t xml:space="preserve">офического затопления комплекса гидротехнических сооружений инженерной защиты г. Абакана, комплекса гидротехнических сооружений инженерной защиты г. Абакана (район Нижняя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Согра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), комплекса гидротехнических сооружений инженерной защиты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Усть-Абакана.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3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.2 Сведения о существующих МСОН ГО г. Абакан и МСОН Усть-Абаканского </w:t>
      </w:r>
      <w:r>
        <w:rPr>
          <w:rFonts w:ascii="Times New Roman" w:hAnsi="Times New Roman" w:cs="Times New Roman"/>
          <w:b/>
          <w:bCs/>
          <w:shd w:val="clear" w:color="auto" w:fill="FFFFFF"/>
        </w:rPr>
        <w:lastRenderedPageBreak/>
        <w:t xml:space="preserve">муниципального района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МСОН ГО г. Абакан строится на КТСО П-166М (ранее оборудование выпускалось на ФГУП «КЗТА», предприятие в настоящий момент вошло в состав АО «Азимут»).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МСОН Усть-Аба</w:t>
      </w:r>
      <w:r>
        <w:rPr>
          <w:rFonts w:ascii="Times New Roman" w:hAnsi="Times New Roman" w:cs="Times New Roman"/>
          <w:shd w:val="clear" w:color="auto" w:fill="FFFFFF"/>
        </w:rPr>
        <w:t xml:space="preserve">канского муниципального района построена на базе КПТС АСО, производства АО «НПО Сенсор».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РСОН Республики Хакасия построена на базе КПТС АСО, производства АО «НПО Сенсор».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Адрес пункта управления муниципального образования (ЕДДС) городского округа город Абакан: г. Абакан, ул.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Щетинкина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, 10, помещение ЕДДС.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Адрес пункта управления муниципального образования (ЕДДС) Усть-Абаканского района: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пгт</w:t>
      </w:r>
      <w:proofErr w:type="spellEnd"/>
      <w:r>
        <w:rPr>
          <w:rFonts w:ascii="Times New Roman" w:hAnsi="Times New Roman" w:cs="Times New Roman"/>
          <w:shd w:val="clear" w:color="auto" w:fill="FFFFFF"/>
        </w:rPr>
        <w:t>. Усть-Абакан, ул. Гидролизная, 9</w:t>
      </w:r>
      <w:r>
        <w:rPr>
          <w:rFonts w:ascii="Times New Roman" w:hAnsi="Times New Roman" w:cs="Times New Roman"/>
          <w:shd w:val="clear" w:color="auto" w:fill="FFFFFF"/>
        </w:rPr>
        <w:t xml:space="preserve">, помещение ЕДДС.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Адрес основного пункта управления региональной системы оповещения населения Республики Хакасия: г. Абакан, ул. Кравченко, 11-3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Адрес запасного пункта управления региональной системы оповещения населения Республики Хакасия не раскрываетс</w:t>
      </w:r>
      <w:r>
        <w:rPr>
          <w:rFonts w:ascii="Times New Roman" w:hAnsi="Times New Roman" w:cs="Times New Roman"/>
          <w:shd w:val="clear" w:color="auto" w:fill="FFFFFF"/>
        </w:rPr>
        <w:t xml:space="preserve">я.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4 Требования к ЛСОН ГТС ИЗ г. Абакана,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</w:rPr>
        <w:t xml:space="preserve">. Усть-Абакана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4.1 Требования к системе в целом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Создаваемая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должна обеспечивать следующие возможности: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передачу сигналов и информации оповещения в индивидуальном, и</w:t>
      </w:r>
      <w:r>
        <w:rPr>
          <w:rFonts w:ascii="Times New Roman" w:hAnsi="Times New Roman" w:cs="Times New Roman"/>
          <w:shd w:val="clear" w:color="auto" w:fill="FFFFFF"/>
        </w:rPr>
        <w:t xml:space="preserve">збирательном, групповом и циркулярном режимах;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создание различных вариантов и сценариев оповещения;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централизованное и децентрализованное, автоматизированное и ручное управление процессом оповещения;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автоматизированное управление пунктами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электросиренно</w:t>
      </w:r>
      <w:r>
        <w:rPr>
          <w:rFonts w:ascii="Times New Roman" w:hAnsi="Times New Roman" w:cs="Times New Roman"/>
          <w:shd w:val="clear" w:color="auto" w:fill="FFFFFF"/>
        </w:rPr>
        <w:t>го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оповещения;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автоматическое отображение и документирование передаваемой информации оповещения, данных и подтверждений об их приеме;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документирование действий диспетчера по управлению системой оповещения;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передачу в автоматизированном режимах необходим</w:t>
      </w:r>
      <w:r>
        <w:rPr>
          <w:rFonts w:ascii="Times New Roman" w:hAnsi="Times New Roman" w:cs="Times New Roman"/>
          <w:shd w:val="clear" w:color="auto" w:fill="FFFFFF"/>
        </w:rPr>
        <w:t xml:space="preserve">ой информации и сигналов оповещения;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своевременную передачу информации до органов управления РСЧС соответствующего уровня в целях принятия необходимых мер по защите населения;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мониторинг состояния оконечных устройств на базе программного протокола обратн</w:t>
      </w:r>
      <w:r>
        <w:rPr>
          <w:rFonts w:ascii="Times New Roman" w:hAnsi="Times New Roman" w:cs="Times New Roman"/>
          <w:shd w:val="clear" w:color="auto" w:fill="FFFFFF"/>
        </w:rPr>
        <w:t xml:space="preserve">ой связи;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защиту информации от несанкционированного доступа и сохранность информации при авариях в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круглосуточное функционирование и постоянную готовность к применению по предназначению во всех режимах функционир</w:t>
      </w:r>
      <w:r>
        <w:rPr>
          <w:rFonts w:ascii="Times New Roman" w:hAnsi="Times New Roman" w:cs="Times New Roman"/>
          <w:shd w:val="clear" w:color="auto" w:fill="FFFFFF"/>
        </w:rPr>
        <w:t xml:space="preserve">ования РСЧС; </w:t>
      </w:r>
    </w:p>
    <w:p w:rsidR="00B73ECD" w:rsidRDefault="00B97ED4">
      <w:pPr>
        <w:widowControl w:val="0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своевременное, гарантированное и достоверное доведение информации оповещения до персонала потенциально опасного объекта и населения, находящегося в зоне действия создаваемой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В утверждённой проектно-т</w:t>
      </w:r>
      <w:r>
        <w:rPr>
          <w:rFonts w:ascii="Times New Roman" w:hAnsi="Times New Roman" w:cs="Times New Roman"/>
          <w:shd w:val="clear" w:color="auto" w:fill="FFFFFF"/>
        </w:rPr>
        <w:t xml:space="preserve">ехнической документации (шифр 72870439.425790.352) предусмотрены следующие структурные элементы системы: </w:t>
      </w:r>
    </w:p>
    <w:p w:rsidR="00B73ECD" w:rsidRDefault="00B97ED4">
      <w:pPr>
        <w:widowControl w:val="0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пункт управления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Усть-Абакана; </w:t>
      </w:r>
    </w:p>
    <w:p w:rsidR="00B73ECD" w:rsidRDefault="00B97ED4">
      <w:pPr>
        <w:widowControl w:val="0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пункты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электросиренного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оповещения, обеспечивающие оповещение персонала ЛСОН ГТС ИЗ г. Аба</w:t>
      </w:r>
      <w:r>
        <w:rPr>
          <w:rFonts w:ascii="Times New Roman" w:hAnsi="Times New Roman" w:cs="Times New Roman"/>
          <w:shd w:val="clear" w:color="auto" w:fill="FFFFFF"/>
        </w:rPr>
        <w:t xml:space="preserve">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и населения, находящегося в границах зоны действия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Усть-Абакана. </w:t>
      </w:r>
    </w:p>
    <w:p w:rsidR="00B73ECD" w:rsidRDefault="00B97ED4">
      <w:pPr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Количество пунктов оповещения и места размещения комплекса технических средств оповещения определены в ПТД.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Для повышения отказоустойчивости и надежности локальной системы оповещения </w:t>
      </w:r>
      <w:r>
        <w:rPr>
          <w:rFonts w:ascii="Times New Roman" w:hAnsi="Times New Roman" w:cs="Times New Roman"/>
          <w:shd w:val="clear" w:color="auto" w:fill="FFFFFF"/>
        </w:rPr>
        <w:lastRenderedPageBreak/>
        <w:t>населения Исполнитель должен использовать комплекс программно-технических средств оповещения, содержащий в своем составе программный комплекс оповещения, оборудование оповещения рук</w:t>
      </w:r>
      <w:r>
        <w:rPr>
          <w:rFonts w:ascii="Times New Roman" w:hAnsi="Times New Roman" w:cs="Times New Roman"/>
          <w:shd w:val="clear" w:color="auto" w:fill="FFFFFF"/>
        </w:rPr>
        <w:t xml:space="preserve">оводящего состава по телефонам и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электросиренное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оборудование.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Система должна обеспечивать круглосуточное функционирование и постоянную готовность к применению по предназначению во всех режимах функционирования РСЧС.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4.2 Требования к методическому обесп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ечению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должна соответствовать: </w:t>
      </w:r>
    </w:p>
    <w:p w:rsidR="00B73ECD" w:rsidRDefault="00B97ED4">
      <w:pPr>
        <w:widowControl w:val="0"/>
        <w:numPr>
          <w:ilvl w:val="0"/>
          <w:numId w:val="12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требованиям Постановления Правительства Российской Федерации от 17 мая 2023 г. № 769 «О порядке создания, реконструкции и поддержания в состоянии постоянной готовности к использованию систем оповещения населения»; </w:t>
      </w:r>
    </w:p>
    <w:p w:rsidR="00B73ECD" w:rsidRDefault="00B97ED4">
      <w:pPr>
        <w:widowControl w:val="0"/>
        <w:numPr>
          <w:ilvl w:val="0"/>
          <w:numId w:val="12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требованиям ГОСТ Р 42.3.01-2021 «Гражданс</w:t>
      </w:r>
      <w:r>
        <w:rPr>
          <w:rFonts w:ascii="Times New Roman" w:hAnsi="Times New Roman" w:cs="Times New Roman"/>
          <w:shd w:val="clear" w:color="auto" w:fill="FFFFFF"/>
        </w:rPr>
        <w:t xml:space="preserve">кая оборона. Технические средства оповещения населения. Классификация. Общие технические требования» (утв. и введен в действие приказом Федерального агентства по техническому регулированию и метрологии от 9 февраля 2021 г. №46-ст); </w:t>
      </w:r>
    </w:p>
    <w:p w:rsidR="00B73ECD" w:rsidRDefault="00B97ED4">
      <w:pPr>
        <w:widowControl w:val="0"/>
        <w:numPr>
          <w:ilvl w:val="0"/>
          <w:numId w:val="12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решению Совета Евразийс</w:t>
      </w:r>
      <w:r>
        <w:rPr>
          <w:rFonts w:ascii="Times New Roman" w:hAnsi="Times New Roman" w:cs="Times New Roman"/>
          <w:shd w:val="clear" w:color="auto" w:fill="FFFFFF"/>
        </w:rPr>
        <w:t xml:space="preserve">кой экономической комиссии от 5 октября 2021 г. № 100 «О техническом регламенте Евразийского экономического союза «О безопасности продукции, предназначенной для гражданской обороны и защиты от чрезвычайных ситуаций природного и техногенного характера»; </w:t>
      </w:r>
    </w:p>
    <w:p w:rsidR="00B73ECD" w:rsidRDefault="00B97ED4">
      <w:pPr>
        <w:widowControl w:val="0"/>
        <w:numPr>
          <w:ilvl w:val="0"/>
          <w:numId w:val="12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ме</w:t>
      </w:r>
      <w:r>
        <w:rPr>
          <w:rFonts w:ascii="Times New Roman" w:hAnsi="Times New Roman" w:cs="Times New Roman"/>
          <w:shd w:val="clear" w:color="auto" w:fill="FFFFFF"/>
        </w:rPr>
        <w:t>тодическим рекомендациям по поддержанию в состоянии постоянной готовности систем оповещения населения, утвержденными протоколом заседания рабочей группы Правительственной КЧС и ОПБ по координации создания и поддержания в постоянной готовности систем оповещ</w:t>
      </w:r>
      <w:r>
        <w:rPr>
          <w:rFonts w:ascii="Times New Roman" w:hAnsi="Times New Roman" w:cs="Times New Roman"/>
          <w:shd w:val="clear" w:color="auto" w:fill="FFFFFF"/>
        </w:rPr>
        <w:t xml:space="preserve">ения населения от 26 июня 2024 г. № 2. 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4.3 Общие технические требования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4.3.1 Требования к защите информации от несанкционированного доступа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Для предотвращения попыток искажения информации или нарушения режимов работы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>. Усть-А</w:t>
      </w:r>
      <w:r>
        <w:rPr>
          <w:rFonts w:ascii="Times New Roman" w:hAnsi="Times New Roman" w:cs="Times New Roman"/>
          <w:shd w:val="clear" w:color="auto" w:fill="FFFFFF"/>
        </w:rPr>
        <w:t xml:space="preserve">бакана должна иметь элементы защиты информации и быть защищена от несанкционированного доступа.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Принципы защиты информации отражены в утвержденной проектно-технической документации (шифр 72870439.425790.352) на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>. Усть-Абакана.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4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.3.2 Требования к защите каналов связи и информационной безопасности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должна соответствовать Требованиям к обеспечению защиты информации в автоматизированных системах управления производственными и технологическими </w:t>
      </w:r>
      <w:r>
        <w:rPr>
          <w:rFonts w:ascii="Times New Roman" w:hAnsi="Times New Roman" w:cs="Times New Roman"/>
          <w:shd w:val="clear" w:color="auto" w:fill="FFFFFF"/>
        </w:rPr>
        <w:t xml:space="preserve">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среды, утвержденным приказом ФСТЭК России от 14 марта 2014 г. № 31.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ЛСОН Г</w:t>
      </w:r>
      <w:r>
        <w:rPr>
          <w:rFonts w:ascii="Times New Roman" w:hAnsi="Times New Roman" w:cs="Times New Roman"/>
          <w:shd w:val="clear" w:color="auto" w:fill="FFFFFF"/>
        </w:rPr>
        <w:t xml:space="preserve">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должна соответствовать классу защищенности не ниже 3 класса.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Принципы защиты информационной безопасности отражены в разделе 6 «Мероприятия по обеспечению защиты информации в системе оповещения населения», входящем в сост</w:t>
      </w:r>
      <w:r>
        <w:rPr>
          <w:rFonts w:ascii="Times New Roman" w:hAnsi="Times New Roman" w:cs="Times New Roman"/>
          <w:shd w:val="clear" w:color="auto" w:fill="FFFFFF"/>
        </w:rPr>
        <w:t>ав утвержденной проектно-технической документации (шифр 72870439.425790.352).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В качестве средств криптографической защиты в ЛСОН ГТС ИЗ г. Абакана,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Усть-Абакана предусмотрено использование сертифицированного ПАК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VipNet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Coordinator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HW100 версии 5. Необх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одимо предусмотреть совместимость с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VipNet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сетью №21823.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73ECD">
      <w:pPr>
        <w:widowControl w:val="0"/>
        <w:ind w:firstLine="709"/>
        <w:jc w:val="both"/>
        <w:rPr>
          <w:rFonts w:ascii="Times New Roman" w:hAnsi="Times New Roman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5 Состав и содержание работ по созданию ЛСОН ГТС ИЗ г. Абакана,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</w:rPr>
        <w:t xml:space="preserve">. Усть-Абакана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Создание ЛСОН ГТС ИЗ г. Абакана,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рп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. Усть-Абакана осуществляется в соответствии </w:t>
      </w:r>
      <w:r>
        <w:rPr>
          <w:rFonts w:ascii="Times New Roman" w:hAnsi="Times New Roman" w:cs="Times New Roman"/>
          <w:shd w:val="clear" w:color="auto" w:fill="FFFFFF"/>
        </w:rPr>
        <w:lastRenderedPageBreak/>
        <w:t>с пунктами 7–11 постановления Прави</w:t>
      </w:r>
      <w:r>
        <w:rPr>
          <w:rFonts w:ascii="Times New Roman" w:hAnsi="Times New Roman" w:cs="Times New Roman"/>
          <w:shd w:val="clear" w:color="auto" w:fill="FFFFFF"/>
        </w:rPr>
        <w:t xml:space="preserve">тельства РФ от 17 мая 2023 г. № 769 «О порядке создания, реконструкции и поддержания в состоянии постоянной готовности к использованию систем оповещения населения» (далее – Правила создания систем оповещения).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Проектно-техническая документация на создание ЛСОН ГТС ИЗ г. Абакана, </w:t>
      </w:r>
      <w:proofErr w:type="spellStart"/>
      <w:r>
        <w:rPr>
          <w:rFonts w:ascii="Times New Roman" w:hAnsi="Times New Roman" w:cs="Times New Roman"/>
        </w:rPr>
        <w:t>рп</w:t>
      </w:r>
      <w:proofErr w:type="spellEnd"/>
      <w:r>
        <w:rPr>
          <w:rFonts w:ascii="Times New Roman" w:hAnsi="Times New Roman" w:cs="Times New Roman"/>
        </w:rPr>
        <w:t xml:space="preserve">. Усть-Абакана (шифр проекта: 72870439.425790.352) разработана, согласована и утверждена в установленном порядке.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настоящего технического задания осуществляется выполнение пе</w:t>
      </w:r>
      <w:r>
        <w:rPr>
          <w:rFonts w:ascii="Times New Roman" w:hAnsi="Times New Roman" w:cs="Times New Roman"/>
        </w:rPr>
        <w:t xml:space="preserve">рвого этапа работ по созданию локальной системы оповещения населения комплекса гидротехнических сооружений инженерной защиты г. Абакана, комплекса гидротехнических сооружений инженерной защиты г. Абакана (район Нижняя </w:t>
      </w:r>
      <w:proofErr w:type="spellStart"/>
      <w:r>
        <w:rPr>
          <w:rFonts w:ascii="Times New Roman" w:hAnsi="Times New Roman" w:cs="Times New Roman"/>
        </w:rPr>
        <w:t>Согра</w:t>
      </w:r>
      <w:proofErr w:type="spellEnd"/>
      <w:proofErr w:type="gramStart"/>
      <w:r>
        <w:rPr>
          <w:rFonts w:ascii="Times New Roman" w:hAnsi="Times New Roman" w:cs="Times New Roman"/>
        </w:rPr>
        <w:t>),  комплекса</w:t>
      </w:r>
      <w:proofErr w:type="gramEnd"/>
      <w:r>
        <w:rPr>
          <w:rFonts w:ascii="Times New Roman" w:hAnsi="Times New Roman" w:cs="Times New Roman"/>
        </w:rPr>
        <w:t xml:space="preserve"> гидротехнических со</w:t>
      </w:r>
      <w:r>
        <w:rPr>
          <w:rFonts w:ascii="Times New Roman" w:hAnsi="Times New Roman" w:cs="Times New Roman"/>
        </w:rPr>
        <w:t xml:space="preserve">оружений инженерной защиты </w:t>
      </w:r>
      <w:proofErr w:type="spellStart"/>
      <w:r>
        <w:rPr>
          <w:rFonts w:ascii="Times New Roman" w:hAnsi="Times New Roman" w:cs="Times New Roman"/>
        </w:rPr>
        <w:t>рп</w:t>
      </w:r>
      <w:proofErr w:type="spellEnd"/>
      <w:r>
        <w:rPr>
          <w:rFonts w:ascii="Times New Roman" w:hAnsi="Times New Roman" w:cs="Times New Roman"/>
        </w:rPr>
        <w:t>. Усть-</w:t>
      </w:r>
      <w:proofErr w:type="gramStart"/>
      <w:r>
        <w:rPr>
          <w:rFonts w:ascii="Times New Roman" w:hAnsi="Times New Roman" w:cs="Times New Roman"/>
        </w:rPr>
        <w:t>Абакан ,</w:t>
      </w:r>
      <w:proofErr w:type="gramEnd"/>
      <w:r>
        <w:rPr>
          <w:rFonts w:ascii="Times New Roman" w:hAnsi="Times New Roman" w:cs="Times New Roman"/>
        </w:rPr>
        <w:t xml:space="preserve"> которая включает в себя: </w:t>
      </w:r>
    </w:p>
    <w:p w:rsidR="00B73ECD" w:rsidRDefault="00B97ED4">
      <w:pPr>
        <w:widowControl w:val="0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поставку оборудования;</w:t>
      </w:r>
    </w:p>
    <w:p w:rsidR="00B73ECD" w:rsidRDefault="00B97ED4">
      <w:pPr>
        <w:widowControl w:val="0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поставку программного обеспечения;</w:t>
      </w:r>
    </w:p>
    <w:p w:rsidR="00B73ECD" w:rsidRDefault="00B97ED4">
      <w:pPr>
        <w:widowControl w:val="0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установку, настройку, обновление, актуализацию, проверку средств защиты информации и программно-</w:t>
      </w:r>
      <w:proofErr w:type="spellStart"/>
      <w:r>
        <w:rPr>
          <w:rFonts w:ascii="Times New Roman" w:hAnsi="Times New Roman" w:cs="Times New Roman"/>
        </w:rPr>
        <w:t>апаратных</w:t>
      </w:r>
      <w:proofErr w:type="spellEnd"/>
      <w:r>
        <w:rPr>
          <w:rFonts w:ascii="Times New Roman" w:hAnsi="Times New Roman" w:cs="Times New Roman"/>
        </w:rPr>
        <w:t xml:space="preserve"> комплексов;</w:t>
      </w:r>
    </w:p>
    <w:p w:rsidR="00B73ECD" w:rsidRDefault="00B73ECD">
      <w:pPr>
        <w:widowControl w:val="0"/>
        <w:ind w:left="720"/>
        <w:jc w:val="both"/>
        <w:rPr>
          <w:rFonts w:ascii="Times New Roman" w:hAnsi="Times New Roman" w:cs="Times New Roman"/>
        </w:rPr>
      </w:pPr>
    </w:p>
    <w:p w:rsidR="00B73ECD" w:rsidRDefault="00B73ECD">
      <w:pPr>
        <w:widowControl w:val="0"/>
        <w:ind w:left="720"/>
        <w:jc w:val="both"/>
        <w:rPr>
          <w:rFonts w:ascii="Times New Roman" w:hAnsi="Times New Roman" w:cs="Times New Roman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b/>
          <w:bCs/>
        </w:rPr>
        <w:t>6 Требо</w:t>
      </w:r>
      <w:r>
        <w:rPr>
          <w:rFonts w:ascii="Times New Roman" w:hAnsi="Times New Roman"/>
          <w:b/>
          <w:bCs/>
        </w:rPr>
        <w:t xml:space="preserve">вания к оборудованию и материалам 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</w:rPr>
        <w:t xml:space="preserve">Поставляемое оборудование должно быть новым, не бывшим ранее в употреблении, не восстановленным, не ремонтированным, не осуществлялась замена его частей, не восстанавливались его потребительские свойства, свободным от </w:t>
      </w:r>
      <w:r>
        <w:rPr>
          <w:rFonts w:ascii="Times New Roman" w:hAnsi="Times New Roman"/>
        </w:rPr>
        <w:t>прав на него третьих лиц и других обременений, иметь торговую марку (при наличии). Срок изготовления оборудования - не ранее января 2026 г.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</w:rPr>
        <w:t xml:space="preserve">Гарантийный срок на поставленное оборудование и выполненные работы составляет </w:t>
      </w:r>
      <w:proofErr w:type="gramStart"/>
      <w:r>
        <w:rPr>
          <w:rFonts w:ascii="Times New Roman" w:hAnsi="Times New Roman"/>
        </w:rPr>
        <w:t>12  месяцев</w:t>
      </w:r>
      <w:proofErr w:type="gramEnd"/>
      <w:r>
        <w:rPr>
          <w:rFonts w:ascii="Times New Roman" w:hAnsi="Times New Roman"/>
        </w:rPr>
        <w:t>, с даты подписания докумен</w:t>
      </w:r>
      <w:r>
        <w:rPr>
          <w:rFonts w:ascii="Times New Roman" w:hAnsi="Times New Roman"/>
        </w:rPr>
        <w:t>та, подтверждающего поставку оборудования.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</w:rPr>
        <w:t>Гарантии качества работ распространяются на все составляющие результата выполненных работ.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</w:rPr>
        <w:t>Под гарантией понимается устранение Подрядчиком своими силами и за свой счет допущенных по его вине недостатков, выявленны</w:t>
      </w:r>
      <w:r>
        <w:rPr>
          <w:rFonts w:ascii="Times New Roman" w:hAnsi="Times New Roman"/>
        </w:rPr>
        <w:t>х после приемки оборудования и выполненных работ.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</w:rPr>
        <w:t>Подрядчик гарантирует возможность безопасного использования оборудования по назначению в течение всего гарантийного срока.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</w:rPr>
        <w:t xml:space="preserve">Если в период гарантийного срока обнаружатся недостатки оборудования, возникшие по </w:t>
      </w:r>
      <w:r>
        <w:rPr>
          <w:rFonts w:ascii="Times New Roman" w:hAnsi="Times New Roman"/>
        </w:rPr>
        <w:t>вине Подрядчика, то Подрядчик обязан их устранить за счет собственных средств в течение не более 30 (тридцати) рабочих дней с момента предъявления соответствующей претензии Заказчиком, если иной срок в связи с объемом и характером подлежащих устранению нед</w:t>
      </w:r>
      <w:r>
        <w:rPr>
          <w:rFonts w:ascii="Times New Roman" w:hAnsi="Times New Roman"/>
        </w:rPr>
        <w:t>остатков не определен Сторонами в акте, фиксирующем недостатки.</w:t>
      </w: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</w:rPr>
        <w:t>Срок гарантии в этом случае продлевается соответственно на период устранения дефектов.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97ED4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b/>
          <w:bCs/>
        </w:rPr>
        <w:t>7 Поставка средств защиты информации, программного обеспечения и выполнения комплекса мероприятий по уст</w:t>
      </w:r>
      <w:r>
        <w:rPr>
          <w:rFonts w:ascii="Times New Roman" w:hAnsi="Times New Roman"/>
          <w:b/>
          <w:bCs/>
        </w:rPr>
        <w:t>ановке, настройке, обновлению, актуализации, проверке средств защиты информации и программно-</w:t>
      </w:r>
      <w:proofErr w:type="spellStart"/>
      <w:r>
        <w:rPr>
          <w:rFonts w:ascii="Times New Roman" w:hAnsi="Times New Roman"/>
          <w:b/>
          <w:bCs/>
        </w:rPr>
        <w:t>апаратных</w:t>
      </w:r>
      <w:proofErr w:type="spellEnd"/>
      <w:r>
        <w:rPr>
          <w:rFonts w:ascii="Times New Roman" w:hAnsi="Times New Roman"/>
          <w:b/>
          <w:bCs/>
        </w:rPr>
        <w:t xml:space="preserve"> комплексов.</w:t>
      </w: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W w:w="9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310"/>
        <w:gridCol w:w="1592"/>
      </w:tblGrid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Средства защиты</w:t>
            </w:r>
          </w:p>
        </w:tc>
        <w:tc>
          <w:tcPr>
            <w:tcW w:w="1592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310" w:type="dxa"/>
            <w:vAlign w:val="center"/>
          </w:tcPr>
          <w:p w:rsidR="00B73ECD" w:rsidRPr="00B97ED4" w:rsidRDefault="00B97ED4">
            <w:pPr>
              <w:pStyle w:val="a8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ПАК</w:t>
            </w:r>
            <w:r w:rsidRPr="00B97ED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97ED4">
              <w:rPr>
                <w:rFonts w:ascii="Times New Roman" w:hAnsi="Times New Roman"/>
                <w:lang w:val="en-US"/>
              </w:rPr>
              <w:t>ViPNet</w:t>
            </w:r>
            <w:proofErr w:type="spellEnd"/>
            <w:r w:rsidRPr="00B97ED4">
              <w:rPr>
                <w:rFonts w:ascii="Times New Roman" w:hAnsi="Times New Roman"/>
                <w:lang w:val="en-US"/>
              </w:rPr>
              <w:t xml:space="preserve"> Coordinator HW 5 </w:t>
            </w:r>
            <w:r>
              <w:rPr>
                <w:rFonts w:ascii="Times New Roman" w:hAnsi="Times New Roman"/>
              </w:rPr>
              <w:t>Исполнение</w:t>
            </w:r>
            <w:r w:rsidRPr="00B97ED4">
              <w:rPr>
                <w:rFonts w:ascii="Times New Roman" w:hAnsi="Times New Roman"/>
                <w:lang w:val="en-US"/>
              </w:rPr>
              <w:t xml:space="preserve"> HW100 (Base, </w:t>
            </w:r>
            <w:r>
              <w:rPr>
                <w:rFonts w:ascii="Times New Roman" w:hAnsi="Times New Roman"/>
              </w:rPr>
              <w:t>АП</w:t>
            </w:r>
            <w:r w:rsidRPr="00B97ED4">
              <w:rPr>
                <w:rFonts w:ascii="Times New Roman" w:hAnsi="Times New Roman"/>
                <w:lang w:val="en-US"/>
              </w:rPr>
              <w:t xml:space="preserve"> HW100 Q1/Q2)</w:t>
            </w:r>
          </w:p>
        </w:tc>
        <w:tc>
          <w:tcPr>
            <w:tcW w:w="1592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Сертификат активации сервиса </w:t>
            </w:r>
            <w:r>
              <w:rPr>
                <w:rFonts w:ascii="Times New Roman" w:hAnsi="Times New Roman"/>
              </w:rPr>
              <w:t xml:space="preserve">совместной технической </w:t>
            </w:r>
            <w:proofErr w:type="spellStart"/>
            <w:r>
              <w:rPr>
                <w:rFonts w:ascii="Times New Roman" w:hAnsi="Times New Roman"/>
              </w:rPr>
              <w:t>поддержкиПАК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ViPNet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Coordinator</w:t>
            </w:r>
            <w:proofErr w:type="spellEnd"/>
            <w:r>
              <w:rPr>
                <w:rFonts w:ascii="Times New Roman" w:hAnsi="Times New Roman"/>
              </w:rPr>
              <w:t xml:space="preserve"> HW 5 Исполнение HW100 (</w:t>
            </w:r>
            <w:proofErr w:type="spellStart"/>
            <w:r>
              <w:rPr>
                <w:rFonts w:ascii="Times New Roman" w:hAnsi="Times New Roman"/>
              </w:rPr>
              <w:t>Base</w:t>
            </w:r>
            <w:proofErr w:type="spellEnd"/>
            <w:r>
              <w:rPr>
                <w:rFonts w:ascii="Times New Roman" w:hAnsi="Times New Roman"/>
              </w:rPr>
              <w:t>, АП HW100 Q1/Q2) на срок 1 год, уровень - Расширенный</w:t>
            </w:r>
          </w:p>
        </w:tc>
        <w:tc>
          <w:tcPr>
            <w:tcW w:w="1592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310" w:type="dxa"/>
            <w:vAlign w:val="center"/>
          </w:tcPr>
          <w:p w:rsidR="00B73ECD" w:rsidRPr="00B97ED4" w:rsidRDefault="00B97ED4">
            <w:pPr>
              <w:pStyle w:val="a8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Комплект</w:t>
            </w:r>
            <w:r w:rsidRPr="00B97ED4">
              <w:rPr>
                <w:rFonts w:ascii="Times New Roman" w:hAnsi="Times New Roman"/>
                <w:lang w:val="en-US"/>
              </w:rPr>
              <w:t xml:space="preserve"> Kaspersky </w:t>
            </w:r>
            <w:r>
              <w:rPr>
                <w:rFonts w:ascii="Times New Roman" w:hAnsi="Times New Roman"/>
              </w:rPr>
              <w:t>Стандартный</w:t>
            </w:r>
            <w:r w:rsidRPr="00B97ED4">
              <w:rPr>
                <w:rFonts w:ascii="Times New Roman" w:hAnsi="Times New Roman"/>
                <w:lang w:val="en-US"/>
              </w:rPr>
              <w:t xml:space="preserve"> Certified Media Pack Russian Edition.</w:t>
            </w:r>
          </w:p>
        </w:tc>
        <w:tc>
          <w:tcPr>
            <w:tcW w:w="1592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310"/>
        <w:gridCol w:w="1587"/>
      </w:tblGrid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Программное обеспечение</w:t>
            </w:r>
          </w:p>
        </w:tc>
        <w:tc>
          <w:tcPr>
            <w:tcW w:w="1587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Антивирус</w:t>
            </w:r>
            <w:r w:rsidRPr="00B97ED4">
              <w:rPr>
                <w:rFonts w:ascii="Times New Roman" w:hAnsi="Times New Roman"/>
                <w:lang w:val="en-US"/>
              </w:rPr>
              <w:t xml:space="preserve"> Kaspersky Endpoint Security </w:t>
            </w:r>
            <w:r>
              <w:rPr>
                <w:rFonts w:ascii="Times New Roman" w:hAnsi="Times New Roman"/>
              </w:rPr>
              <w:t>для</w:t>
            </w:r>
            <w:r w:rsidRPr="00B97ED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бизнеса</w:t>
            </w:r>
            <w:r w:rsidRPr="00B97ED4">
              <w:rPr>
                <w:rFonts w:ascii="Times New Roman" w:hAnsi="Times New Roman"/>
                <w:lang w:val="en-US"/>
              </w:rPr>
              <w:t xml:space="preserve"> – </w:t>
            </w:r>
            <w:r>
              <w:rPr>
                <w:rFonts w:ascii="Times New Roman" w:hAnsi="Times New Roman"/>
              </w:rPr>
              <w:t>Стандартный</w:t>
            </w:r>
            <w:r w:rsidRPr="00B97ED4">
              <w:rPr>
                <w:rFonts w:ascii="Times New Roman" w:hAnsi="Times New Roman"/>
                <w:lang w:val="en-US"/>
              </w:rPr>
              <w:t xml:space="preserve"> Russian Edition. </w:t>
            </w:r>
            <w:r>
              <w:rPr>
                <w:rFonts w:ascii="Times New Roman" w:hAnsi="Times New Roman"/>
              </w:rPr>
              <w:t xml:space="preserve">10-14 узлов 1 </w:t>
            </w:r>
            <w:proofErr w:type="spellStart"/>
            <w:r>
              <w:rPr>
                <w:rFonts w:ascii="Times New Roman" w:hAnsi="Times New Roman"/>
              </w:rPr>
              <w:t>year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Base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License</w:t>
            </w:r>
            <w:proofErr w:type="spellEnd"/>
            <w:r>
              <w:rPr>
                <w:rFonts w:ascii="Times New Roman" w:hAnsi="Times New Roman"/>
              </w:rPr>
              <w:t xml:space="preserve"> (10 лиц.)</w:t>
            </w:r>
          </w:p>
        </w:tc>
        <w:tc>
          <w:tcPr>
            <w:tcW w:w="1587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73ECD">
        <w:trPr>
          <w:trHeight w:val="1441"/>
        </w:trPr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 на использование «</w:t>
            </w:r>
            <w:proofErr w:type="spellStart"/>
            <w:r>
              <w:rPr>
                <w:rFonts w:ascii="Times New Roman" w:hAnsi="Times New Roman"/>
              </w:rPr>
              <w:t>Astra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Linux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Special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Edition</w:t>
            </w:r>
            <w:proofErr w:type="spellEnd"/>
            <w:r>
              <w:rPr>
                <w:rFonts w:ascii="Times New Roman" w:hAnsi="Times New Roman"/>
              </w:rPr>
              <w:t>» для 64-х разрядной платформы на базе процессорной архитектуры х86-64 (очере</w:t>
            </w:r>
            <w:r>
              <w:rPr>
                <w:rFonts w:ascii="Times New Roman" w:hAnsi="Times New Roman"/>
              </w:rPr>
              <w:t>дное обновление 1.8), вариант лицензирования «Смоленск», ФСТЭК, для рабочей станции, бессрочно, с включенными обновлениями Тип 1 на 12 мес.</w:t>
            </w:r>
          </w:p>
        </w:tc>
        <w:tc>
          <w:tcPr>
            <w:tcW w:w="1587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Средство анализа защищенности «Сканер-ВС». НПЕШ.00606-01. Лицензия на 4 IP адреса на 1 год</w:t>
            </w:r>
          </w:p>
        </w:tc>
        <w:tc>
          <w:tcPr>
            <w:tcW w:w="1587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310"/>
        <w:gridCol w:w="1587"/>
      </w:tblGrid>
      <w:tr w:rsidR="00B73ECD"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Выполнение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комплекса мероприятий по установке, настройке, обновлению, актуализации, проверке средств защиты информации и программно-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апаратных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комплексов</w:t>
            </w:r>
          </w:p>
        </w:tc>
        <w:tc>
          <w:tcPr>
            <w:tcW w:w="1587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B73ECD">
        <w:trPr>
          <w:trHeight w:val="1441"/>
        </w:trPr>
        <w:tc>
          <w:tcPr>
            <w:tcW w:w="741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310" w:type="dxa"/>
            <w:vAlign w:val="center"/>
          </w:tcPr>
          <w:p w:rsidR="00B73ECD" w:rsidRDefault="00B97ED4">
            <w:pPr>
              <w:pStyle w:val="a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Установка, настройка, обновление, актуализация, проверка средств защиты информации и </w:t>
            </w:r>
            <w:r>
              <w:rPr>
                <w:rFonts w:ascii="Times New Roman" w:hAnsi="Times New Roman"/>
              </w:rPr>
              <w:t>программно-</w:t>
            </w:r>
            <w:proofErr w:type="spellStart"/>
            <w:r>
              <w:rPr>
                <w:rFonts w:ascii="Times New Roman" w:hAnsi="Times New Roman"/>
              </w:rPr>
              <w:t>апаратных</w:t>
            </w:r>
            <w:proofErr w:type="spellEnd"/>
            <w:r>
              <w:rPr>
                <w:rFonts w:ascii="Times New Roman" w:hAnsi="Times New Roman"/>
              </w:rPr>
              <w:t xml:space="preserve"> комплексов</w:t>
            </w:r>
          </w:p>
        </w:tc>
        <w:tc>
          <w:tcPr>
            <w:tcW w:w="1587" w:type="dxa"/>
            <w:vAlign w:val="center"/>
          </w:tcPr>
          <w:p w:rsidR="00B73ECD" w:rsidRDefault="00B97ED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B73ECD" w:rsidRDefault="00B73ECD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sectPr w:rsidR="00B73ECD">
      <w:pgSz w:w="11906" w:h="16838"/>
      <w:pgMar w:top="1134" w:right="1134" w:bottom="676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33D4"/>
    <w:multiLevelType w:val="multilevel"/>
    <w:tmpl w:val="00A65688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7B3C86"/>
    <w:multiLevelType w:val="multilevel"/>
    <w:tmpl w:val="323A2D3C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8D7AF6"/>
    <w:multiLevelType w:val="multilevel"/>
    <w:tmpl w:val="07DA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7E534BB"/>
    <w:multiLevelType w:val="multilevel"/>
    <w:tmpl w:val="61A694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66E206B"/>
    <w:multiLevelType w:val="multilevel"/>
    <w:tmpl w:val="B992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548F425F"/>
    <w:multiLevelType w:val="multilevel"/>
    <w:tmpl w:val="0A28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02370B0"/>
    <w:multiLevelType w:val="multilevel"/>
    <w:tmpl w:val="BF32774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57E503C"/>
    <w:multiLevelType w:val="multilevel"/>
    <w:tmpl w:val="C8E4737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C250C5E"/>
    <w:multiLevelType w:val="multilevel"/>
    <w:tmpl w:val="6D30537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11C0219"/>
    <w:multiLevelType w:val="multilevel"/>
    <w:tmpl w:val="727C8A32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8423F40"/>
    <w:multiLevelType w:val="multilevel"/>
    <w:tmpl w:val="9A68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7C175B65"/>
    <w:multiLevelType w:val="multilevel"/>
    <w:tmpl w:val="FEB0436C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E3334E3"/>
    <w:multiLevelType w:val="multilevel"/>
    <w:tmpl w:val="2FB6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7F70432D"/>
    <w:multiLevelType w:val="multilevel"/>
    <w:tmpl w:val="9AD2E9E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13"/>
  </w:num>
  <w:num w:numId="8">
    <w:abstractNumId w:val="8"/>
  </w:num>
  <w:num w:numId="9">
    <w:abstractNumId w:val="2"/>
  </w:num>
  <w:num w:numId="10">
    <w:abstractNumId w:val="10"/>
  </w:num>
  <w:num w:numId="11">
    <w:abstractNumId w:val="4"/>
  </w:num>
  <w:num w:numId="12">
    <w:abstractNumId w:val="5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B73ECD"/>
    <w:rsid w:val="00B73ECD"/>
    <w:rsid w:val="00B9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4D1F"/>
  <w15:docId w15:val="{B1AB9AA8-E1F0-4BB6-8B16-B91E4562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3163</Words>
  <Characters>18035</Characters>
  <Application>Microsoft Office Word</Application>
  <DocSecurity>0</DocSecurity>
  <Lines>150</Lines>
  <Paragraphs>42</Paragraphs>
  <ScaleCrop>false</ScaleCrop>
  <Company>vdi</Company>
  <LinksUpToDate>false</LinksUpToDate>
  <CharactersWithSpaces>21156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Алехина Ольга Владимировна</cp:lastModifiedBy>
  <cp:revision>3</cp:revision>
  <dcterms:created xsi:type="dcterms:W3CDTF">2026-10-19T10:05:00Z</dcterms:created>
  <dcterms:modified xsi:type="dcterms:W3CDTF">2026-10-20T11:28:00Z</dcterms:modified>
  <dc:language>ru-RU</dc:language>
</cp:coreProperties>
</file>