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</w:r>
    </w:p>
    <w:p>
      <w:pPr>
        <w:pStyle w:val="Normal"/>
        <w:jc w:val="right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</w:r>
    </w:p>
    <w:p>
      <w:pPr>
        <w:pStyle w:val="Normal"/>
        <w:jc w:val="right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</w:r>
    </w:p>
    <w:p>
      <w:pPr>
        <w:pStyle w:val="Normal"/>
        <w:jc w:val="right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</w:r>
    </w:p>
    <w:p>
      <w:pPr>
        <w:pStyle w:val="Normal"/>
        <w:jc w:val="right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</w:r>
    </w:p>
    <w:p>
      <w:pPr>
        <w:pStyle w:val="Normal"/>
        <w:jc w:val="right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</w:r>
    </w:p>
    <w:p>
      <w:pPr>
        <w:pStyle w:val="Normal"/>
        <w:jc w:val="right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</w:r>
    </w:p>
    <w:p>
      <w:pPr>
        <w:pStyle w:val="Normal"/>
        <w:jc w:val="right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</w:r>
    </w:p>
    <w:p>
      <w:pPr>
        <w:pStyle w:val="Normal"/>
        <w:jc w:val="right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</w:r>
    </w:p>
    <w:p>
      <w:pPr>
        <w:pStyle w:val="Normal"/>
        <w:jc w:val="right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</w:r>
    </w:p>
    <w:p>
      <w:pPr>
        <w:pStyle w:val="Normal"/>
        <w:jc w:val="right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Технические требования на выполнение работ</w:t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/>
      </w:pPr>
      <w:r>
        <w:rPr>
          <w:iCs/>
          <w:sz w:val="26"/>
          <w:szCs w:val="26"/>
        </w:rPr>
        <w:t xml:space="preserve">ОКПД2 71.12.40.120 Оказание услуг по поверке расходомера-счетчика электромагнитного FLONET FN 1015 Ду 600 мм насосной осушения потерны здания ГЭС Волжской ГЭС </w:t>
      </w:r>
    </w:p>
    <w:p>
      <w:pPr>
        <w:pStyle w:val="Normal"/>
        <w:jc w:val="center"/>
        <w:rPr>
          <w:iCs/>
          <w:sz w:val="26"/>
          <w:szCs w:val="26"/>
        </w:rPr>
      </w:pPr>
      <w:r>
        <w:rPr>
          <w:iCs/>
          <w:sz w:val="26"/>
          <w:szCs w:val="26"/>
        </w:rPr>
      </w:r>
    </w:p>
    <w:p>
      <w:pPr>
        <w:pStyle w:val="Normal"/>
        <w:jc w:val="center"/>
        <w:rPr/>
      </w:pPr>
      <w:r>
        <w:rPr>
          <w:iCs/>
          <w:sz w:val="26"/>
          <w:szCs w:val="26"/>
        </w:rPr>
        <w:t xml:space="preserve">лот № </w:t>
      </w:r>
    </w:p>
    <w:p>
      <w:pPr>
        <w:pStyle w:val="Normal"/>
        <w:jc w:val="left"/>
        <w:rPr>
          <w:iCs/>
        </w:rPr>
      </w:pPr>
      <w:r>
        <w:rPr>
          <w:iCs/>
        </w:rPr>
      </w:r>
    </w:p>
    <w:p>
      <w:pPr>
        <w:pStyle w:val="Normal"/>
        <w:jc w:val="center"/>
        <w:rPr>
          <w:rFonts w:eastAsia="Calibri"/>
          <w:b/>
          <w:sz w:val="32"/>
          <w:szCs w:val="32"/>
          <w:highlight w:val="none"/>
          <w:shd w:fill="FFFF00" w:val="clear"/>
        </w:rPr>
      </w:pPr>
      <w:r>
        <w:rPr>
          <w:rFonts w:eastAsia="Calibri"/>
          <w:b/>
          <w:sz w:val="32"/>
          <w:szCs w:val="32"/>
          <w:shd w:fill="FFFF00" w:val="clear"/>
        </w:rPr>
        <w:t xml:space="preserve"> </w:t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b w:val="false"/>
          <w:sz w:val="26"/>
          <w:szCs w:val="26"/>
        </w:rPr>
      </w:r>
    </w:p>
    <w:p>
      <w:pPr>
        <w:pStyle w:val="Heading4"/>
        <w:numPr>
          <w:ilvl w:val="1"/>
          <w:numId w:val="3"/>
        </w:numPr>
        <w:ind w:hanging="709" w:left="709"/>
        <w:rPr>
          <w:sz w:val="28"/>
        </w:rPr>
      </w:pPr>
      <w:bookmarkStart w:id="0" w:name="__RefHeading___Toc47655_2939175109"/>
      <w:bookmarkStart w:id="1" w:name="_Toc125123765"/>
      <w:bookmarkEnd w:id="0"/>
      <w:r>
        <w:rPr/>
        <w:t>Обозначения и сокращения</w:t>
      </w:r>
      <w:bookmarkEnd w:id="1"/>
    </w:p>
    <w:p>
      <w:pPr>
        <w:pStyle w:val="Normal"/>
        <w:keepNext w:val="true"/>
        <w:keepLines/>
        <w:spacing w:before="120" w:after="120"/>
        <w:jc w:val="both"/>
        <w:rPr>
          <w:b/>
          <w:bCs/>
          <w:i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Style w:val="Style8"/>
                <w:b w:val="false"/>
                <w:iCs/>
                <w:sz w:val="24"/>
                <w:szCs w:val="24"/>
                <w:shd w:fill="auto" w:val="clear"/>
              </w:rPr>
            </w:pPr>
            <w:r>
              <w:rPr>
                <w:i/>
                <w:iCs/>
                <w:sz w:val="24"/>
                <w:szCs w:val="24"/>
              </w:rPr>
              <w:t>СТО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Стандарт организации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Style w:val="Style8"/>
                <w:b w:val="false"/>
                <w:iCs/>
                <w:sz w:val="24"/>
                <w:szCs w:val="24"/>
                <w:shd w:fill="auto" w:val="clear"/>
              </w:rPr>
            </w:pPr>
            <w:r>
              <w:rPr>
                <w:i/>
                <w:iCs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Нормативно-технический документ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ППР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производства работ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Технологическая карта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Подъёмное сооружение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РТН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Ростехнадзор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ПДЭК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Постоянно действующая экзаменационная комиссия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Охрана труда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КРУЭ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Комплектное распределительное устройство с элегазовой изоляцией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АН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Авторский надзор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Рабочая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ФЗ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Федеральный закон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ind w:hanging="709" w:left="709"/>
        <w:rPr/>
      </w:pPr>
      <w:bookmarkStart w:id="2" w:name="__RefHeading___Toc47657_2939175109"/>
      <w:bookmarkStart w:id="3" w:name="_Toc125123766"/>
      <w:bookmarkEnd w:id="2"/>
      <w:r>
        <w:rPr/>
        <w:t>Наименование закупаемой продукции</w:t>
      </w:r>
      <w:bookmarkEnd w:id="3"/>
    </w:p>
    <w:p>
      <w:pPr>
        <w:pStyle w:val="Normal"/>
        <w:jc w:val="left"/>
        <w:rPr>
          <w:sz w:val="26"/>
          <w:szCs w:val="26"/>
        </w:rPr>
      </w:pPr>
      <w:r>
        <w:rPr>
          <w:rFonts w:eastAsia="Calibri"/>
          <w:iCs/>
          <w:sz w:val="24"/>
          <w:szCs w:val="24"/>
        </w:rPr>
        <w:t>ОКПД2 71.12.40.120 Оказание услуг по поверке расходомера-счетчика электромагнитного FLONET FN 1015 Ду 600 мм насосной осушения потерны здания ГЭС Волжской ГЭС</w:t>
      </w:r>
    </w:p>
    <w:p>
      <w:pPr>
        <w:pStyle w:val="Heading4"/>
        <w:numPr>
          <w:ilvl w:val="1"/>
          <w:numId w:val="3"/>
        </w:numPr>
        <w:ind w:hanging="709" w:left="709"/>
        <w:rPr>
          <w:lang w:val="ru-RU"/>
        </w:rPr>
      </w:pPr>
      <w:bookmarkStart w:id="4" w:name="__RefHeading___Toc47659_2939175109"/>
      <w:bookmarkStart w:id="5" w:name="_Toc125123767"/>
      <w:bookmarkEnd w:id="4"/>
      <w:r>
        <w:rPr/>
        <w:t xml:space="preserve">Цель </w:t>
      </w:r>
      <w:r>
        <w:rPr>
          <w:lang w:val="ru-RU"/>
        </w:rPr>
        <w:t>выполнения работ</w:t>
      </w:r>
      <w:bookmarkEnd w:id="5"/>
      <w:r>
        <w:rPr>
          <w:lang w:val="ru-RU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 w:cs="Times New Roman" w:eastAsiaTheme="minorHAnsi"/>
          <w:sz w:val="24"/>
          <w:szCs w:val="24"/>
          <w:lang w:eastAsia="en-US"/>
        </w:rPr>
        <w:t xml:space="preserve"> </w:t>
      </w:r>
      <w:r>
        <w:rPr>
          <w:rFonts w:eastAsia="Calibri" w:cs="Times New Roman" w:eastAsiaTheme="minorHAnsi"/>
          <w:sz w:val="24"/>
          <w:szCs w:val="24"/>
          <w:lang w:eastAsia="en-US"/>
        </w:rPr>
        <w:t>Целью работы является подтверждающие документ о поверке</w:t>
      </w:r>
      <w:r>
        <w:rPr>
          <w:rFonts w:eastAsia="Calibri" w:cs="Times New Roman" w:eastAsiaTheme="minorHAnsi"/>
          <w:iCs/>
          <w:sz w:val="26"/>
          <w:szCs w:val="26"/>
          <w:lang w:eastAsia="en-US"/>
        </w:rPr>
        <w:t xml:space="preserve"> расходомера-счетчика электромагнитного FLONET FN 1015 Ду 600 мм  насосной осушения потерны здания ГЭС Волжской ГЭС</w:t>
      </w:r>
      <w:r>
        <w:rPr>
          <w:rFonts w:eastAsia="Calibri" w:cs="Times New Roman" w:eastAsiaTheme="minorHAnsi"/>
          <w:iCs/>
          <w:sz w:val="24"/>
          <w:szCs w:val="24"/>
          <w:lang w:eastAsia="en-US"/>
        </w:rPr>
        <w:t xml:space="preserve"> </w:t>
      </w:r>
    </w:p>
    <w:p>
      <w:pPr>
        <w:pStyle w:val="Normal"/>
        <w:widowControl/>
        <w:suppressAutoHyphens w:val="true"/>
        <w:bidi w:val="0"/>
        <w:spacing w:before="0" w:after="0"/>
        <w:ind w:hanging="0" w:left="-170" w:right="0"/>
        <w:jc w:val="both"/>
        <w:rPr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   </w:t>
      </w:r>
      <w:r>
        <w:rPr>
          <w:rFonts w:eastAsia="Times New Roman" w:cs="Times New Roman"/>
          <w:sz w:val="26"/>
          <w:szCs w:val="26"/>
        </w:rPr>
        <w:t xml:space="preserve">Работы выполняются в рамках договора подряда  № 1050-4104-2026/0035-ТПИР ОБСЛ-      2026-      ВолГЭС от 17.07.2026г. «Монтаж и пуско-наладка основных насосных агрегатов   №№ 2, 3 насосной осушения </w:t>
      </w:r>
      <w:r>
        <w:rPr>
          <w:rFonts w:eastAsia="Times New Roman" w:cs="Times New Roman"/>
          <w:sz w:val="26"/>
          <w:szCs w:val="26"/>
          <w:lang w:eastAsia="en-US"/>
        </w:rPr>
        <w:t>потерны здания ГЭС Волжской ГЭС»</w:t>
      </w:r>
    </w:p>
    <w:p>
      <w:pPr>
        <w:pStyle w:val="Normal"/>
        <w:widowControl/>
        <w:suppressAutoHyphens w:val="true"/>
        <w:bidi w:val="0"/>
        <w:spacing w:before="0" w:after="0"/>
        <w:ind w:firstLine="170" w:left="-170" w:right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709" w:left="709"/>
        <w:rPr>
          <w:b w:val="false"/>
          <w:i/>
          <w:i/>
          <w:iCs/>
          <w:shd w:fill="FFFF99" w:val="clear"/>
        </w:rPr>
      </w:pPr>
      <w:bookmarkStart w:id="6" w:name="__RefHeading___Toc47661_2939175109"/>
      <w:bookmarkStart w:id="7" w:name="_Hlk48661047"/>
      <w:bookmarkStart w:id="8" w:name="_Toc125123768"/>
      <w:bookmarkEnd w:id="6"/>
      <w:r>
        <w:rPr/>
        <w:t>Существующее положение</w:t>
      </w:r>
      <w:bookmarkEnd w:id="8"/>
      <w:r>
        <w:rPr>
          <w:lang w:val="ru-RU"/>
        </w:rPr>
        <w:t xml:space="preserve"> </w:t>
      </w:r>
      <w:bookmarkEnd w:id="7"/>
    </w:p>
    <w:p>
      <w:pPr>
        <w:pStyle w:val="Normal"/>
        <w:jc w:val="both"/>
        <w:rPr>
          <w:sz w:val="24"/>
          <w:szCs w:val="24"/>
        </w:rPr>
      </w:pPr>
      <w:r>
        <w:rPr>
          <w:rFonts w:eastAsia="Calibri"/>
          <w:iCs/>
          <w:sz w:val="24"/>
          <w:szCs w:val="24"/>
        </w:rPr>
        <w:t xml:space="preserve">  </w:t>
      </w:r>
      <w:r>
        <w:rPr>
          <w:rFonts w:eastAsia="Calibri"/>
          <w:iCs/>
          <w:sz w:val="24"/>
          <w:szCs w:val="24"/>
        </w:rPr>
        <w:t>Поверка расходомера-счетчика электромагнитного FLONET FN 1015 Ду 600 мм выполняется на территории  организации выполняющей поверку</w:t>
      </w:r>
    </w:p>
    <w:p>
      <w:pPr>
        <w:pStyle w:val="ListParagraph"/>
        <w:jc w:val="both"/>
        <w:rPr>
          <w:bCs/>
        </w:rPr>
      </w:pPr>
      <w:r>
        <w:rPr>
          <w:bCs/>
        </w:rPr>
      </w:r>
    </w:p>
    <w:p>
      <w:pPr>
        <w:pStyle w:val="Style29"/>
        <w:numPr>
          <w:ilvl w:val="0"/>
          <w:numId w:val="0"/>
        </w:numPr>
        <w:ind w:hanging="0" w:left="0"/>
        <w:jc w:val="left"/>
        <w:outlineLvl w:val="0"/>
        <w:rPr/>
      </w:pPr>
      <w:bookmarkStart w:id="9" w:name="__RefHeading___Toc47663_2939175109"/>
      <w:bookmarkStart w:id="10" w:name="_Toc125123769"/>
      <w:bookmarkEnd w:id="9"/>
      <w:r>
        <w:rPr/>
        <w:t>Таблица 1. Перечень объектов заказчика</w:t>
      </w:r>
      <w:bookmarkEnd w:id="10"/>
    </w:p>
    <w:tbl>
      <w:tblPr>
        <w:tblW w:w="10063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1"/>
        <w:gridCol w:w="2637"/>
        <w:gridCol w:w="3696"/>
        <w:gridCol w:w="2918"/>
      </w:tblGrid>
      <w:tr>
        <w:trPr/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  <w:t>(место производства работ)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</w:tr>
      <w:tr>
        <w:trPr/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677" w:hRule="atLeast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sz w:val="26"/>
                <w:szCs w:val="26"/>
              </w:rPr>
            </w:pPr>
            <w:r>
              <w:rPr>
                <w:rFonts w:eastAsia="Calibri"/>
                <w:b w:val="false"/>
                <w:bCs w:val="false"/>
                <w:i/>
                <w:iCs/>
                <w:sz w:val="24"/>
                <w:szCs w:val="24"/>
              </w:rPr>
              <w:t>Поверка расходомера-счетчика электромагнитного FLONET FN 1015 Ду 600 мм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Работа производится на территории Исполнителя.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Насосная  осушения потерны здания ГЭС Волжской ГЭС</w:t>
            </w:r>
          </w:p>
        </w:tc>
      </w:tr>
    </w:tbl>
    <w:p>
      <w:pPr>
        <w:pStyle w:val="ListParagraph"/>
        <w:widowControl w:val="false"/>
        <w:tabs>
          <w:tab w:val="clear" w:pos="708"/>
          <w:tab w:val="left" w:pos="426" w:leader="none"/>
        </w:tabs>
        <w:spacing w:before="0" w:after="0"/>
        <w:contextualSpacing w:val="false"/>
        <w:jc w:val="both"/>
        <w:rPr>
          <w:rStyle w:val="Style8"/>
          <w:b w:val="false"/>
          <w:iCs/>
          <w:sz w:val="26"/>
          <w:szCs w:val="26"/>
        </w:rPr>
      </w:pPr>
      <w:r>
        <w:rPr>
          <w:b w:val="false"/>
          <w:iCs/>
          <w:sz w:val="26"/>
          <w:szCs w:val="26"/>
        </w:rPr>
      </w:r>
    </w:p>
    <w:p>
      <w:pPr>
        <w:pStyle w:val="Normal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709" w:left="709"/>
        <w:rPr/>
      </w:pPr>
      <w:bookmarkStart w:id="11" w:name="__RefHeading___Toc47665_2939175109"/>
      <w:bookmarkStart w:id="12" w:name="_Toc125123770"/>
      <w:bookmarkStart w:id="13" w:name="_Toc51955851"/>
      <w:bookmarkStart w:id="14" w:name="_Toc51955690"/>
      <w:bookmarkStart w:id="15" w:name="_Toc51955692"/>
      <w:bookmarkStart w:id="16" w:name="_Toc51921829"/>
      <w:bookmarkStart w:id="17" w:name="_Toc51955804"/>
      <w:bookmarkStart w:id="18" w:name="_Toc51955740"/>
      <w:bookmarkStart w:id="19" w:name="_Toc51921828"/>
      <w:bookmarkStart w:id="20" w:name="_Toc51921827"/>
      <w:bookmarkStart w:id="21" w:name="_Toc51955802"/>
      <w:bookmarkStart w:id="22" w:name="_Toc51955684"/>
      <w:bookmarkStart w:id="23" w:name="_Toc51955739"/>
      <w:bookmarkStart w:id="24" w:name="_Toc51955850"/>
      <w:bookmarkStart w:id="25" w:name="_Toc51955686"/>
      <w:bookmarkStart w:id="26" w:name="_Toc51955738"/>
      <w:bookmarkStart w:id="27" w:name="_Toc51955799"/>
      <w:bookmarkStart w:id="28" w:name="_Toc51955848"/>
      <w:bookmarkStart w:id="29" w:name="_Toc51955689"/>
      <w:bookmarkStart w:id="30" w:name="_Toc51955852"/>
      <w:bookmarkStart w:id="31" w:name="_Toc51955801"/>
      <w:bookmarkStart w:id="32" w:name="_Toc51921824"/>
      <w:bookmarkStart w:id="33" w:name="_Toc51955854"/>
      <w:bookmarkStart w:id="34" w:name="_Toc51955691"/>
      <w:bookmarkStart w:id="35" w:name="_Toc51955737"/>
      <w:bookmarkStart w:id="36" w:name="_Toc51955685"/>
      <w:bookmarkStart w:id="37" w:name="_Toc51955734"/>
      <w:bookmarkStart w:id="38" w:name="_Toc51955798"/>
      <w:bookmarkStart w:id="39" w:name="_Toc51955847"/>
      <w:bookmarkStart w:id="40" w:name="_Toc51921823"/>
      <w:bookmarkStart w:id="41" w:name="_Toc51921825"/>
      <w:bookmarkStart w:id="42" w:name="_Toc51955849"/>
      <w:bookmarkStart w:id="43" w:name="_Toc51955800"/>
      <w:bookmarkStart w:id="44" w:name="_Toc51955846"/>
      <w:bookmarkStart w:id="45" w:name="_Toc51955736"/>
      <w:bookmarkStart w:id="46" w:name="_Toc51955797"/>
      <w:bookmarkStart w:id="47" w:name="_Toc51921821"/>
      <w:bookmarkStart w:id="48" w:name="_Toc51955741"/>
      <w:bookmarkStart w:id="49" w:name="_Toc51955688"/>
      <w:bookmarkStart w:id="50" w:name="_Toc51955805"/>
      <w:bookmarkStart w:id="51" w:name="_Toc51955733"/>
      <w:bookmarkStart w:id="52" w:name="_Toc51955853"/>
      <w:bookmarkStart w:id="53" w:name="_Toc51955735"/>
      <w:bookmarkStart w:id="54" w:name="_Toc51921826"/>
      <w:bookmarkStart w:id="55" w:name="_Toc51921822"/>
      <w:bookmarkStart w:id="56" w:name="_Toc51955803"/>
      <w:bookmarkStart w:id="57" w:name="_Toc51955687"/>
      <w:bookmarkEnd w:id="11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r>
        <w:rPr/>
        <w:t xml:space="preserve">Информация в отношении исполнения договора, </w:t>
      </w:r>
      <w:bookmarkStart w:id="58" w:name="_Hlk46492347"/>
      <w:r>
        <w:rPr/>
        <w:t xml:space="preserve">которая должна быть учтена при подготовке заявки </w:t>
      </w:r>
      <w:bookmarkEnd w:id="58"/>
      <w:r>
        <w:rPr/>
        <w:t>(в том числе перечень ресурсов, услуг и документов, предоставляемых заказчиком на этапе исполнения договора)</w:t>
      </w:r>
      <w:bookmarkEnd w:id="12"/>
      <w:r>
        <w:rPr>
          <w:lang w:val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120"/>
        <w:contextualSpacing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Лаборатория выполняющая </w:t>
      </w:r>
      <w:r>
        <w:rPr>
          <w:rFonts w:eastAsia="Calibri"/>
          <w:iCs/>
          <w:sz w:val="24"/>
          <w:szCs w:val="24"/>
        </w:rPr>
        <w:t>поверку расходомера-счетчика электромагнитного FLONET FN 1015 Ду 600 мм должна быть аккредитована на соответствующие работы.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pacing w:before="0" w:after="120"/>
        <w:ind w:hanging="0" w:left="792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  <w:bookmarkStart w:id="59" w:name="_Hlk48209761"/>
      <w:bookmarkStart w:id="60" w:name="_Hlk482096151"/>
      <w:bookmarkStart w:id="61" w:name="_Hlk48209761"/>
      <w:bookmarkStart w:id="62" w:name="_Hlk482096151"/>
      <w:bookmarkEnd w:id="61"/>
      <w:bookmarkEnd w:id="62"/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</w:rPr>
      </w:pPr>
      <w:bookmarkStart w:id="63" w:name="__RefHeading___Toc47667_2939175109"/>
      <w:bookmarkStart w:id="64" w:name="_Toc51921656"/>
      <w:bookmarkStart w:id="65" w:name="_Toc125123771"/>
      <w:bookmarkEnd w:id="63"/>
      <w:r>
        <w:rPr/>
        <w:t>Требования к продукции</w:t>
      </w:r>
      <w:bookmarkEnd w:id="64"/>
      <w:bookmarkEnd w:id="65"/>
    </w:p>
    <w:p>
      <w:pPr>
        <w:pStyle w:val="Heading4"/>
        <w:numPr>
          <w:ilvl w:val="1"/>
          <w:numId w:val="3"/>
        </w:numPr>
        <w:ind w:hanging="709" w:left="709"/>
        <w:rPr/>
      </w:pPr>
      <w:bookmarkStart w:id="66" w:name="__RefHeading___Toc47669_2939175109"/>
      <w:bookmarkStart w:id="67" w:name="_Toc125123772"/>
      <w:bookmarkEnd w:id="66"/>
      <w:r>
        <w:rPr/>
        <w:t>Требования к объемам и срокам выполнения работ</w:t>
      </w:r>
      <w:bookmarkEnd w:id="67"/>
    </w:p>
    <w:p>
      <w:pPr>
        <w:pStyle w:val="Heading3"/>
        <w:numPr>
          <w:ilvl w:val="2"/>
          <w:numId w:val="3"/>
        </w:numPr>
        <w:ind w:hanging="709" w:left="709"/>
        <w:rPr/>
      </w:pPr>
      <w:bookmarkStart w:id="68" w:name="__RefHeading___Toc47671_2939175109"/>
      <w:bookmarkStart w:id="69" w:name="_Toc125123773"/>
      <w:bookmarkStart w:id="70" w:name="_Toc51921657"/>
      <w:bookmarkEnd w:id="68"/>
      <w:r>
        <w:rPr/>
        <w:t>Требования к видам и объемам работ</w:t>
      </w:r>
      <w:bookmarkEnd w:id="69"/>
      <w:bookmarkEnd w:id="70"/>
    </w:p>
    <w:p>
      <w:pPr>
        <w:pStyle w:val="Style29"/>
        <w:numPr>
          <w:ilvl w:val="0"/>
          <w:numId w:val="0"/>
        </w:numPr>
        <w:ind w:hanging="0" w:left="0"/>
        <w:jc w:val="left"/>
        <w:outlineLvl w:val="0"/>
        <w:rPr>
          <w:lang w:val="ru-RU"/>
        </w:rPr>
      </w:pPr>
      <w:bookmarkStart w:id="71" w:name="__RefHeading___Toc47673_2939175109"/>
      <w:bookmarkStart w:id="72" w:name="_Toc51921658"/>
      <w:bookmarkStart w:id="73" w:name="_Toc125123774"/>
      <w:bookmarkStart w:id="74" w:name="_Toc35351358"/>
      <w:bookmarkEnd w:id="71"/>
      <w:r>
        <w:rPr/>
        <w:t>Таблица</w:t>
      </w:r>
      <w:r>
        <w:rPr>
          <w:lang w:val="ru-RU"/>
        </w:rPr>
        <w:t> 2</w:t>
      </w:r>
      <w:r>
        <w:rPr/>
        <w:t xml:space="preserve">. </w:t>
      </w:r>
      <w:bookmarkEnd w:id="74"/>
      <w:r>
        <w:rPr>
          <w:lang w:val="ru-RU"/>
        </w:rPr>
        <w:t>Перечень и объем выполняемых работ</w:t>
      </w:r>
      <w:bookmarkEnd w:id="72"/>
      <w:bookmarkEnd w:id="73"/>
    </w:p>
    <w:tbl>
      <w:tblPr>
        <w:tblW w:w="9698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38"/>
        <w:gridCol w:w="4111"/>
        <w:gridCol w:w="2697"/>
        <w:gridCol w:w="2151"/>
      </w:tblGrid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sz w:val="26"/>
                <w:szCs w:val="26"/>
              </w:rPr>
            </w:pPr>
            <w:r>
              <w:rPr>
                <w:rFonts w:eastAsia="Calibri"/>
                <w:b w:val="false"/>
                <w:bCs w:val="false"/>
                <w:i/>
                <w:iCs/>
                <w:sz w:val="24"/>
                <w:szCs w:val="24"/>
              </w:rPr>
              <w:t>Поверка расходомера-счетчика электромагнитного FLONET FN 1015 Ду 600 мм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Получение свидетельства о поверке на бумажном носителе с внесением в базу </w:t>
            </w:r>
            <w:r>
              <w:rPr>
                <w:rFonts w:eastAsia="Times New Roman"/>
                <w:b w:val="false"/>
                <w:bCs w:val="false"/>
                <w:i/>
                <w:iCs/>
                <w:kern w:val="0"/>
                <w:sz w:val="24"/>
                <w:szCs w:val="24"/>
                <w:shd w:fill="FFFF00" w:val="clear"/>
                <w:lang w:val="ru-RU" w:eastAsia="ru-RU" w:bidi="ar-SA"/>
              </w:rPr>
              <w:t>«Аршин» ФГ</w:t>
            </w:r>
            <w:r>
              <w:rPr>
                <w:rFonts w:eastAsia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ИС Росстандарта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шт.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</w:t>
            </w:r>
          </w:p>
        </w:tc>
      </w:tr>
    </w:tbl>
    <w:p>
      <w:pPr>
        <w:pStyle w:val="Style29"/>
        <w:numPr>
          <w:ilvl w:val="0"/>
          <w:numId w:val="0"/>
        </w:numPr>
        <w:ind w:hanging="0" w:left="0"/>
        <w:jc w:val="left"/>
        <w:outlineLvl w:val="0"/>
        <w:rPr>
          <w:lang w:val="ru-RU"/>
        </w:rPr>
      </w:pPr>
      <w:r>
        <w:rPr>
          <w:lang w:val="ru-RU"/>
        </w:rPr>
      </w:r>
    </w:p>
    <w:p>
      <w:pPr>
        <w:pStyle w:val="Heading3"/>
        <w:numPr>
          <w:ilvl w:val="2"/>
          <w:numId w:val="3"/>
        </w:numPr>
        <w:ind w:hanging="709" w:left="709"/>
        <w:rPr/>
      </w:pPr>
      <w:bookmarkStart w:id="75" w:name="__RefHeading___Toc47675_2939175109"/>
      <w:bookmarkStart w:id="76" w:name="_Toc125123775"/>
      <w:bookmarkStart w:id="77" w:name="_Toc51921659"/>
      <w:bookmarkEnd w:id="75"/>
      <w:r>
        <w:rPr/>
        <w:t>Требования к срокам выполнения работ</w:t>
      </w:r>
      <w:bookmarkStart w:id="78" w:name="_Toc51921660"/>
      <w:bookmarkEnd w:id="76"/>
      <w:bookmarkEnd w:id="77"/>
    </w:p>
    <w:p>
      <w:pPr>
        <w:pStyle w:val="Style29"/>
        <w:numPr>
          <w:ilvl w:val="0"/>
          <w:numId w:val="0"/>
        </w:numPr>
        <w:ind w:hanging="0" w:left="0"/>
        <w:jc w:val="left"/>
        <w:outlineLvl w:val="0"/>
        <w:rPr/>
      </w:pPr>
      <w:bookmarkStart w:id="79" w:name="__RefHeading___Toc47677_2939175109"/>
      <w:bookmarkStart w:id="80" w:name="_Toc125123776"/>
      <w:bookmarkEnd w:id="79"/>
      <w:r>
        <w:rPr/>
        <w:t>Таблица 3. Требования по срокам выполнения работ</w:t>
      </w:r>
      <w:bookmarkEnd w:id="78"/>
      <w:bookmarkEnd w:id="80"/>
    </w:p>
    <w:p>
      <w:pPr>
        <w:pStyle w:val="Normal"/>
        <w:widowControl w:val="false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</w:r>
    </w:p>
    <w:tbl>
      <w:tblPr>
        <w:tblW w:w="9805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57"/>
        <w:gridCol w:w="3416"/>
        <w:gridCol w:w="2227"/>
        <w:gridCol w:w="2904"/>
      </w:tblGrid>
      <w:tr>
        <w:trPr/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работ/ этапа работ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szCs w:val="22"/>
              </w:rPr>
              <w:t>Требования к началу срока выполнения работ/ этапа работ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szCs w:val="22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sz w:val="26"/>
                <w:szCs w:val="26"/>
              </w:rPr>
            </w:pPr>
            <w:r>
              <w:rPr>
                <w:rFonts w:eastAsia="Calibri"/>
                <w:b w:val="false"/>
                <w:bCs w:val="false"/>
                <w:i/>
                <w:iCs/>
                <w:sz w:val="24"/>
                <w:szCs w:val="24"/>
              </w:rPr>
              <w:t>Поверка расходомера-счетчика электромагнитного FLONET FN 1015 Ду 600 мм</w:t>
            </w:r>
          </w:p>
          <w:p>
            <w:pPr>
              <w:pStyle w:val="Normal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С даты заключения договора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  <w:color w:val="auto"/>
              </w:rPr>
            </w:pPr>
            <w:r>
              <w:rPr>
                <w:i/>
                <w:iCs/>
                <w:color w:val="auto"/>
                <w:sz w:val="24"/>
                <w:szCs w:val="24"/>
              </w:rPr>
              <w:t xml:space="preserve">В течении </w:t>
            </w:r>
            <w:r>
              <w:rPr>
                <w:rFonts w:eastAsia="Times New Roman"/>
                <w:i/>
                <w:iCs/>
                <w:color w:val="auto"/>
                <w:sz w:val="24"/>
                <w:szCs w:val="24"/>
                <w:lang w:eastAsia="ru-RU"/>
              </w:rPr>
              <w:t>60 календарных дней, с даты заключения договора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>
          <w:rStyle w:val="Style8"/>
          <w:iCs/>
        </w:rPr>
      </w:pPr>
      <w:bookmarkStart w:id="81" w:name="__RefHeading___Toc47679_2939175109"/>
      <w:bookmarkStart w:id="82" w:name="_Toc125123777"/>
      <w:bookmarkEnd w:id="81"/>
      <w:r>
        <w:rPr/>
        <w:t>Требования к качеству работ</w:t>
      </w:r>
      <w:bookmarkEnd w:id="82"/>
    </w:p>
    <w:p>
      <w:pPr>
        <w:pStyle w:val="Style29"/>
        <w:numPr>
          <w:ilvl w:val="0"/>
          <w:numId w:val="0"/>
        </w:numPr>
        <w:spacing w:before="60" w:after="120"/>
        <w:ind w:hanging="0" w:left="0"/>
        <w:contextualSpacing/>
        <w:jc w:val="left"/>
        <w:outlineLvl w:val="0"/>
        <w:rPr>
          <w:rStyle w:val="Style8"/>
          <w:iCs/>
        </w:rPr>
      </w:pPr>
      <w:bookmarkStart w:id="83" w:name="__RefHeading___Toc47681_2939175109"/>
      <w:bookmarkStart w:id="84" w:name="_Toc51921661"/>
      <w:bookmarkStart w:id="85" w:name="_Toc125123778"/>
      <w:bookmarkEnd w:id="83"/>
      <w:r>
        <w:rPr/>
        <w:t>Таблица 4. Требования к качеству работ</w:t>
      </w:r>
      <w:bookmarkEnd w:id="84"/>
      <w:bookmarkEnd w:id="85"/>
      <w:r>
        <w:rPr/>
        <w:t xml:space="preserve"> 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>Наименование работ (позиция № 1 Таблицы 2):</w:t>
      </w:r>
      <w:r>
        <w:rPr>
          <w:sz w:val="24"/>
          <w:szCs w:val="24"/>
        </w:rPr>
        <w:t xml:space="preserve"> </w:t>
      </w:r>
      <w:r>
        <w:rPr>
          <w:rFonts w:eastAsia="Calibri"/>
          <w:iCs/>
          <w:sz w:val="24"/>
          <w:szCs w:val="24"/>
        </w:rPr>
        <w:t xml:space="preserve">Поверка счетчика-расходомера </w:t>
      </w:r>
      <w:r>
        <w:rPr>
          <w:rFonts w:eastAsia="Calibri"/>
          <w:b w:val="false"/>
          <w:bCs w:val="false"/>
          <w:i/>
          <w:iCs/>
          <w:sz w:val="24"/>
          <w:szCs w:val="24"/>
        </w:rPr>
        <w:t>FLONET FN 1015 Ду 600 мм</w:t>
      </w:r>
    </w:p>
    <w:tbl>
      <w:tblPr>
        <w:tblStyle w:val="affff7"/>
        <w:tblW w:w="14789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6"/>
        <w:gridCol w:w="1945"/>
        <w:gridCol w:w="190"/>
        <w:gridCol w:w="11728"/>
      </w:tblGrid>
      <w:tr>
        <w:trPr/>
        <w:tc>
          <w:tcPr>
            <w:tcW w:w="9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9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119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</w:tr>
      <w:tr>
        <w:trPr>
          <w:trHeight w:val="234" w:hRule="atLeast"/>
        </w:trPr>
        <w:tc>
          <w:tcPr>
            <w:tcW w:w="9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9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119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86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выполнению работ</w:t>
            </w:r>
          </w:p>
        </w:tc>
      </w:tr>
      <w:tr>
        <w:trPr/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</w:r>
          </w:p>
        </w:tc>
        <w:tc>
          <w:tcPr>
            <w:tcW w:w="1386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выполнению работ</w:t>
            </w:r>
          </w:p>
        </w:tc>
      </w:tr>
      <w:tr>
        <w:trPr/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94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нормативно-технических документов</w:t>
            </w:r>
          </w:p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contextualSpacing/>
              <w:jc w:val="left"/>
              <w:outlineLvl w:val="2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91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 оказании услуг исполнитель должен руководствоваться следующими нормативно-техническими документами (НТД):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-Федеральный закон от 26.06.2008г. № 102-ФЗ «Об обеспечении единства измерений»;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-Постановление Правительства РФ от 20.04.2010 г. № 250 «О перечне средств измерений,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центрами метрологии»;</w:t>
            </w:r>
          </w:p>
          <w:p>
            <w:pPr>
              <w:pStyle w:val="Normal"/>
              <w:widowControl w:val="false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 </w:t>
            </w:r>
            <w:r>
              <w:rPr>
                <w:rStyle w:val="Strong"/>
                <w:b w:val="false"/>
                <w:bCs w:val="false"/>
                <w:i/>
                <w:iCs/>
                <w:sz w:val="24"/>
                <w:szCs w:val="24"/>
              </w:rPr>
              <w:t>ГОСТ Р 8.1012-2022</w:t>
            </w:r>
            <w:r>
              <w:rPr>
                <w:i/>
                <w:iCs/>
                <w:sz w:val="24"/>
                <w:szCs w:val="24"/>
              </w:rPr>
              <w:t> «Государственная система обеспечения единства измерений. Счётчики воды. Методика поверки».</w:t>
            </w:r>
          </w:p>
          <w:p>
            <w:pPr>
              <w:pStyle w:val="Normal"/>
              <w:widowControl w:val="false"/>
              <w:jc w:val="left"/>
              <w:rPr>
                <w:i/>
                <w:i/>
                <w:iCs/>
                <w:sz w:val="24"/>
                <w:szCs w:val="24"/>
              </w:rPr>
            </w:pPr>
            <w:bookmarkStart w:id="86" w:name="startSelection_Копия_3"/>
            <w:bookmarkStart w:id="87" w:name="P0002"/>
            <w:bookmarkEnd w:id="86"/>
            <w:bookmarkEnd w:id="87"/>
            <w:r>
              <w:rPr>
                <w:b w:val="false"/>
                <w:i/>
                <w:iCs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-ГОСТ Р 72425-2025 « Оборудование технологическое»</w:t>
            </w:r>
          </w:p>
          <w:p>
            <w:pPr>
              <w:pStyle w:val="Normal"/>
              <w:widowControl w:val="false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b w:val="false"/>
                <w:i/>
                <w:iCs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-СП 31.13330 «Водоснабжение наружные сети и сооружения»</w:t>
            </w:r>
          </w:p>
          <w:p>
            <w:pPr>
              <w:pStyle w:val="BodyTextIndent3"/>
              <w:widowControl w:val="false"/>
              <w:tabs>
                <w:tab w:val="clear" w:pos="708"/>
                <w:tab w:val="left" w:pos="-3240" w:leader="none"/>
                <w:tab w:val="left" w:pos="0" w:leader="none"/>
              </w:tabs>
              <w:spacing w:before="0" w:after="0"/>
              <w:ind w:hanging="0" w:left="33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386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contextualSpacing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организации работ</w:t>
            </w:r>
          </w:p>
        </w:tc>
      </w:tr>
      <w:tr>
        <w:trPr>
          <w:trHeight w:val="2041" w:hRule="atLeast"/>
        </w:trPr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94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субподрядчика</w:t>
            </w:r>
          </w:p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contextualSpacing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i/>
                <w:i/>
                <w:i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9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Работы выполняются на территории Исполнителя</w:t>
            </w:r>
          </w:p>
        </w:tc>
      </w:tr>
      <w:tr>
        <w:trPr>
          <w:trHeight w:val="728" w:hRule="atLeast"/>
        </w:trPr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86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подрядчика</w:t>
            </w:r>
          </w:p>
        </w:tc>
      </w:tr>
      <w:tr>
        <w:trPr>
          <w:trHeight w:val="2864" w:hRule="atLeast"/>
        </w:trPr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4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Квалификация персонала подрядчика, привлекаемого к выполнению работ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bookmarkStart w:id="88" w:name="_Toc100820018"/>
            <w:bookmarkStart w:id="89" w:name="_Toc100820808"/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Наличие лицензий</w:t>
            </w:r>
            <w:bookmarkEnd w:id="88"/>
            <w:bookmarkEnd w:id="89"/>
          </w:p>
        </w:tc>
        <w:tc>
          <w:tcPr>
            <w:tcW w:w="119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Организация, осуществляющая поверку должна быть аккредитована на право поверки средств измерений в соответствии с действующим законодательством и иметь действующий аттестат аккредитации на право выполнения работ и (или) оказания услуг по поверке средств измерений.</w:t>
            </w:r>
          </w:p>
        </w:tc>
      </w:tr>
      <w:tr>
        <w:trPr/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86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работ и охране труда</w:t>
            </w:r>
          </w:p>
        </w:tc>
      </w:tr>
      <w:tr>
        <w:trPr/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4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безопасности выполняемых работ</w:t>
            </w:r>
          </w:p>
        </w:tc>
        <w:tc>
          <w:tcPr>
            <w:tcW w:w="1191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i/>
                <w:i/>
                <w:iCs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Работы выполняются на территории исполнителя</w:t>
            </w:r>
          </w:p>
        </w:tc>
      </w:tr>
      <w:tr>
        <w:trPr/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86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работ</w:t>
            </w:r>
          </w:p>
        </w:tc>
      </w:tr>
      <w:tr>
        <w:trPr>
          <w:trHeight w:val="100" w:hRule="atLeast"/>
        </w:trPr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86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работ</w:t>
            </w:r>
          </w:p>
        </w:tc>
      </w:tr>
      <w:tr>
        <w:trPr/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4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результату работ</w:t>
            </w:r>
          </w:p>
        </w:tc>
        <w:tc>
          <w:tcPr>
            <w:tcW w:w="1191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1. Результатом поверки является признание средства измерения пригодным к применению или непригодным к применению.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2.Порядок оформления результатов поверки определяется действующими нормативными документами на поверку данного оборудования.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shd w:fill="FFFF00" w:val="clear"/>
                <w:lang w:val="ru-RU" w:eastAsia="ru-RU" w:bidi="ar-SA"/>
              </w:rPr>
              <w:t>Предоставляются в 1 (одном) экземпляре на бумажном носителе с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внесением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информации о проведённой поверке в Федеральный информационный фонд по обеспечению единства измерения.</w:t>
            </w:r>
          </w:p>
        </w:tc>
      </w:tr>
      <w:tr>
        <w:trPr/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86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Style w:val="Style8"/>
                <w:rFonts w:eastAsia="Times New Roman" w:cs="Times New Roman"/>
                <w:b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техническим и функциональным характеристикам объекта, которые должны быть достигнуты в результате выполнения работ, включая гарантируемые показатели</w:t>
            </w:r>
          </w:p>
        </w:tc>
      </w:tr>
      <w:tr>
        <w:trPr/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4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</w:t>
            </w:r>
          </w:p>
        </w:tc>
        <w:tc>
          <w:tcPr>
            <w:tcW w:w="1191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Качественное оказание услуг, в соответствии с требованиями действующего законодательства РФ.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</w:tr>
      <w:tr>
        <w:trPr/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86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Style w:val="Style8"/>
                <w:rFonts w:eastAsia="Times New Roman" w:cs="Times New Roman"/>
                <w:b w:val="false"/>
                <w:bCs/>
                <w:i w:val="false"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порядку приемки результатов работ</w:t>
            </w:r>
          </w:p>
        </w:tc>
      </w:tr>
      <w:tr>
        <w:trPr/>
        <w:tc>
          <w:tcPr>
            <w:tcW w:w="92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2.3.1</w:t>
            </w:r>
          </w:p>
        </w:tc>
        <w:tc>
          <w:tcPr>
            <w:tcW w:w="2135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 w:eastAsiaTheme="minorHAnsi"/>
                <w:bCs/>
                <w:i/>
                <w:kern w:val="0"/>
                <w:sz w:val="24"/>
                <w:szCs w:val="24"/>
                <w:lang w:val="ru-RU" w:bidi="ar-SA"/>
              </w:rPr>
              <w:t>Сдача и приемка работ</w:t>
            </w:r>
          </w:p>
        </w:tc>
        <w:tc>
          <w:tcPr>
            <w:tcW w:w="1172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eastAsia="Calibri"/>
                <w:i/>
                <w:i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В соответствии с результатами поверки Заказчику выдаётся свидетельство о поверке (допускается ограничиться внесением результатов в Федеральный информационный фонд, с оттиском поверительного клейма или извещение о непригодности.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eastAsia="Calibri"/>
                <w:i/>
                <w:i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92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863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оформлению документации</w:t>
            </w:r>
          </w:p>
        </w:tc>
      </w:tr>
      <w:tr>
        <w:trPr/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 результатам выполненных работ</w:t>
            </w:r>
          </w:p>
        </w:tc>
        <w:tc>
          <w:tcPr>
            <w:tcW w:w="11918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Свидетельство о поверке с</w:t>
            </w:r>
            <w:r>
              <w:rPr>
                <w:rFonts w:eastAsia="Calibri"/>
                <w:i/>
                <w:iCs/>
                <w:sz w:val="24"/>
                <w:szCs w:val="24"/>
              </w:rPr>
              <w:t xml:space="preserve">четчика-расходомера </w:t>
            </w:r>
            <w:r>
              <w:rPr>
                <w:rFonts w:eastAsia="Calibri"/>
                <w:b w:val="false"/>
                <w:bCs w:val="false"/>
                <w:i/>
                <w:iCs/>
                <w:sz w:val="24"/>
                <w:szCs w:val="24"/>
              </w:rPr>
              <w:t>FLONET FN 1015 Ду 600 мм</w:t>
            </w:r>
          </w:p>
        </w:tc>
      </w:tr>
      <w:tr>
        <w:trPr/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86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</w:tr>
      <w:tr>
        <w:trPr/>
        <w:tc>
          <w:tcPr>
            <w:tcW w:w="92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contextualSpacing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3.1</w:t>
            </w:r>
          </w:p>
        </w:tc>
        <w:tc>
          <w:tcPr>
            <w:tcW w:w="2135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1172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/>
                <w:iCs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>Средства измерений, используемые при поверке,  должны быть утвержденного типа, поверены и соответствовать требованиям методик поверки.</w:t>
            </w:r>
          </w:p>
        </w:tc>
      </w:tr>
      <w:tr>
        <w:trPr/>
        <w:tc>
          <w:tcPr>
            <w:tcW w:w="92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863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Субподрядчика</w:t>
            </w:r>
          </w:p>
        </w:tc>
      </w:tr>
      <w:tr>
        <w:trPr/>
        <w:tc>
          <w:tcPr>
            <w:tcW w:w="92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45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57"/>
              <w:contextualSpacing/>
              <w:jc w:val="left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191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92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863" w:type="dxa"/>
            <w:gridSpan w:val="3"/>
            <w:tcBorders>
              <w:top w:val="nil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</w:tr>
      <w:tr>
        <w:trPr/>
        <w:tc>
          <w:tcPr>
            <w:tcW w:w="92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13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Style w:val="Style8"/>
                <w:rFonts w:eastAsia="Times New Roman" w:cs="Times New Roman"/>
                <w:b w:val="false"/>
                <w:i/>
                <w:iCs/>
                <w:color w:val="000000"/>
                <w:spacing w:val="3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1172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color w:val="000000"/>
                <w:spacing w:val="3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Исполнитель ответственен за внесение результатов оказания услуг в ФИФ, соблюдение нормативной документации, указанных в настоящих Технических </w:t>
            </w:r>
            <w:r>
              <w:rPr>
                <w:rFonts w:eastAsia="Times New Roman" w:cs="Times New Roman"/>
                <w:i/>
                <w:iCs/>
                <w:color w:val="000000"/>
                <w:spacing w:val="3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требованиях</w:t>
            </w:r>
            <w:r>
              <w:rPr>
                <w:rFonts w:eastAsia="Times New Roman" w:cs="Times New Roman"/>
                <w:i/>
                <w:iCs/>
                <w:color w:val="000000"/>
                <w:spacing w:val="3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, при оказании услуг, за качественное и своевременное оказание услуг.</w:t>
            </w:r>
          </w:p>
        </w:tc>
      </w:tr>
      <w:tr>
        <w:trPr/>
        <w:tc>
          <w:tcPr>
            <w:tcW w:w="92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135" w:type="dxa"/>
            <w:gridSpan w:val="2"/>
            <w:tcBorders>
              <w:top w:val="nil"/>
              <w:right w:val="nil"/>
            </w:tcBorders>
          </w:tcPr>
          <w:p>
            <w:pPr>
              <w:pStyle w:val="Heading1"/>
              <w:keepNext w:val="false"/>
              <w:widowControl w:val="false"/>
              <w:tabs>
                <w:tab w:val="clear" w:pos="0"/>
              </w:tabs>
              <w:suppressAutoHyphens w:val="true"/>
              <w:spacing w:before="0" w:after="60"/>
              <w:ind w:hanging="0" w:left="0"/>
              <w:jc w:val="both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  <w:bookmarkStart w:id="90" w:name="__RefHeading___Toc27249_3554140991"/>
            <w:bookmarkStart w:id="91" w:name="__RefHeading___Toc27249_3554140991"/>
            <w:bookmarkEnd w:id="91"/>
          </w:p>
        </w:tc>
        <w:tc>
          <w:tcPr>
            <w:tcW w:w="11728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882" w:leader="none"/>
              </w:tabs>
              <w:suppressAutoHyphens w:val="true"/>
              <w:spacing w:before="0" w:after="0"/>
              <w:ind w:hanging="0" w:left="31"/>
              <w:jc w:val="both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92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863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kern w:val="0"/>
                <w:sz w:val="24"/>
                <w:szCs w:val="24"/>
                <w:lang w:val="ru-RU" w:bidi="ar-SA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>
        <w:trPr/>
        <w:tc>
          <w:tcPr>
            <w:tcW w:w="92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3863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92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863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kern w:val="0"/>
                <w:sz w:val="24"/>
                <w:szCs w:val="24"/>
                <w:lang w:val="ru-RU" w:bidi="ar-SA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Участникам (отборочный)</w:t>
            </w:r>
          </w:p>
        </w:tc>
      </w:tr>
      <w:tr>
        <w:trPr/>
        <w:tc>
          <w:tcPr>
            <w:tcW w:w="92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3863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ind w:firstLine="8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3"/>
        </w:numPr>
        <w:ind w:hanging="0" w:left="0"/>
        <w:jc w:val="center"/>
        <w:rPr>
          <w:rStyle w:val="Style8"/>
          <w:bCs/>
          <w:sz w:val="26"/>
          <w:szCs w:val="26"/>
        </w:rPr>
      </w:pPr>
      <w:bookmarkStart w:id="92" w:name="__RefHeading___Toc47687_2939175109"/>
      <w:bookmarkStart w:id="93" w:name="_Toc54618151"/>
      <w:bookmarkStart w:id="94" w:name="_Toc125123781"/>
      <w:bookmarkStart w:id="95" w:name="_Toc54279844"/>
      <w:bookmarkEnd w:id="92"/>
      <w:r>
        <w:rPr/>
        <w:t>Требования к документации по</w:t>
      </w:r>
      <w:r>
        <w:rPr>
          <w:lang w:val="ru-RU"/>
        </w:rPr>
        <w:t xml:space="preserve"> </w:t>
      </w:r>
      <w:r>
        <w:rPr/>
        <w:t>ценообразованию на этапе закупки</w:t>
      </w:r>
      <w:bookmarkEnd w:id="93"/>
      <w:bookmarkEnd w:id="94"/>
      <w:bookmarkEnd w:id="95"/>
    </w:p>
    <w:p>
      <w:pPr>
        <w:pStyle w:val="Heading4"/>
        <w:numPr>
          <w:ilvl w:val="1"/>
          <w:numId w:val="3"/>
        </w:numPr>
        <w:ind w:hanging="709" w:left="1418"/>
        <w:rPr>
          <w:b w:val="false"/>
          <w:bCs w:val="false"/>
          <w:iCs/>
        </w:rPr>
      </w:pPr>
      <w:bookmarkStart w:id="96" w:name="__RefHeading___Toc47689_2939175109"/>
      <w:bookmarkStart w:id="97" w:name="_Toc125123782"/>
      <w:bookmarkStart w:id="98" w:name="_Hlk67315138"/>
      <w:bookmarkEnd w:id="96"/>
      <w:bookmarkEnd w:id="98"/>
      <w:r>
        <w:rPr>
          <w:b w:val="false"/>
          <w:bCs w:val="false"/>
          <w:iCs/>
        </w:rPr>
        <w:t>В обоснование стоимости своей заявки Участник предостав</w:t>
      </w:r>
      <w:r>
        <w:rPr>
          <w:b w:val="false"/>
          <w:bCs w:val="false"/>
          <w:iCs/>
          <w:lang w:val="ru-RU"/>
        </w:rPr>
        <w:t>ляет</w:t>
      </w:r>
      <w:r>
        <w:rPr>
          <w:b w:val="false"/>
          <w:bCs w:val="false"/>
          <w:iCs/>
        </w:rPr>
        <w:t xml:space="preserve"> Коммерческое предложение.</w:t>
      </w:r>
      <w:bookmarkEnd w:id="97"/>
    </w:p>
    <w:p>
      <w:pPr>
        <w:pStyle w:val="Heading4"/>
        <w:numPr>
          <w:ilvl w:val="1"/>
          <w:numId w:val="3"/>
        </w:numPr>
        <w:ind w:hanging="709" w:left="1418"/>
        <w:rPr>
          <w:b w:val="false"/>
          <w:iCs/>
        </w:rPr>
      </w:pPr>
      <w:bookmarkStart w:id="99" w:name="__RefHeading___Toc47691_2939175109"/>
      <w:bookmarkEnd w:id="99"/>
      <w:r>
        <w:rPr>
          <w:b w:val="false"/>
          <w:iCs/>
        </w:rPr>
        <w:t xml:space="preserve">Дополнительные документы по ценообразованию </w:t>
      </w:r>
      <w:r>
        <w:rPr>
          <w:b w:val="false"/>
          <w:iCs/>
          <w:lang w:val="ru-RU"/>
        </w:rPr>
        <w:t>(сметная</w:t>
      </w:r>
      <w:r>
        <w:rPr>
          <w:b w:val="false"/>
          <w:iCs/>
        </w:rPr>
        <w:t xml:space="preserve"> документа</w:t>
      </w:r>
      <w:bookmarkStart w:id="100" w:name="_Toc125123783"/>
      <w:r>
        <w:rPr>
          <w:b w:val="false"/>
          <w:iCs/>
        </w:rPr>
        <w:t>ция</w:t>
      </w:r>
      <w:r>
        <w:rPr>
          <w:b w:val="false"/>
          <w:iCs/>
          <w:lang w:val="ru-RU"/>
        </w:rPr>
        <w:t>)</w:t>
      </w:r>
      <w:r>
        <w:rPr>
          <w:b w:val="false"/>
          <w:iCs/>
        </w:rPr>
        <w:t xml:space="preserve"> в состав заявки Участника не включа</w:t>
      </w:r>
      <w:r>
        <w:rPr>
          <w:b w:val="false"/>
          <w:iCs/>
          <w:lang w:val="ru-RU"/>
        </w:rPr>
        <w:t>ю</w:t>
      </w:r>
      <w:r>
        <w:rPr>
          <w:b w:val="false"/>
          <w:iCs/>
        </w:rPr>
        <w:t>тся.</w:t>
      </w:r>
      <w:bookmarkEnd w:id="100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  <w:bookmarkStart w:id="101" w:name="_Hlk673151381"/>
      <w:bookmarkStart w:id="102" w:name="_Hlk673151381"/>
      <w:bookmarkEnd w:id="102"/>
    </w:p>
    <w:p>
      <w:pPr>
        <w:pStyle w:val="Normal"/>
        <w:rPr>
          <w:bCs/>
          <w:sz w:val="24"/>
          <w:szCs w:val="24"/>
          <w:lang w:eastAsia="x-none"/>
        </w:rPr>
      </w:pPr>
      <w:r>
        <w:rPr>
          <w:bCs/>
          <w:sz w:val="24"/>
          <w:szCs w:val="24"/>
          <w:lang w:eastAsia="x-none"/>
        </w:rPr>
      </w:r>
      <w:r>
        <w:br w:type="page"/>
      </w:r>
    </w:p>
    <w:p>
      <w:pPr>
        <w:pStyle w:val="Normal"/>
        <w:spacing w:lineRule="auto" w:line="240" w:before="0" w:after="0"/>
        <w:jc w:val="left"/>
        <w:rPr/>
      </w:pPr>
      <w:r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ind w:hanging="0" w:left="6373" w:right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hanging="0" w:left="6373" w:right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hanging="0" w:left="6373" w:right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hanging="0" w:left="6373" w:right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hanging="0" w:left="6373" w:right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</w:r>
    </w:p>
    <w:p>
      <w:pPr>
        <w:pStyle w:val="Normal"/>
        <w:spacing w:before="0" w:after="200"/>
        <w:jc w:val="left"/>
        <w:rPr/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2"/>
        <w:iCs w:val="false"/>
        <w:bCs w:val="false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  <w:rPr>
        <w:i w:val="false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i w:val="false"/>
        <w:b w:val="false"/>
        <w:szCs w:val="24"/>
        <w:iCs w:val="false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49" w:hanging="432"/>
      </w:pPr>
      <w:rPr>
        <w:sz w:val="24"/>
        <w:i w:val="false"/>
        <w:b w:val="false"/>
        <w:szCs w:val="24"/>
        <w:iCs w:val="false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i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i/>
        <w:szCs w:val="24"/>
        <w:i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false"/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false"/>
        <w:i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014f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310749"/>
    <w:pPr>
      <w:keepNext w:val="true"/>
      <w:tabs>
        <w:tab w:val="clear" w:pos="708"/>
        <w:tab w:val="left" w:pos="0" w:leader="none"/>
      </w:tabs>
      <w:spacing w:before="120" w:after="60"/>
      <w:ind w:hanging="709" w:left="709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310749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796dd1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413c84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>
    <w:name w:val="Символ нумерации"/>
    <w:qFormat/>
    <w:rPr/>
  </w:style>
  <w:style w:type="character" w:styleId="WW8Num4z0">
    <w:name w:val="WW8Num4z0"/>
    <w:qFormat/>
    <w:rPr>
      <w:b w:val="false"/>
      <w:color w:val="000000"/>
      <w:u w:val="none"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  <w:color w:val="000000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0z0">
    <w:name w:val="WW8Num10z0"/>
    <w:qFormat/>
    <w:rPr>
      <w:rFonts w:ascii="Times New Roman" w:hAnsi="Times New Roman" w:eastAsia="Calibri" w:cs="Times New Roman"/>
    </w:rPr>
  </w:style>
  <w:style w:type="character" w:styleId="Style16">
    <w:name w:val="Маркеры"/>
    <w:qFormat/>
    <w:rPr>
      <w:rFonts w:ascii="OpenSymbol" w:hAnsi="OpenSymbol" w:eastAsia="OpenSymbol" w:cs="OpenSymbol"/>
    </w:rPr>
  </w:style>
  <w:style w:type="character" w:styleId="Strong2">
    <w:name w:val="Strong2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607c5c"/>
    <w:pPr>
      <w:spacing w:before="120" w:after="0"/>
    </w:pPr>
    <w:rPr>
      <w:rFonts w:cs="Calibri" w:cstheme="minorHAnsi"/>
      <w:b w:val="false"/>
      <w:bCs w:val="false"/>
      <w:i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d06dd5"/>
    <w:pPr>
      <w:tabs>
        <w:tab w:val="clear" w:pos="708"/>
        <w:tab w:val="left" w:pos="1400" w:leader="none"/>
        <w:tab w:val="right" w:pos="9911" w:leader="dot"/>
      </w:tabs>
      <w:ind w:hanging="0" w:left="560"/>
    </w:pPr>
    <w:rPr>
      <w:rFonts w:cs="Calibri" w:cstheme="minorHAnsi"/>
      <w:sz w:val="24"/>
      <w:szCs w:val="24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07c5c"/>
    <w:pPr>
      <w:spacing w:before="120" w:after="0"/>
      <w:ind w:hanging="0" w:left="280"/>
    </w:pPr>
    <w:rPr>
      <w:rFonts w:cs="Calibri" w:cstheme="minorHAnsi"/>
      <w:b/>
      <w:bCs/>
      <w:sz w:val="22"/>
      <w:szCs w:val="22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22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07c5c"/>
    <w:pPr>
      <w:ind w:hanging="0" w:left="840"/>
    </w:pPr>
    <w:rPr>
      <w:rFonts w:cs="Calibri" w:cstheme="minorHAnsi"/>
      <w:sz w:val="24"/>
      <w:szCs w:val="24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TOC6">
    <w:name w:val="TOC 6"/>
    <w:basedOn w:val="Normal"/>
    <w:next w:val="Normal"/>
    <w:autoRedefine/>
    <w:semiHidden/>
    <w:unhideWhenUsed/>
    <w:rsid w:val="00796dd1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unhideWhenUsed/>
    <w:rsid w:val="00796dd1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unhideWhenUsed/>
    <w:rsid w:val="00796dd1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8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4">
    <w:name w:val="WW8Num4"/>
    <w:qFormat/>
  </w:style>
  <w:style w:type="numbering" w:styleId="WW8Num14">
    <w:name w:val="WW8Num14"/>
    <w:qFormat/>
  </w:style>
  <w:style w:type="numbering" w:styleId="WW8Num6">
    <w:name w:val="WW8Num6"/>
    <w:qFormat/>
  </w:style>
  <w:style w:type="numbering" w:styleId="WW8Num11">
    <w:name w:val="WW8Num11"/>
    <w:qFormat/>
  </w:style>
  <w:style w:type="numbering" w:styleId="WW8Num2">
    <w:name w:val="WW8Num2"/>
    <w:qFormat/>
  </w:style>
  <w:style w:type="numbering" w:styleId="WW8Num8">
    <w:name w:val="WW8Num8"/>
    <w:qFormat/>
  </w:style>
  <w:style w:type="numbering" w:styleId="WW8Num13">
    <w:name w:val="WW8Num13"/>
    <w:qFormat/>
  </w:style>
  <w:style w:type="numbering" w:styleId="WW8Num5">
    <w:name w:val="WW8Num5"/>
    <w:qFormat/>
  </w:style>
  <w:style w:type="numbering" w:styleId="WW8Num7">
    <w:name w:val="WW8Num7"/>
    <w:qFormat/>
  </w:style>
  <w:style w:type="numbering" w:styleId="WW8Num17">
    <w:name w:val="WW8Num17"/>
    <w:qFormat/>
  </w:style>
  <w:style w:type="numbering" w:styleId="WW8Num10">
    <w:name w:val="WW8Num10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65FFD-7E18-4C3E-BA0F-20DF46F10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9551</TotalTime>
  <Application>AlterOffice/2026.2.0.0$Linux_X86_64 LibreOffice_project/bc4ef1adf80b36c7a6365f8ed6cbf29021361edd</Application>
  <AppVersion>15.0000</AppVersion>
  <DocSecurity>4</DocSecurity>
  <Pages>9</Pages>
  <Words>928</Words>
  <Characters>6432</Characters>
  <CharactersWithSpaces>7361</CharactersWithSpaces>
  <Paragraphs>177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2024-06-18T08:05:00Z</dcterms:created>
  <dc:creator>Быстров Олег Геннадьевич</dc:creator>
  <dc:description/>
  <dc:language>ru-RU</dc:language>
  <cp:lastModifiedBy>korolevkv@corp.gidroogk.com</cp:lastModifiedBy>
  <cp:lastPrinted>2026-08-06T11:38:38Z</cp:lastPrinted>
  <dcterms:modified xsi:type="dcterms:W3CDTF">2026-10-20T15:59:01Z</dcterms:modified>
  <cp:revision>41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