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>
          <w:rFonts w:ascii="Verdana" w:hAnsi="Verdana"/>
        </w:rPr>
      </w:pPr>
      <w:r>
        <w:rPr>
          <w:rFonts w:ascii="Times New Roman" w:hAnsi="Times New Roman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229235</wp:posOffset>
                </wp:positionH>
                <wp:positionV relativeFrom="paragraph">
                  <wp:posOffset>2699385</wp:posOffset>
                </wp:positionV>
                <wp:extent cx="800100" cy="133350"/>
                <wp:effectExtent l="0" t="0" r="0" b="0"/>
                <wp:wrapNone/>
                <wp:docPr id="1" name="Врезка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28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4" path="m0,0l-2147483645,0l-2147483645,-2147483646l0,-2147483646xe" stroked="f" o:allowincell="f" style="position:absolute;margin-left:18.05pt;margin-top:212.55pt;width:6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5">
                <wp:simplePos x="0" y="0"/>
                <wp:positionH relativeFrom="column">
                  <wp:posOffset>1296670</wp:posOffset>
                </wp:positionH>
                <wp:positionV relativeFrom="paragraph">
                  <wp:posOffset>2699385</wp:posOffset>
                </wp:positionV>
                <wp:extent cx="927100" cy="133350"/>
                <wp:effectExtent l="0" t="0" r="0" b="0"/>
                <wp:wrapNone/>
                <wp:docPr id="3" name="Врезка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27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3" path="m0,0l-2147483645,0l-2147483645,-2147483646l0,-2147483646xe" stroked="f" o:allowincell="f" style="position:absolute;margin-left:102.1pt;margin-top:212.55pt;width:72.9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7">
                <wp:simplePos x="0" y="0"/>
                <wp:positionH relativeFrom="column">
                  <wp:posOffset>375920</wp:posOffset>
                </wp:positionH>
                <wp:positionV relativeFrom="paragraph">
                  <wp:posOffset>2876550</wp:posOffset>
                </wp:positionV>
                <wp:extent cx="647700" cy="133350"/>
                <wp:effectExtent l="0" t="0" r="0" b="0"/>
                <wp:wrapNone/>
                <wp:docPr id="5" name="Врезка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764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rFonts w:ascii="Verdana" w:hAnsi="Verdana"/>
                                <w:color w:val="000000"/>
                                <w:sz w:val="16"/>
                                <w:lang w:val="en-US"/>
                              </w:rPr>
                              <w:softHyphen/>
                              <w:softHyphen/>
                              <w:softHyphen/>
                              <w:softHyphen/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2" path="m0,0l-2147483645,0l-2147483645,-2147483646l0,-2147483646xe" stroked="f" o:allowincell="f" style="position:absolute;margin-left:29.6pt;margin-top:226.5pt;width:50.95pt;height:10.45pt;mso-wrap-style:square;v-text-anchor:top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rFonts w:ascii="Verdana" w:hAnsi="Verdana"/>
                          <w:color w:val="000000"/>
                          <w:sz w:val="16"/>
                          <w:lang w:val="en-US"/>
                        </w:rPr>
                        <w:softHyphen/>
                        <w:softHyphen/>
                        <w:softHyphen/>
                        <w:softHyphen/>
                      </w:r>
                    </w:p>
                  </w:txbxContent>
                </v:textbox>
                <w10:wrap type="non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9">
                <wp:simplePos x="0" y="0"/>
                <wp:positionH relativeFrom="column">
                  <wp:posOffset>1290955</wp:posOffset>
                </wp:positionH>
                <wp:positionV relativeFrom="paragraph">
                  <wp:posOffset>2876550</wp:posOffset>
                </wp:positionV>
                <wp:extent cx="828040" cy="133350"/>
                <wp:effectExtent l="0" t="0" r="0" b="0"/>
                <wp:wrapNone/>
                <wp:docPr id="7" name="Врезка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8000" cy="1332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3"/>
                              <w:rPr>
                                <w:rFonts w:ascii="Verdana" w:hAnsi="Verdana"/>
                                <w:sz w:val="16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0" rIns="0" t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Врезка1" path="m0,0l-2147483645,0l-2147483645,-2147483646l0,-2147483646xe" stroked="f" o:allowincell="f" style="position:absolute;margin-left:101.65pt;margin-top:226.5pt;width:65.15pt;height:10.45pt;mso-wrap-style:none;v-text-anchor:middle"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Style13"/>
                        <w:rPr>
                          <w:rFonts w:ascii="Verdana" w:hAnsi="Verdana"/>
                          <w:sz w:val="16"/>
                          <w:lang w:val="en-US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ЗАПРОС ТЕХНИКО-КОММЕРЧЕСКОГО ПРЕДЛОЖЕНИЯ </w:t>
      </w:r>
    </w:p>
    <w:p>
      <w:pPr>
        <w:pStyle w:val="Normal"/>
        <w:jc w:val="center"/>
        <w:rPr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в рамках </w:t>
      </w:r>
      <w:r>
        <w:rPr>
          <w:rFonts w:ascii="Times New Roman" w:hAnsi="Times New Roman"/>
          <w:b/>
          <w:bCs/>
          <w:sz w:val="24"/>
          <w:szCs w:val="24"/>
          <w:shd w:fill="auto" w:val="clear"/>
        </w:rPr>
        <w:t>нерегламентированной</w:t>
      </w:r>
      <w:r>
        <w:rPr>
          <w:rFonts w:ascii="Times New Roman" w:hAnsi="Times New Roman"/>
          <w:b/>
          <w:bCs/>
          <w:sz w:val="24"/>
          <w:szCs w:val="24"/>
        </w:rPr>
        <w:t xml:space="preserve"> закупки по лоту № 41078058-ЭКСП ПРОД-2026-ДФ </w:t>
      </w:r>
      <w:r>
        <w:rPr>
          <w:rFonts w:ascii="Times New Roman" w:hAnsi="Times New Roman"/>
          <w:b/>
          <w:bCs/>
          <w:i w:val="false"/>
          <w:caps w:val="false"/>
          <w:smallCaps w:val="false"/>
          <w:color w:val="000000"/>
          <w:spacing w:val="0"/>
          <w:sz w:val="24"/>
          <w:szCs w:val="24"/>
        </w:rPr>
        <w:t>ОКПД2 71.12.40.120 Поверка комплекса неразрушающего контроля 32 (Виброанализатор КНК-32) филиала ПАО «РусГидро»- «Дагестанский Филиал»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b w:val="false"/>
          <w:bCs w:val="false"/>
        </w:rPr>
      </w:pP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   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1. Филиал ПАО «РусГидро» - «Дагестанский филиал» (далее – Заказчик) сообщает о проведении анализа технико-коммерческих предложений потенциальных исполнителей в рамках </w:t>
      </w:r>
      <w:r>
        <w:rPr>
          <w:rFonts w:ascii="Times New Roman" w:hAnsi="Times New Roman"/>
          <w:b w:val="false"/>
          <w:bCs w:val="false"/>
          <w:sz w:val="24"/>
          <w:szCs w:val="24"/>
          <w:shd w:fill="auto" w:val="clear"/>
        </w:rPr>
        <w:t>нерегламентированной</w:t>
      </w:r>
      <w:r>
        <w:rPr>
          <w:rFonts w:ascii="Times New Roman" w:hAnsi="Times New Roman"/>
          <w:b w:val="false"/>
          <w:bCs w:val="false"/>
          <w:sz w:val="24"/>
          <w:szCs w:val="24"/>
        </w:rPr>
        <w:t xml:space="preserve"> закупки на право заключения договора по лоту № 41078058-ЭКСП ПРОД-2026-ДФ </w:t>
      </w:r>
      <w:r>
        <w:rPr>
          <w:rFonts w:ascii="Times New Roman" w:hAnsi="Times New Roman"/>
          <w:b w:val="false"/>
          <w:bCs w:val="false"/>
          <w:i w:val="false"/>
          <w:caps w:val="false"/>
          <w:smallCaps w:val="false"/>
          <w:color w:val="000000"/>
          <w:spacing w:val="0"/>
          <w:sz w:val="24"/>
          <w:szCs w:val="24"/>
        </w:rPr>
        <w:t>ОКПД2 71.12.40.120 Поверка комплекса неразрушающего контроля 32 (Виброанализатор КНК-32) филиала ПАО «РусГидро»- «Дагестанский Филиал»</w:t>
      </w:r>
      <w:r>
        <w:rPr>
          <w:rFonts w:ascii="Times New Roman" w:hAnsi="Times New Roman"/>
          <w:b w:val="false"/>
          <w:bCs w:val="false"/>
          <w:sz w:val="24"/>
          <w:szCs w:val="24"/>
        </w:rPr>
        <w:t>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eastAsia="Geneva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Подробные</w:t>
      </w:r>
      <w:r>
        <w:rPr>
          <w:rFonts w:ascii="Times New Roman" w:hAnsi="Times New Roman"/>
          <w:sz w:val="24"/>
          <w:szCs w:val="24"/>
        </w:rPr>
        <w:t xml:space="preserve"> требования к оказанию услуг (в том числе, сведения об объеме, месте, сроках оказания услуг) приведены в приложении №1 к настоящему запросу; существенные условия будущего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jc w:val="both"/>
        <w:rPr/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3. </w:t>
      </w:r>
      <w:r>
        <w:rPr>
          <w:rFonts w:eastAsia="Geneva" w:cs="Times New Roman" w:ascii="Times New Roman" w:hAnsi="Times New Roman"/>
          <w:color w:val="auto"/>
          <w:kern w:val="0"/>
          <w:sz w:val="24"/>
          <w:szCs w:val="24"/>
          <w:lang w:val="ru-RU" w:eastAsia="en-US" w:bidi="ar-SA"/>
        </w:rPr>
        <w:t>Единственным</w:t>
      </w:r>
      <w:r>
        <w:rPr>
          <w:rFonts w:ascii="Times New Roman" w:hAnsi="Times New Roman"/>
          <w:sz w:val="24"/>
          <w:szCs w:val="24"/>
        </w:rPr>
        <w:t xml:space="preserve">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4. 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5. Ответ с технико-коммерческим предложением должен быть оформлен на официальном бланке Исполнителя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дату направления предложения;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полное наименование Исполнителя, с указанием организационно-правовой формы (для юридических лиц);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юридический адрес, почтовый адрес, ИНН;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контактные данные: номер телефона, e-mail, ФИО контактного лица;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гарантии наличия у Исполнителя 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информацию / документы, подтверждающие соответствие Исполнителя установленным дополнительным требованиям, указанным в приложении 1 к настоящему запросу;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подробное описание предлагаемой к поставке продукции с указанием конкретных технических и функциональных характеристик, подтверждающее соответствие установленным требованиям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сроки оказания услуг в соответствии с установленными требованиями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согласие Исполнителя на существенные условия будущего договора, в том числе условия оплаты и поставки (см. приложение 2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сроки и условия гарантийных обязательств в соответствии с установленными требованиями (см. приложение 1 к настоящему запросу);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>цену предложения в рублях (без учета НДС и с учетом НДС).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6. Срок подачи технико-коммерческих предложений: до 12:00 12.10.2026 г. 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>7. Предложения должны быть представлены в виде сканированной электронной копии в адрес ответственного лица: Электронная (торговая) площадка: АО «Российский аукционный дом» https://tender.lot-online.ru.</w:t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Приложения: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1. Технические требования;</w:t>
      </w:r>
    </w:p>
    <w:p>
      <w:pPr>
        <w:pStyle w:val="Normal"/>
        <w:jc w:val="both"/>
        <w:rPr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>2. Проект типового договора.</w:t>
      </w:r>
    </w:p>
    <w:sectPr>
      <w:headerReference w:type="even" r:id="rId2"/>
      <w:headerReference w:type="default" r:id="rId3"/>
      <w:type w:val="nextPage"/>
      <w:pgSz w:w="11906" w:h="16838"/>
      <w:pgMar w:left="1701" w:right="1134" w:gutter="0" w:header="964" w:top="1276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mbria">
    <w:charset w:val="01"/>
    <w:family w:val="roman"/>
    <w:pitch w:val="variable"/>
  </w:font>
  <w:font w:name="Geneva CY">
    <w:charset w:val="01"/>
    <w:family w:val="roman"/>
    <w:pitch w:val="variable"/>
  </w:font>
  <w:font w:name="PT Sans">
    <w:charset w:val="01"/>
    <w:family w:val="swiss"/>
    <w:pitch w:val="variable"/>
  </w:font>
  <w:font w:name="Lucida Grande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Verdan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9" name="Врезка6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6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8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MS Mincho" w:cs="Times New Roman"/>
        <w:lang w:val="en-US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d002ca"/>
    <w:pPr>
      <w:widowControl/>
      <w:suppressAutoHyphens w:val="true"/>
      <w:bidi w:val="0"/>
      <w:spacing w:before="0" w:after="0"/>
      <w:jc w:val="left"/>
    </w:pPr>
    <w:rPr>
      <w:rFonts w:ascii="Geneva CY" w:hAnsi="Geneva CY" w:eastAsia="Geneva" w:cs="Times New Roman"/>
      <w:color w:val="auto"/>
      <w:kern w:val="0"/>
      <w:sz w:val="24"/>
      <w:szCs w:val="20"/>
      <w:lang w:val="ru-RU" w:eastAsia="en-US" w:bidi="ar-SA"/>
    </w:rPr>
  </w:style>
  <w:style w:type="paragraph" w:styleId="Heading2">
    <w:name w:val="Heading 2"/>
    <w:basedOn w:val="Style10"/>
    <w:next w:val="BodyText"/>
    <w:qFormat/>
    <w:pPr>
      <w:spacing w:before="200" w:after="120"/>
      <w:outlineLvl w:val="1"/>
    </w:pPr>
    <w:rPr>
      <w:rFonts w:ascii="PT Sans" w:hAnsi="PT Sans" w:eastAsia="Tahoma" w:cs="Tahoma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 w:customStyle="1">
    <w:name w:val="Верхний колонтитул Знак"/>
    <w:qFormat/>
    <w:rsid w:val="00d002ca"/>
    <w:rPr>
      <w:rFonts w:ascii="Geneva CY" w:hAnsi="Geneva CY" w:eastAsia="Geneva" w:cs="Times New Roman"/>
      <w:szCs w:val="20"/>
      <w:lang w:val="ru-RU" w:eastAsia="en-US"/>
    </w:rPr>
  </w:style>
  <w:style w:type="character" w:styleId="Pagenumber">
    <w:name w:val="page number"/>
    <w:basedOn w:val="DefaultParagraphFont"/>
    <w:qFormat/>
    <w:rsid w:val="00d002ca"/>
    <w:rPr/>
  </w:style>
  <w:style w:type="character" w:styleId="Style9" w:customStyle="1">
    <w:name w:val="Текст выноски Знак"/>
    <w:link w:val="BalloonText"/>
    <w:uiPriority w:val="99"/>
    <w:semiHidden/>
    <w:qFormat/>
    <w:rsid w:val="00d002ca"/>
    <w:rPr>
      <w:rFonts w:ascii="Lucida Grande" w:hAnsi="Lucida Grande" w:eastAsia="Geneva" w:cs="Times New Roman"/>
      <w:sz w:val="18"/>
      <w:szCs w:val="18"/>
      <w:lang w:val="ru-RU" w:eastAsia="en-US"/>
    </w:rPr>
  </w:style>
  <w:style w:type="paragraph" w:styleId="Style10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1">
    <w:name w:val="Указатель"/>
    <w:basedOn w:val="Normal"/>
    <w:qFormat/>
    <w:pPr>
      <w:suppressLineNumbers/>
    </w:pPr>
    <w:rPr>
      <w:rFonts w:cs="Arial Unicode MS"/>
    </w:rPr>
  </w:style>
  <w:style w:type="paragraph" w:styleId="Style12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rsid w:val="00d002ca"/>
    <w:pPr>
      <w:tabs>
        <w:tab w:val="clear" w:pos="708"/>
        <w:tab w:val="center" w:pos="4320" w:leader="none"/>
        <w:tab w:val="right" w:pos="8640" w:leader="none"/>
      </w:tabs>
    </w:pPr>
    <w:rPr/>
  </w:style>
  <w:style w:type="paragraph" w:styleId="BalloonText">
    <w:name w:val="Balloon Text"/>
    <w:basedOn w:val="Normal"/>
    <w:link w:val="Style9"/>
    <w:uiPriority w:val="99"/>
    <w:semiHidden/>
    <w:unhideWhenUsed/>
    <w:qFormat/>
    <w:rsid w:val="00d002ca"/>
    <w:pPr/>
    <w:rPr>
      <w:rFonts w:ascii="Lucida Grande" w:hAnsi="Lucida Grande"/>
      <w:sz w:val="18"/>
      <w:szCs w:val="18"/>
    </w:rPr>
  </w:style>
  <w:style w:type="paragraph" w:styleId="Style13">
    <w:name w:val="Содержимое врезки"/>
    <w:basedOn w:val="Normal"/>
    <w:qFormat/>
    <w:pPr/>
    <w:rPr/>
  </w:style>
  <w:style w:type="paragraph" w:styleId="Style14">
    <w:name w:val="Содержимое таблицы"/>
    <w:basedOn w:val="Normal"/>
    <w:qFormat/>
    <w:pPr>
      <w:widowControl w:val="false"/>
      <w:suppressLineNumbers/>
    </w:pPr>
    <w:rPr/>
  </w:style>
  <w:style w:type="paragraph" w:styleId="Style15">
    <w:name w:val="Заголовок таблицы"/>
    <w:basedOn w:val="Style14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Application>AlterOffice/2026.2.0.0$Linux_X86_64 LibreOffice_project/bc4ef1adf80b36c7a6365f8ed6cbf29021361edd</Application>
  <AppVersion>15.0000</AppVersion>
  <Pages>2</Pages>
  <Words>436</Words>
  <Characters>3119</Characters>
  <CharactersWithSpaces>3562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2025-08-27T09:58:00Z</dcterms:created>
  <dc:creator>Andrey Zhurin</dc:creator>
  <dc:description/>
  <dc:language>ru-RU</dc:language>
  <cp:lastModifiedBy>magomedovsua@corp.gidroogk.com</cp:lastModifiedBy>
  <cp:lastPrinted>2019-05-31T06:24:00Z</cp:lastPrinted>
  <dcterms:modified xsi:type="dcterms:W3CDTF">2026-10-05T16:11:08Z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