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ind w:firstLine="851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Heading1"/>
        <w:widowControl w:val="false"/>
        <w:numPr>
          <w:ilvl w:val="0"/>
        </w:numPr>
        <w:spacing w:lineRule="auto" w:line="264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eastAsia="ru-RU"/>
        </w:rPr>
        <w:t>ОКПД 2: 26.51.44.000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shd w:fill="auto" w:val="clear"/>
          <w:lang w:eastAsia="ru-RU"/>
        </w:rPr>
        <w:t xml:space="preserve"> Поставка коммуникационного оборудования </w:t>
      </w:r>
      <w:r>
        <w:rPr>
          <w:rFonts w:eastAsia="Calibri" w:cs="Times New Roman"/>
          <w:b w:val="false"/>
          <w:bCs w:val="false"/>
          <w:color w:val="000000"/>
          <w:sz w:val="28"/>
          <w:szCs w:val="28"/>
          <w:u w:val="none"/>
          <w:shd w:fill="auto" w:val="clear"/>
          <w:lang w:eastAsia="ru-RU"/>
        </w:rPr>
        <w:t>для нужд Кубанского филиала.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ar-SA"/>
        </w:rPr>
        <w:t>ЛОТ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ar-SA" w:bidi="ar-SA"/>
        </w:rPr>
        <w:t xml:space="preserve"> № </w:t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widowControl w:val="false"/>
            <w:numPr>
              <w:ilvl w:val="0"/>
              <w:numId w:val="0"/>
            </w:numPr>
            <w:shd w:fill="FFFFFF" w:val="clear"/>
            <w:spacing w:lineRule="auto" w:line="264"/>
            <w:ind w:firstLine="851" w:left="0"/>
            <w:jc w:val="center"/>
            <w:outlineLvl w:val="1"/>
            <w:rPr>
              <w:rFonts w:ascii="Times New Roman" w:hAnsi="Times New Roman"/>
              <w:sz w:val="24"/>
              <w:szCs w:val="24"/>
            </w:rPr>
          </w:pPr>
          <w:r>
            <w:fldChar w:fldCharType="begin"/>
          </w:r>
          <w:r>
            <w:rPr>
              <w:sz w:val="24"/>
              <w:b/>
              <w:szCs w:val="24"/>
              <w:bCs/>
              <w:rFonts w:eastAsia="Times New Roman" w:ascii="Times New Roman" w:hAnsi="Times New Roman"/>
              <w:lang w:eastAsia="ar-SA"/>
            </w:rPr>
            <w:instrText xml:space="preserve"> TOC \o "1-3" \h</w:instrText>
          </w:r>
          <w:r>
            <w:rPr>
              <w:sz w:val="24"/>
              <w:b/>
              <w:szCs w:val="24"/>
              <w:bCs/>
              <w:rFonts w:eastAsia="Times New Roman" w:ascii="Times New Roman" w:hAnsi="Times New Roman"/>
              <w:lang w:eastAsia="ar-SA"/>
            </w:rPr>
            <w:fldChar w:fldCharType="separate"/>
          </w:r>
          <w:bookmarkStart w:id="0" w:name="_Toc125476049"/>
          <w:r>
            <w:rPr>
              <w:rFonts w:eastAsia="Times New Roman" w:ascii="Times New Roman" w:hAnsi="Times New Roman"/>
              <w:b/>
              <w:bCs/>
              <w:sz w:val="24"/>
              <w:szCs w:val="24"/>
              <w:lang w:eastAsia="ar-SA"/>
            </w:rPr>
            <w:t>СОДЕРЖАНИЕ</w:t>
          </w:r>
          <w:bookmarkEnd w:id="0"/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1.Общие сведения</w:t>
            <w:tab/>
            <w:t>3</w:t>
          </w:r>
        </w:p>
        <w:p>
          <w:pPr>
            <w:pStyle w:val="TOC2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1.1.</w:t>
            <w:tab/>
            <w:t>Наименование закупаемой продукции.</w:t>
            <w:tab/>
            <w:t>3</w:t>
          </w:r>
        </w:p>
        <w:p>
          <w:pPr>
            <w:pStyle w:val="TOC2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1.2.</w:t>
            <w:tab/>
            <w:t>Цель использования закупаемой продукции.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2.Требования к продукции.</w:t>
            <w:tab/>
            <w:t>3</w:t>
          </w:r>
        </w:p>
        <w:p>
          <w:pPr>
            <w:pStyle w:val="TOC3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2.1.1</w:t>
            <w:tab/>
            <w:t>Перечень и объем закупаемой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1.1 Перечень и объем закупаемой продукции</w:t>
            <w:tab/>
            <w:t>3</w:t>
          </w:r>
        </w:p>
        <w:p>
          <w:pPr>
            <w:pStyle w:val="TOC3"/>
            <w:shd w:val="clear" w:color="auto" w:fill="FFFFFF"/>
            <w:spacing w:lineRule="auto" w:line="276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color w:val="000000"/>
              <w:sz w:val="24"/>
              <w:szCs w:val="24"/>
              <w:shd w:fill="FFFFFF" w:val="clear"/>
            </w:rPr>
            <w:t>2.1.2</w:t>
            <w:tab/>
            <w:t>Требования к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2.1 Требования по срокам поставки продукции</w:t>
            <w:tab/>
            <w:t>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2.2 Требование к качеству продукции…………………………………………………………..………3</w:t>
          </w:r>
        </w:p>
        <w:p>
          <w:pPr>
            <w:pStyle w:val="TOC1"/>
            <w:spacing w:lineRule="auto" w:line="276"/>
            <w:rPr>
              <w:b w:val="false"/>
              <w:sz w:val="24"/>
              <w:szCs w:val="24"/>
            </w:rPr>
          </w:pPr>
          <w:r>
            <w:rPr>
              <w:b w:val="false"/>
              <w:color w:val="000000"/>
              <w:sz w:val="24"/>
              <w:szCs w:val="24"/>
              <w:shd w:fill="FFFFFF" w:val="clear"/>
            </w:rPr>
            <w:t>Таблица 3. Требования к продукции</w:t>
            <w:tab/>
            <w:t>3</w:t>
          </w:r>
          <w:r>
            <w:rPr>
              <w:sz w:val="24"/>
              <w:b w:val="false"/>
              <w:shd w:fill="FFFFFF" w:val="clear"/>
              <w:szCs w:val="24"/>
              <w:color w:val="000000"/>
            </w:rPr>
            <w:fldChar w:fldCharType="end"/>
          </w:r>
        </w:p>
      </w:sdtContent>
    </w:sdt>
    <w:p>
      <w:pPr>
        <w:pStyle w:val="TOC1"/>
        <w:spacing w:lineRule="auto" w:line="276"/>
        <w:rPr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TOC1"/>
        <w:rPr>
          <w:lang w:eastAsia="ar-SA"/>
        </w:rPr>
      </w:pPr>
      <w:r>
        <w:rPr>
          <w:lang w:eastAsia="ar-SA"/>
        </w:rPr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r>
        <w:br w:type="page"/>
      </w:r>
    </w:p>
    <w:p>
      <w:pPr>
        <w:pStyle w:val="Heading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1" w:name="_Toc125476050"/>
      <w:bookmarkStart w:id="2" w:name="_Toc125473240"/>
      <w:bookmarkStart w:id="3" w:name="_Toc51339692"/>
      <w:bookmarkStart w:id="4" w:name="_Toc75446566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FFFFFF" w:val="clear"/>
          <w:lang w:val="ru-RU" w:eastAsia="ru-RU" w:bidi="ar-SA"/>
        </w:rPr>
        <w:t>ОКПД 2: 26.51.44.000 Поставка коммуникационного оборудования для нужд Кубанского филиала (д</w:t>
      </w:r>
      <w:r>
        <w:rPr>
          <w:rFonts w:cs="Times New Roman" w:ascii="Times New Roman" w:hAnsi="Times New Roman"/>
          <w:sz w:val="24"/>
          <w:szCs w:val="24"/>
        </w:rPr>
        <w:t>алее продукция).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/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Исполнение обязательств по договору подряда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и АО «Гидроремонт-ВКК».</w:t>
      </w:r>
      <w:bookmarkStart w:id="9" w:name="_Toc125476056"/>
      <w:bookmarkStart w:id="10" w:name="_Toc125473249"/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1" w:name="_Toc51339693"/>
      <w:bookmarkStart w:id="12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bookmarkStart w:id="13" w:name="_Toc75446574"/>
      <w:r>
        <w:rPr>
          <w:b w:val="false"/>
          <w:bCs w:val="false"/>
        </w:rPr>
        <w:t xml:space="preserve"> </w:t>
      </w:r>
      <w:r>
        <w:rPr>
          <w:bCs w:val="false"/>
        </w:rPr>
        <w:t>Требования к объемам и срокам постав</w:t>
      </w:r>
      <w:r>
        <w:rPr/>
        <w:t>ки</w:t>
      </w:r>
      <w:bookmarkEnd w:id="13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bookmarkStart w:id="14" w:name="_Toc125476057"/>
      <w:bookmarkStart w:id="15" w:name="_Toc125473250"/>
      <w:bookmarkStart w:id="16" w:name="_Toc75446575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7" w:name="_Toc125476058"/>
      <w:bookmarkStart w:id="18" w:name="_Toc125473251"/>
      <w:bookmarkStart w:id="19" w:name="_Toc75446576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107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21"/>
        <w:gridCol w:w="6478"/>
        <w:gridCol w:w="1350"/>
        <w:gridCol w:w="1557"/>
      </w:tblGrid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suppressLineNumbers/>
              <w:suppressAutoHyphens w:val="true"/>
              <w:overflowPunct w:val="false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Ethernet-коммутатор MES3500I-08P, 8 портов, в комплекте: Продление гарантийного обслуживания ,</w:t>
            </w:r>
            <w:r>
              <w:rPr>
                <w:rFonts w:eastAsia="Calibri" w:cs="Tahoma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MES3500I-08P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overflowPunct w:val="false"/>
              <w:bidi w:val="0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Модуль SM 2 волокна 2км, LC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00" w:val="clear"/>
              </w:rPr>
            </w:r>
          </w:p>
        </w:tc>
        <w:tc>
          <w:tcPr>
            <w:tcW w:w="6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Ethernet-коммутатор MES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2324P</w:t>
            </w:r>
            <w:r>
              <w:rPr>
                <w:rFonts w:ascii="Times New Roman" w:hAnsi="Times New Roman"/>
                <w:sz w:val="24"/>
                <w:szCs w:val="24"/>
              </w:rPr>
              <w:t>, 24 порт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а, в комплекте: Продление гарантийного обслуживания, MES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2324P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FH-SP551TCDL40, 40 км SFP+ 10G модуль, 2 волокна,1310 nm, LC, DDM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Ethernet-коммутатор MES3710P, 8 портов, в комплекте: Продление гарантийного обслуживания ,MES3710P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1" w:name="_Toc75446579"/>
      <w:bookmarkStart w:id="22" w:name="_Toc125473253"/>
      <w:bookmarkStart w:id="23" w:name="_Toc125476060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140" w:type="dxa"/>
        <w:jc w:val="left"/>
        <w:tblInd w:w="9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 w:noHBand="0" w:noVBand="0" w:firstColumn="0" w:lastRow="0" w:lastColumn="0" w:firstRow="0"/>
      </w:tblPr>
      <w:tblGrid>
        <w:gridCol w:w="765"/>
        <w:gridCol w:w="3195"/>
        <w:gridCol w:w="3007"/>
        <w:gridCol w:w="3172"/>
      </w:tblGrid>
      <w:tr>
        <w:trPr/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партии продукции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1348" w:hRule="atLeast"/>
        </w:trPr>
        <w:tc>
          <w:tcPr>
            <w:tcW w:w="7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195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ОКПД 2: 26.51.44.000 Поставка коммуникационного оборудования для нужд Кубанского филиала</w:t>
            </w:r>
          </w:p>
        </w:tc>
        <w:tc>
          <w:tcPr>
            <w:tcW w:w="30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r>
        <w:rPr/>
        <w:t xml:space="preserve"> </w:t>
      </w:r>
      <w:bookmarkStart w:id="27" w:name="_Toc125476061"/>
      <w:bookmarkStart w:id="28" w:name="_Toc125473255"/>
      <w:r>
        <w:rPr/>
        <w:t>Требования к качеству продук</w:t>
      </w:r>
      <w:bookmarkEnd w:id="27"/>
      <w:bookmarkEnd w:id="28"/>
      <w:r>
        <w:rPr/>
        <w:t>ции</w:t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29" w:name="_Toc125473256"/>
      <w:bookmarkStart w:id="30" w:name="_Toc125476062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31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lang w:eastAsia="ar-SA"/>
        </w:rPr>
        <w:t xml:space="preserve">согласно Таблицы 1.1 </w:t>
      </w:r>
      <w:bookmarkEnd w:id="31"/>
      <w:r>
        <w:rPr>
          <w:rFonts w:eastAsia="Times New Roman" w:cs="Times New Roman" w:ascii="Times New Roman" w:hAnsi="Times New Roman"/>
          <w:bCs/>
          <w:i w:val="false"/>
          <w:iCs w:val="false"/>
          <w:sz w:val="24"/>
          <w:szCs w:val="24"/>
          <w:lang w:eastAsia="ar-SA"/>
        </w:rPr>
        <w:t>«</w:t>
      </w:r>
      <w:r>
        <w:rPr>
          <w:rFonts w:eastAsia="Times New Roman" w:cs="Times New Roman" w:ascii="Times New Roman" w:hAnsi="Times New Roman"/>
          <w:bCs/>
          <w:i w:val="false"/>
          <w:iCs w:val="false"/>
          <w:color w:val="000000"/>
          <w:kern w:val="0"/>
          <w:sz w:val="24"/>
          <w:szCs w:val="24"/>
          <w:shd w:fill="FFFFFF" w:val="clear"/>
          <w:lang w:val="ru-RU" w:eastAsia="ru-RU" w:bidi="ar-SA"/>
        </w:rPr>
        <w:t>ОКПД 2: 26.51.44.000 Поставка коммуникационного оборудования для нужд Кубанского филиала»</w:t>
      </w:r>
    </w:p>
    <w:tbl>
      <w:tblPr>
        <w:tblW w:w="10092" w:type="dxa"/>
        <w:jc w:val="left"/>
        <w:tblInd w:w="4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val="0000" w:noHBand="0" w:noVBand="0" w:firstColumn="0" w:lastRow="0" w:lastColumn="0" w:firstRow="0"/>
      </w:tblPr>
      <w:tblGrid>
        <w:gridCol w:w="710"/>
        <w:gridCol w:w="4612"/>
        <w:gridCol w:w="4770"/>
      </w:tblGrid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 продукции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>
        <w:trPr>
          <w:trHeight w:val="658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ind w:hanging="0" w:left="-11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Ethernet-коммутатор   </w:t>
            </w:r>
            <w:r>
              <w:rPr>
                <w:rFonts w:eastAsia="Calibri" w:cs="Tahoma" w:ascii="Times New Roman" w:hAnsi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MES3500I-08P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портов,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Пропускная способность, Гбит/с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Объём буферной памяти, МБ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10/100/1000BASE-T PoE/PoE+ (RJ-45),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10/100/1000BASE-T/1000BASE-X,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Консольный порт RS-232 (RJ-45),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182" w:hRule="atLeast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461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Рабочая температура окружающей среды, °С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-40</w:t>
            </w:r>
          </w:p>
        </w:tc>
      </w:tr>
      <w:tr>
        <w:trPr>
          <w:trHeight w:val="182" w:hRule="atLeast"/>
        </w:trPr>
        <w:tc>
          <w:tcPr>
            <w:tcW w:w="71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6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+70</w:t>
            </w:r>
          </w:p>
        </w:tc>
      </w:tr>
      <w:tr>
        <w:trPr>
          <w:trHeight w:val="182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1.1.8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Продление гарантийного обслуживания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EW-MES3500I-08P3Y</w:t>
            </w:r>
          </w:p>
        </w:tc>
      </w:tr>
      <w:tr>
        <w:trPr>
          <w:trHeight w:val="451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SFP 1.25 GE модуль 20 км</w:t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spacing w:before="120" w:after="60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FH-S3112CDL2S</w:t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 разъемов,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Расстояние передачи данных, м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2000</w:t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1.2.4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Рабочая длина волны, </w:t>
            </w:r>
            <w:hyperlink r:id="rId2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нм</w:t>
              </w:r>
            </w:hyperlink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1310</w:t>
              </w:r>
            </w:hyperlink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1.2.5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волокна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/>
            </w:pPr>
            <w:r>
              <w:rPr>
                <w:rStyle w:val="Hyperlink"/>
                <w:rFonts w:ascii="Times New Roman" w:hAnsi="Times New Roman"/>
                <w:color w:val="000000"/>
                <w:sz w:val="24"/>
                <w:szCs w:val="24"/>
                <w:u w:val="none"/>
              </w:rPr>
              <w:t>9/125</w:t>
            </w:r>
          </w:p>
        </w:tc>
      </w:tr>
      <w:tr>
        <w:trPr>
          <w:trHeight w:val="393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Ethernet-коммутатор </w:t>
            </w:r>
            <w:r>
              <w:rPr>
                <w:rFonts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MES2324P</w:t>
            </w:r>
          </w:p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портов,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Пропускная способность, Гбит/с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Объём буферной памяти, МБ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1.3.4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10/100/1000BASE-T PoE/PoE+ (RJ-45),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1.3.5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Интерфейс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1000BASE-X (SFP) / 10GBASE-R (SFP+),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515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1.3.6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Консольный порт RS-232 (RJ-45),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389" w:hRule="atLeast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1.3.7</w:t>
            </w:r>
          </w:p>
        </w:tc>
        <w:tc>
          <w:tcPr>
            <w:tcW w:w="461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Рабочая температура окружающей среды, °С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-00</w:t>
            </w:r>
          </w:p>
        </w:tc>
      </w:tr>
      <w:tr>
        <w:trPr>
          <w:trHeight w:val="424" w:hRule="atLeast"/>
        </w:trPr>
        <w:tc>
          <w:tcPr>
            <w:tcW w:w="71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6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+50</w:t>
            </w:r>
          </w:p>
        </w:tc>
      </w:tr>
      <w:tr>
        <w:trPr>
          <w:trHeight w:val="424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1.3.8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Продление гарантийного обслуживания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EW-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MES2324P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-3Y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FH-SP551TCDL40, 40 км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модуль SFP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Кол-во разъемов,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1.4.2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Расстояние передачи данных, м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40000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1.4.3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Рабочая длина волны, </w:t>
            </w:r>
            <w:hyperlink r:id="rId4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нм</w:t>
              </w:r>
            </w:hyperlink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/>
            </w:pPr>
            <w:hyperlink r:id="rId5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1310</w:t>
              </w:r>
            </w:hyperlink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1.4.4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волокна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/>
              <w:rPr/>
            </w:pPr>
            <w:hyperlink r:id="rId6">
              <w:r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одномодовое</w:t>
              </w:r>
            </w:hyperlink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1.5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Ethernet-коммутатор MES3710P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Количество портов,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Пропускная способность, Гбит/с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24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1.5.3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Объём буферной памяти, МБ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1.5.4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Интерфейс 10/100/1000BASE-T PoE/PoE+ (RJ-45),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1.5.5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Интерфейс 1000BASE-X/100BASE-FX (SFP),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1.5.6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Консольный порт RS-232 (RJ-45), шт.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128" w:hRule="atLeast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1.5.7</w:t>
            </w:r>
          </w:p>
        </w:tc>
        <w:tc>
          <w:tcPr>
            <w:tcW w:w="461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Рабочая температура окружающей среды, °С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 менее -40</w:t>
            </w:r>
          </w:p>
        </w:tc>
      </w:tr>
      <w:tr>
        <w:trPr>
          <w:trHeight w:val="128" w:hRule="atLeast"/>
        </w:trPr>
        <w:tc>
          <w:tcPr>
            <w:tcW w:w="71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46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Не более +70</w:t>
            </w:r>
          </w:p>
        </w:tc>
      </w:tr>
      <w:tr>
        <w:trPr>
          <w:trHeight w:val="2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1.5.8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 w:eastAsia="Calibri" w:cs="Tahoma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Продление гарантийного обслуживания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EW-MES3710P-3Y</w:t>
            </w:r>
          </w:p>
        </w:tc>
      </w:tr>
      <w:tr>
        <w:trPr>
          <w:trHeight w:val="268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Гарантия, не менее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36 (тридцать шесть) месяцев, исчисляемый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22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Технический паспорт на русском языке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экземпляра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страны происхождения (РФ)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экземпляра</w:t>
            </w:r>
          </w:p>
        </w:tc>
      </w:tr>
      <w:tr>
        <w:trPr>
          <w:trHeight w:val="557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lineRule="auto" w:line="252" w:before="0" w:after="12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Упаковочный лист на продукцию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экземпляра</w:t>
            </w:r>
          </w:p>
        </w:tc>
      </w:tr>
      <w:tr>
        <w:trPr>
          <w:trHeight w:val="492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иные документы предусмотренные п 3.3 договора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 экземпляра</w:t>
            </w:r>
          </w:p>
        </w:tc>
      </w:tr>
      <w:tr>
        <w:trPr>
          <w:trHeight w:val="743" w:hRule="atLeast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61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numPr>
                <w:ilvl w:val="1"/>
              </w:numPr>
              <w:shd w:val="clear" w:fill="FFFFFF"/>
              <w:tabs>
                <w:tab w:val="clear" w:pos="708"/>
                <w:tab w:val="left" w:pos="142" w:leader="none"/>
                <w:tab w:val="left" w:pos="540" w:leader="none"/>
              </w:tabs>
              <w:spacing w:before="0" w:after="0"/>
              <w:ind w:hanging="0" w:left="0" w:right="0"/>
              <w:contextualSpacing w:val="false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 за счет средств Поставщика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93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ListParagraph"/>
              <w:widowControl w:val="false"/>
              <w:spacing w:lineRule="auto" w:line="259" w:before="0" w:after="200"/>
              <w:ind w:hanging="0" w:lef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120" w:after="0"/>
        <w:ind w:hanging="0" w:left="360"/>
        <w:contextualSpacing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erReference w:type="default" r:id="rId7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uiPriority w:val="9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uiPriority w:val="9"/>
    <w:unhideWhenUsed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12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2"/>
    <w:qFormat/>
    <w:pPr/>
    <w:rPr/>
  </w:style>
  <w:style w:type="paragraph" w:styleId="Style18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shd w:val="clear" w:color="auto" w:fill="FFFFFF"/>
      <w:tabs>
        <w:tab w:val="clear" w:pos="708"/>
        <w:tab w:val="right" w:pos="10138" w:leader="dot"/>
      </w:tabs>
      <w:spacing w:before="0" w:after="100"/>
    </w:pPr>
    <w:rPr>
      <w:rFonts w:ascii="Times New Roman" w:hAnsi="Times New Roman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26903232511" w:customStyle="1">
    <w:name w:val="26903232511"/>
    <w:qFormat/>
  </w:style>
  <w:style w:type="numbering" w:styleId="41329559151" w:customStyle="1">
    <w:name w:val="41329559151"/>
    <w:qFormat/>
  </w:style>
  <w:style w:type="numbering" w:styleId="31324246261" w:customStyle="1">
    <w:name w:val="31324246261"/>
    <w:qFormat/>
  </w:style>
  <w:style w:type="numbering" w:styleId="12336706201" w:customStyle="1">
    <w:name w:val="12336706201"/>
    <w:qFormat/>
  </w:style>
  <w:style w:type="numbering" w:styleId="32447707911" w:customStyle="1">
    <w:name w:val="32447707911"/>
    <w:qFormat/>
  </w:style>
  <w:style w:type="numbering" w:styleId="1249537341" w:customStyle="1">
    <w:name w:val="124953734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vseinstrumenti.ru/tag-page/sfp-moduli-1310-nm-1689085/" TargetMode="External"/><Relationship Id="rId3" Type="http://schemas.openxmlformats.org/officeDocument/2006/relationships/hyperlink" Target="https://www.vseinstrumenti.ru/tag-page/sfp-moduli-1310-nm-1689085/" TargetMode="External"/><Relationship Id="rId4" Type="http://schemas.openxmlformats.org/officeDocument/2006/relationships/hyperlink" Target="https://www.vseinstrumenti.ru/tag-page/sfp-moduli-1310-nm-1689085/" TargetMode="External"/><Relationship Id="rId5" Type="http://schemas.openxmlformats.org/officeDocument/2006/relationships/hyperlink" Target="https://www.vseinstrumenti.ru/tag-page/sfp-moduli-1310-nm-1689085/" TargetMode="External"/><Relationship Id="rId6" Type="http://schemas.openxmlformats.org/officeDocument/2006/relationships/hyperlink" Target="https://www.vseinstrumenti.ru/tag-page/sfp-moduli-tip-volokna-odnomodovoe-1689109/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923B0-26DE-4481-8CBB-028F7448E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1383</TotalTime>
  <Application>AlterOffice/2026.2.0.0$Linux_X86_64 LibreOffice_project/bc4ef1adf80b36c7a6365f8ed6cbf29021361edd</Application>
  <AppVersion>15.0000</AppVersion>
  <Pages>5</Pages>
  <Words>758</Words>
  <Characters>5005</Characters>
  <CharactersWithSpaces>5548</CharactersWithSpaces>
  <Paragraphs>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2024-05-02T12:37:00Z</dcterms:created>
  <dc:creator>Катков Олег Валерьевич</dc:creator>
  <dc:description/>
  <dc:language>ru-RU</dc:language>
  <cp:lastModifiedBy>petrovaov@corp.gidroogk.com</cp:lastModifiedBy>
  <cp:lastPrinted>2023-12-12T08:29:00Z</cp:lastPrinted>
  <dcterms:modified xsi:type="dcterms:W3CDTF">2026-10-19T15:05:30Z</dcterms:modified>
  <cp:revision>118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