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0" w:after="0"/>
        <w:rPr>
          <w:color w:val="000000" w:themeColor="text1"/>
          <w:highlight w:val="none"/>
          <w:shd w:fill="auto" w:val="clear"/>
        </w:rPr>
      </w:pPr>
      <w:r>
        <w:rPr>
          <w:color w:val="000000" w:themeColor="text1"/>
          <w:shd w:fill="auto" w:val="clear"/>
        </w:rPr>
      </w:r>
    </w:p>
    <w:p>
      <w:pPr>
        <w:pStyle w:val="Style25"/>
        <w:widowControl w:val="false"/>
        <w:suppressAutoHyphens w:val="true"/>
        <w:spacing w:before="0" w:after="0"/>
        <w:contextualSpacing/>
        <w:jc w:val="center"/>
        <w:rPr>
          <w:b/>
          <w:bCs/>
          <w:color w:val="000000" w:themeColor="text1"/>
          <w:sz w:val="26"/>
          <w:szCs w:val="26"/>
          <w:highlight w:val="none"/>
          <w:shd w:fill="auto" w:val="clear"/>
        </w:rPr>
      </w:pPr>
      <w:r>
        <w:rPr>
          <w:b/>
          <w:bCs/>
          <w:color w:val="000000" w:themeColor="text1"/>
          <w:sz w:val="26"/>
          <w:szCs w:val="26"/>
          <w:shd w:fill="auto" w:val="clear"/>
        </w:rPr>
      </w:r>
    </w:p>
    <w:p>
      <w:pPr>
        <w:pStyle w:val="Style25"/>
        <w:widowControl w:val="false"/>
        <w:suppressAutoHyphens w:val="true"/>
        <w:spacing w:before="0" w:after="0"/>
        <w:ind w:left="0" w:hanging="0"/>
        <w:contextualSpacing/>
        <w:jc w:val="center"/>
        <w:rPr>
          <w:highlight w:val="none"/>
          <w:shd w:fill="auto" w:val="clear"/>
        </w:rPr>
      </w:pPr>
      <w:r>
        <w:rPr>
          <w:b/>
          <w:bCs/>
          <w:color w:val="000000" w:themeColor="text1"/>
          <w:sz w:val="26"/>
          <w:szCs w:val="26"/>
          <w:shd w:fill="auto" w:val="clear"/>
        </w:rPr>
        <w:t>ТЕХНИЧЕСКИЕ ТРЕБОВАНИЯ</w:t>
      </w:r>
    </w:p>
    <w:p>
      <w:pPr>
        <w:pStyle w:val="Style25"/>
        <w:widowControl w:val="false"/>
        <w:suppressAutoHyphens w:val="true"/>
        <w:spacing w:before="0" w:after="120"/>
        <w:ind w:left="0" w:hanging="0"/>
        <w:contextualSpacing/>
        <w:jc w:val="center"/>
        <w:rPr>
          <w:highlight w:val="none"/>
          <w:shd w:fill="auto" w:val="clear"/>
        </w:rPr>
      </w:pPr>
      <w:r>
        <w:rPr>
          <w:b/>
          <w:bCs/>
          <w:color w:val="000000" w:themeColor="text1"/>
          <w:sz w:val="26"/>
          <w:szCs w:val="26"/>
          <w:shd w:fill="auto" w:val="clear"/>
        </w:rPr>
        <w:t>на разработку проектной и рабочей документации  по объекту</w:t>
      </w:r>
    </w:p>
    <w:p>
      <w:pPr>
        <w:pStyle w:val="Normal"/>
        <w:suppressAutoHyphens w:val="true"/>
        <w:spacing w:lineRule="atLeast" w:line="240" w:before="0" w:after="0"/>
        <w:jc w:val="center"/>
        <w:rPr>
          <w:highlight w:val="none"/>
          <w:shd w:fill="auto" w:val="clear"/>
        </w:rPr>
      </w:pPr>
      <w:r>
        <w:rPr>
          <w:b/>
          <w:bCs/>
          <w:color w:val="000000" w:themeColor="text1"/>
          <w:sz w:val="26"/>
          <w:szCs w:val="26"/>
          <w:shd w:fill="auto" w:val="clear"/>
        </w:rPr>
        <w:t xml:space="preserve">«Реконструкция ВЛ 110 кВ Анисимовка/т – Фридман/т - ХФЗ с выносом опор из зоны подтопления» </w:t>
      </w:r>
    </w:p>
    <w:p>
      <w:pPr>
        <w:pStyle w:val="Style25"/>
        <w:widowControl w:val="false"/>
        <w:suppressAutoHyphens w:val="true"/>
        <w:spacing w:before="0" w:after="0"/>
        <w:ind w:left="0" w:firstLine="540"/>
        <w:contextualSpacing/>
        <w:rPr>
          <w:b/>
          <w:bCs/>
          <w:color w:val="000000" w:themeColor="text1"/>
          <w:sz w:val="24"/>
          <w:szCs w:val="24"/>
          <w:highlight w:val="none"/>
          <w:shd w:fill="auto" w:val="clear"/>
        </w:rPr>
      </w:pPr>
      <w:r>
        <w:rPr>
          <w:b/>
          <w:bCs/>
          <w:color w:val="000000" w:themeColor="text1"/>
          <w:sz w:val="24"/>
          <w:szCs w:val="24"/>
          <w:shd w:fill="auto" w:val="clear"/>
        </w:rPr>
      </w:r>
    </w:p>
    <w:p>
      <w:pPr>
        <w:pStyle w:val="Style25"/>
        <w:widowControl w:val="false"/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b/>
          <w:bCs/>
          <w:color w:val="000000" w:themeColor="text1"/>
          <w:sz w:val="26"/>
          <w:szCs w:val="26"/>
          <w:shd w:fill="auto" w:val="clear"/>
        </w:rPr>
        <w:t>Цель: вынос участка совместного подвеса ВЛ-110 кВ Анисимовка/т - Фридман/т - ХФЗ / ВЛ-110 кВ Вокзальная/т - Фридман/т – Штыково, опор № 32/8, 33/9, 34/10, из зоны подтопления притока р. Постышевка в Партизанском городском округе.</w:t>
      </w:r>
    </w:p>
    <w:p>
      <w:pPr>
        <w:pStyle w:val="Style25"/>
        <w:widowControl w:val="false"/>
        <w:suppressAutoHyphens w:val="true"/>
        <w:spacing w:before="0" w:after="0"/>
        <w:ind w:left="0" w:firstLine="709"/>
        <w:contextualSpacing/>
        <w:rPr>
          <w:highlight w:val="none"/>
          <w:shd w:fill="auto" w:val="clear"/>
        </w:rPr>
      </w:pPr>
      <w:r>
        <w:rPr>
          <w:rFonts w:ascii="Liberation Serif" w:hAnsi="Liberation Serif"/>
          <w:b/>
          <w:bCs/>
          <w:color w:val="000000" w:themeColor="text1"/>
          <w:sz w:val="26"/>
          <w:szCs w:val="26"/>
          <w:shd w:fill="auto" w:val="clear"/>
        </w:rPr>
        <w:t>Основание: ИПР.</w:t>
      </w:r>
    </w:p>
    <w:p>
      <w:pPr>
        <w:pStyle w:val="Style25"/>
        <w:widowControl w:val="false"/>
        <w:tabs>
          <w:tab w:val="clear" w:pos="708"/>
          <w:tab w:val="left" w:pos="993" w:leader="none"/>
          <w:tab w:val="left" w:pos="1276" w:leader="none"/>
        </w:tabs>
        <w:suppressAutoHyphens w:val="true"/>
        <w:spacing w:before="0" w:after="0"/>
        <w:ind w:left="0" w:firstLine="709"/>
        <w:contextualSpacing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Конструктивное исполнение ЛЭП:</w:t>
      </w:r>
    </w:p>
    <w:p>
      <w:pPr>
        <w:pStyle w:val="Style25"/>
        <w:widowControl w:val="false"/>
        <w:numPr>
          <w:ilvl w:val="1"/>
          <w:numId w:val="1"/>
        </w:numPr>
        <w:tabs>
          <w:tab w:val="clear" w:pos="708"/>
          <w:tab w:val="left" w:pos="709" w:leader="none"/>
          <w:tab w:val="left" w:pos="993" w:leader="none"/>
          <w:tab w:val="left" w:pos="1276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Количество цепей: двухцепная (участок совместного подвеса ВЛ-110 кВ Анисимовка/т - Фридман/т - ХФЗ / ВЛ-110 кВ Вокзальная/т - Фридман/т – Штыково).</w:t>
      </w:r>
    </w:p>
    <w:p>
      <w:pPr>
        <w:pStyle w:val="Style25"/>
        <w:widowControl w:val="false"/>
        <w:numPr>
          <w:ilvl w:val="1"/>
          <w:numId w:val="1"/>
        </w:numPr>
        <w:tabs>
          <w:tab w:val="clear" w:pos="708"/>
          <w:tab w:val="left" w:pos="709" w:leader="none"/>
          <w:tab w:val="left" w:pos="993" w:leader="none"/>
          <w:tab w:val="left" w:pos="1276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Протяженность: вся трасса ВЛ 44,85 км, длина участка выноса около 955 м.  уточняется при проектировании (пролет опор № 31/7 — 35/11).</w:t>
      </w:r>
    </w:p>
    <w:p>
      <w:pPr>
        <w:pStyle w:val="Style25"/>
        <w:widowControl w:val="false"/>
        <w:numPr>
          <w:ilvl w:val="1"/>
          <w:numId w:val="1"/>
        </w:numPr>
        <w:tabs>
          <w:tab w:val="clear" w:pos="708"/>
          <w:tab w:val="left" w:pos="709" w:leader="none"/>
          <w:tab w:val="left" w:pos="993" w:leader="none"/>
          <w:tab w:val="left" w:pos="1276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Исполнение: воздушное.</w:t>
      </w:r>
    </w:p>
    <w:p>
      <w:pPr>
        <w:pStyle w:val="Style25"/>
        <w:widowControl w:val="false"/>
        <w:numPr>
          <w:ilvl w:val="1"/>
          <w:numId w:val="1"/>
        </w:numPr>
        <w:tabs>
          <w:tab w:val="clear" w:pos="708"/>
          <w:tab w:val="left" w:pos="709" w:leader="none"/>
          <w:tab w:val="left" w:pos="993" w:leader="none"/>
          <w:tab w:val="left" w:pos="1276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Технические требования для ВЛ: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276" w:leader="none"/>
          <w:tab w:val="left" w:pos="180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1.4.1. 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Произвести проверку технического состояния и расчет механической прочности существующих опор № 31/7, 35/11 (траверс, тросостоек), для оценки возможности проведения безопасного монтажа нового провода, грозозащитного троса и последующей эксплуатации ЛЭП. По результатам разработать мероприятия по замене, усилению элементов ВЛ, при этом предусмотреть: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 опоры металлические, двухцепные, с тросостойками, с антикоррозионной защитой, выполненной методом горячего оцинкования;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 фундаменты в зависимости от выбранного типа опор и категории грунтов;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 гидроизоляцию ж/б конструкций, соприкасающихся с грунтом;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 обварку болтовых соединений на опорах на высоту до 5 метров;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 оснащение вновь устанавливаемых опор стационарной страховочной системой для подъема на опору (жесткая анкерная линия) для опор ЛЭП, к которым невозможен подъезд специализированной подъемной техники (сложный рельеф местности, плотная застройка населенного пункта и т.п.).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1.4.2. 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Марку провода и его сечение определить в проекте на основании технико-экономического сравнения, исходя из климатических условий, а также пропускной способности в послеаварийных режимах (ДДТН не менее 450А при +25 С), с учетом перспективного роста нагрузок и устойчивости к гололедным явлениям (налипанию снега).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 xml:space="preserve"> 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При соответствующим обосновании, в целях облегчения нагрузок на существующие опоры, рассмотреть возможность применения высокотемпературных проводов, в том числе с композитным сердечником.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 xml:space="preserve">1.4.3. Применить грозозащитный трос, плакированный алюминием, сечение 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определить в проекте.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 xml:space="preserve">1.4.4. Применить стеклянные изоляторы с повышенной длиной пути утечки, соответствующие данной местности по степени загрязнения атмосферы и климатическим районам. 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При обоснованном применении, для облегчения нагрузок на существующие опоры, рассмотреть возможность применения полимерной линейной изоляции. В случае применения полимерной изоляции предусмотреть: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 индикацию перекрытия полимерного изолятора;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- не допускается применение при проектировании полимерных изоляторов серии ЛП и ЛПИС с оболочкой полиолефиновой композиции, а также полимерных изоляторов, собранных последовательной (порёберной) сборкой защитной оболочки типа ШПУ.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1.4.5. Применить спиральную линейную арматуру, не требующую обслуживания и ремонта в течение всего срока эксплуатации ВЛ.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1.4.6. Метизы применить анодированные.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1.4.7. На опорах реконструируемого участка ВЛ предусмотреть установку птицезащитных нетравмирующих антиприсадочных устройств для исключения гибели птиц и защиты ВЛ от загрязнений. Тип и марку устройств определить проектом.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1.4.8. Применить гасители вибрации с расчетом оптимальной схемы виброзащиты проводов, тип и марку определить проектом.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1.4.9. Предусмотреть нанесение нумерации, знаков безопасности на вновь устанавливаемые опоры реконструируемой ВЛ, с учётом требований ПУЭ (7-е издание) и других действующих НТД.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uppressAutoHyphens w:val="true"/>
        <w:spacing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 xml:space="preserve">1.5. Для сохранения действующей системы связи двухцепного участка ВЛ 110 кВ Анисимовка/т – Фридман/т – ХФЗ совместного подвеса с ВЛ 110 кВ Вокзальная/т  – Фридман/т – Штыково предусмотреть переустройство двух существующих волоконно-оптических кабелей с оптическими волокнами АО «ДРСК» (ВОК собственности ПАО «Мегафон» и ВОК собственности ПАО «МТС») с каналами передачи ТМ от ПС 110 кВ Находка на ДЦ Прим.РДУ, с минимальным перерывом связи действующих ВОЛС. </w:t>
      </w: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Предусмотреть переустройство волоконно-оптическкого кабеля ПАО «Ростелеком». Согласовать проектные решения с собственниками.</w:t>
      </w:r>
    </w:p>
    <w:p>
      <w:pPr>
        <w:pStyle w:val="Style25"/>
        <w:widowControl w:val="false"/>
        <w:numPr>
          <w:ilvl w:val="1"/>
          <w:numId w:val="3"/>
        </w:numPr>
        <w:tabs>
          <w:tab w:val="clear" w:pos="708"/>
          <w:tab w:val="left" w:pos="993" w:leader="none"/>
          <w:tab w:val="left" w:pos="1276" w:leader="none"/>
          <w:tab w:val="left" w:pos="2705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При выборе трассы руководствоваться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>
      <w:pPr>
        <w:pStyle w:val="Style25"/>
        <w:widowControl w:val="false"/>
        <w:numPr>
          <w:ilvl w:val="1"/>
          <w:numId w:val="3"/>
        </w:numPr>
        <w:tabs>
          <w:tab w:val="clear" w:pos="708"/>
          <w:tab w:val="left" w:pos="709" w:leader="none"/>
          <w:tab w:val="left" w:pos="993" w:leader="none"/>
          <w:tab w:val="left" w:pos="1276" w:leader="none"/>
          <w:tab w:val="left" w:pos="2705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Прочие условия для строящейся ЛЭП:</w:t>
      </w:r>
    </w:p>
    <w:p>
      <w:pPr>
        <w:pStyle w:val="Style25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709" w:leader="none"/>
          <w:tab w:val="left" w:pos="993" w:leader="none"/>
          <w:tab w:val="left" w:pos="1276" w:leader="none"/>
        </w:tabs>
        <w:suppressAutoHyphens w:val="true"/>
        <w:spacing w:before="0" w:after="0"/>
        <w:ind w:left="0" w:firstLine="709"/>
        <w:contextualSpacing/>
        <w:jc w:val="both"/>
        <w:rPr>
          <w:highlight w:val="none"/>
          <w:shd w:fill="auto" w:val="clear"/>
        </w:rPr>
      </w:pPr>
      <w:r>
        <w:rPr>
          <w:rFonts w:ascii="Liberation Serif" w:hAnsi="Liberation Serif"/>
          <w:color w:val="000000" w:themeColor="text1"/>
          <w:sz w:val="26"/>
          <w:szCs w:val="26"/>
          <w:shd w:fill="auto" w:val="clear"/>
        </w:rPr>
        <w:t>Создать условия для ремонтно-эксплуатационного обслуживания: проезд вдоль ЛЭП.</w:t>
      </w:r>
    </w:p>
    <w:p>
      <w:pPr>
        <w:pStyle w:val="Normal"/>
        <w:suppressAutoHyphens w:val="true"/>
        <w:jc w:val="both"/>
        <w:rPr>
          <w:highlight w:val="none"/>
          <w:shd w:fill="auto" w:val="clear"/>
        </w:rPr>
      </w:pPr>
      <w:r>
        <w:rPr>
          <w:shd w:fill="auto" w:val="clear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707" w:gutter="0" w:header="0" w:top="763" w:footer="0" w:bottom="88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16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  <w:rPr/>
    </w:lvl>
    <w:lvl w:ilvl="1">
      <w:start w:val="6"/>
      <w:numFmt w:val="decimal"/>
      <w:lvlText w:val="%1.%2."/>
      <w:lvlJc w:val="left"/>
      <w:pPr>
        <w:tabs>
          <w:tab w:val="num" w:pos="0"/>
        </w:tabs>
        <w:ind w:left="1429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14bd"/>
    <w:pPr>
      <w:widowControl/>
      <w:suppressAutoHyphens w:val="false"/>
      <w:bidi w:val="0"/>
      <w:spacing w:before="6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c14bd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Основной текст Знак"/>
    <w:uiPriority w:val="99"/>
    <w:semiHidden/>
    <w:qFormat/>
    <w:locked/>
    <w:rsid w:val="001949d5"/>
    <w:rPr>
      <w:rFonts w:ascii="Times New Roman" w:hAnsi="Times New Roman" w:cs="Times New Roman"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16f75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45c0e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uiPriority w:val="99"/>
    <w:semiHidden/>
    <w:qFormat/>
    <w:rsid w:val="00f45c0e"/>
    <w:rPr>
      <w:rFonts w:ascii="Times New Roman" w:hAnsi="Times New Roman" w:eastAsia="Times New Roman"/>
    </w:rPr>
  </w:style>
  <w:style w:type="character" w:styleId="Style18" w:customStyle="1">
    <w:name w:val="Тема примечания Знак"/>
    <w:basedOn w:val="Style17"/>
    <w:link w:val="Annotationsubject"/>
    <w:uiPriority w:val="99"/>
    <w:semiHidden/>
    <w:qFormat/>
    <w:rsid w:val="00f45c0e"/>
    <w:rPr>
      <w:rFonts w:ascii="Times New Roman" w:hAnsi="Times New Roman" w:eastAsia="Times New Roman"/>
      <w:b/>
      <w:bCs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link w:val="Style15"/>
    <w:uiPriority w:val="99"/>
    <w:rsid w:val="00ea5772"/>
    <w:pPr>
      <w:spacing w:before="60" w:after="120"/>
    </w:pPr>
    <w:rPr/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Style24">
    <w:name w:val="Title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Body Text Indent"/>
    <w:basedOn w:val="Normal"/>
    <w:link w:val="Style14"/>
    <w:uiPriority w:val="99"/>
    <w:rsid w:val="006c14bd"/>
    <w:pPr>
      <w:spacing w:before="60" w:after="120"/>
      <w:ind w:left="283" w:hanging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16f75"/>
    <w:pPr>
      <w:spacing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f45c0e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18"/>
    <w:uiPriority w:val="99"/>
    <w:semiHidden/>
    <w:unhideWhenUsed/>
    <w:qFormat/>
    <w:rsid w:val="00f45c0e"/>
    <w:pPr/>
    <w:rPr>
      <w:b/>
      <w:bCs/>
    </w:rPr>
  </w:style>
  <w:style w:type="paragraph" w:styleId="3" w:customStyle="1">
    <w:name w:val="Стиль3"/>
    <w:basedOn w:val="Normal"/>
    <w:qFormat/>
    <w:rsid w:val="00633935"/>
    <w:pPr>
      <w:shd w:val="clear" w:color="auto" w:fill="FFFFFF"/>
    </w:pPr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2e3bfa"/>
    <w:pPr>
      <w:spacing w:before="60" w:after="0"/>
      <w:ind w:left="720" w:hanging="0"/>
      <w:contextualSpacing/>
    </w:pPr>
    <w:rPr/>
  </w:style>
  <w:style w:type="paragraph" w:styleId="Style2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d058ed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LibreOffice/7.5.5.2$Windows_X86_64 LibreOffice_project/ca8fe7424262805f223b9a2334bc7181abbcbf5e</Application>
  <AppVersion>15.0000</AppVersion>
  <Pages>2</Pages>
  <Words>581</Words>
  <Characters>4051</Characters>
  <CharactersWithSpaces>4607</CharactersWithSpaces>
  <Paragraphs>30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2020-11-27T03:26:00Z</dcterms:created>
  <dc:creator>Евгений В. Голубков</dc:creator>
  <dc:description/>
  <dc:language>ru-RU</dc:language>
  <cp:lastModifiedBy/>
  <cp:lastPrinted>2016-01-15T00:33:00Z</cp:lastPrinted>
  <dcterms:modified xsi:type="dcterms:W3CDTF">2024-11-14T10:03:32Z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