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hanging="0" w:left="0"/>
        <w:jc w:val="center"/>
        <w:outlineLvl w:val="0"/>
        <w:rPr>
          <w:szCs w:val="24"/>
        </w:rPr>
      </w:pPr>
      <w:r>
        <w:rPr>
          <w:szCs w:val="24"/>
        </w:rPr>
        <w:t>ОКП</w:t>
      </w:r>
      <w:r>
        <w:rPr>
          <w:color w:val="auto"/>
          <w:szCs w:val="24"/>
        </w:rPr>
        <w:t>Д2 25.93.15.120 П</w:t>
      </w:r>
      <w:r>
        <w:rPr>
          <w:szCs w:val="24"/>
        </w:rPr>
        <w:t>оставка сварочных электродов для выполнения работ на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hanging="0" w:left="0"/>
        <w:jc w:val="center"/>
        <w:outlineLvl w:val="0"/>
        <w:rPr>
          <w:szCs w:val="24"/>
        </w:rPr>
      </w:pPr>
      <w:r>
        <w:rPr>
          <w:szCs w:val="24"/>
        </w:rPr>
        <w:t>Саяно-Шушенской ГЭС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hanging="0" w:left="0"/>
        <w:jc w:val="center"/>
        <w:outlineLvl w:val="0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(Лот № _____-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</w:rPr>
        <w:t>РЕМ ДОХ-2026-ГРВКК-СШФ</w:t>
      </w:r>
      <w:r>
        <w:rPr>
          <w:b w:val="false"/>
          <w:bCs w:val="false"/>
          <w:sz w:val="24"/>
          <w:szCs w:val="24"/>
        </w:rPr>
        <w:t>)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Cs w:val="24"/>
        </w:rPr>
      </w:pPr>
      <w:r>
        <w:rPr>
          <w:rFonts w:eastAsia="Calibri"/>
          <w:b/>
          <w:i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4"/>
        <w:tabs>
          <w:tab w:val="clear" w:pos="0"/>
          <w:tab w:val="left" w:pos="709" w:leader="none"/>
        </w:tabs>
        <w:ind w:hanging="0" w:left="432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firstLine="709" w:left="0"/>
        <w:rPr/>
      </w:pPr>
      <w:bookmarkStart w:id="0" w:name="_Toc46743506"/>
      <w:bookmarkStart w:id="1" w:name="_Toc75446568"/>
      <w:r>
        <w:rPr/>
        <w:t>Наименование закупаемой продукции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hanging="0" w:left="0"/>
        <w:jc w:val="left"/>
        <w:outlineLvl w:val="0"/>
        <w:rPr>
          <w:szCs w:val="24"/>
        </w:rPr>
      </w:pPr>
      <w:r>
        <w:rPr>
          <w:szCs w:val="24"/>
        </w:rPr>
        <w:tab/>
        <w:t>ОКП</w:t>
      </w:r>
      <w:r>
        <w:rPr>
          <w:color w:val="auto"/>
          <w:szCs w:val="24"/>
        </w:rPr>
        <w:t>Д2 25.93.15.120 Поставка сварочных электродов для выполнения работ на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hanging="0" w:left="0"/>
        <w:jc w:val="left"/>
        <w:outlineLvl w:val="0"/>
        <w:rPr>
          <w:szCs w:val="24"/>
        </w:rPr>
      </w:pPr>
      <w:r>
        <w:rPr>
          <w:color w:val="auto"/>
          <w:szCs w:val="24"/>
        </w:rPr>
        <w:t>Саяно-Шушенской ГЭС</w:t>
      </w:r>
      <w:r>
        <w:rPr>
          <w:szCs w:val="24"/>
        </w:rPr>
        <w:t xml:space="preserve"> (далее продукция).</w:t>
      </w:r>
      <w:bookmarkStart w:id="2" w:name="_Toc75446569"/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1"/>
        </w:numPr>
        <w:ind w:firstLine="709" w:left="0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  <w:bookmarkEnd w:id="2"/>
      <w:r>
        <w:rPr/>
        <w:t xml:space="preserve"> </w:t>
      </w:r>
    </w:p>
    <w:p>
      <w:pPr>
        <w:pStyle w:val="Normal"/>
        <w:ind w:firstLine="432"/>
        <w:jc w:val="both"/>
        <w:rPr>
          <w:rFonts w:eastAsia="Times New Roman" w:cs="Times New Roman"/>
          <w:bCs/>
          <w:szCs w:val="24"/>
          <w:shd w:fill="FFFFFF" w:val="clear"/>
          <w:lang w:eastAsia="ru-RU"/>
        </w:rPr>
      </w:pPr>
      <w:r>
        <w:rPr>
          <w:rFonts w:eastAsia="Times New Roman" w:cs="Times New Roman"/>
          <w:bCs/>
          <w:szCs w:val="24"/>
          <w:shd w:fill="FFFFFF" w:val="clear"/>
          <w:lang w:eastAsia="ru-RU"/>
        </w:rPr>
        <w:tab/>
        <w:t>Исполнение доходного договора:</w:t>
      </w:r>
    </w:p>
    <w:p>
      <w:pPr>
        <w:pStyle w:val="Normal"/>
        <w:ind w:firstLine="432"/>
        <w:jc w:val="both"/>
        <w:rPr>
          <w:szCs w:val="24"/>
        </w:rPr>
      </w:pPr>
      <w:r>
        <w:rPr>
          <w:szCs w:val="24"/>
        </w:rPr>
        <w:t>- № 1310-785-2023/513-11-1 от 03.11.2023 «Капитальный и текущий ремонт оборудования, зданий, сооружений филиала ПАО «РусГидро» – «Саяно-Шушенская ГЭС имени П.С. Непорожнего» (заключенный между ПАО «РусГидро» и АО «Гидроремонт-ВКК»).</w:t>
      </w:r>
    </w:p>
    <w:p>
      <w:pPr>
        <w:pStyle w:val="Normal"/>
        <w:ind w:firstLine="432"/>
        <w:jc w:val="both"/>
        <w:rPr>
          <w:szCs w:val="24"/>
        </w:rPr>
      </w:pPr>
      <w:r>
        <w:rPr>
          <w:szCs w:val="24"/>
        </w:rPr>
      </w:r>
    </w:p>
    <w:p>
      <w:pPr>
        <w:pStyle w:val="Heading1"/>
        <w:numPr>
          <w:ilvl w:val="0"/>
          <w:numId w:val="1"/>
        </w:numPr>
        <w:ind w:firstLine="709" w:left="0"/>
        <w:rPr>
          <w:sz w:val="24"/>
          <w:szCs w:val="24"/>
        </w:rPr>
      </w:pPr>
      <w:bookmarkStart w:id="4" w:name="_Toc75446573"/>
      <w:bookmarkStart w:id="5" w:name="_Toc51339693"/>
      <w:r>
        <w:rPr>
          <w:sz w:val="24"/>
          <w:szCs w:val="24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1"/>
        </w:numPr>
        <w:ind w:firstLine="709" w:left="0"/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1"/>
        </w:numPr>
        <w:ind w:firstLine="709" w:left="0"/>
        <w:rPr/>
      </w:pPr>
      <w:bookmarkStart w:id="7" w:name="_Toc75446575"/>
      <w:r>
        <w:rPr/>
        <w:t>Перечень и объем закупаемой продукции</w:t>
      </w:r>
      <w:bookmarkEnd w:id="7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jc w:val="both"/>
        <w:rPr>
          <w:szCs w:val="24"/>
        </w:rPr>
      </w:pPr>
      <w:bookmarkStart w:id="8" w:name="_Toc75446576"/>
      <w:bookmarkStart w:id="9" w:name="_Toc51339695"/>
      <w:r>
        <w:rPr>
          <w:szCs w:val="24"/>
        </w:rPr>
        <w:t xml:space="preserve">Таблица 1. Перечень </w:t>
      </w:r>
      <w:bookmarkEnd w:id="9"/>
      <w:r>
        <w:rPr>
          <w:szCs w:val="24"/>
        </w:rPr>
        <w:t>и объем закупаемой продукци</w:t>
      </w:r>
      <w:bookmarkEnd w:id="8"/>
      <w:r>
        <w:rPr>
          <w:szCs w:val="24"/>
        </w:rPr>
        <w:t>и</w:t>
      </w:r>
    </w:p>
    <w:tbl>
      <w:tblPr>
        <w:tblStyle w:val="affffd"/>
        <w:tblW w:w="94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8"/>
        <w:gridCol w:w="6012"/>
        <w:gridCol w:w="1300"/>
        <w:gridCol w:w="1429"/>
      </w:tblGrid>
      <w:tr>
        <w:trPr>
          <w:trHeight w:val="567" w:hRule="atLeast"/>
        </w:trPr>
        <w:tc>
          <w:tcPr>
            <w:tcW w:w="738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60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Единица измерения</w:t>
            </w:r>
          </w:p>
        </w:tc>
        <w:tc>
          <w:tcPr>
            <w:tcW w:w="1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Количество</w:t>
            </w:r>
          </w:p>
        </w:tc>
      </w:tr>
      <w:tr>
        <w:trPr>
          <w:trHeight w:val="221" w:hRule="atLeast"/>
        </w:trPr>
        <w:tc>
          <w:tcPr>
            <w:tcW w:w="738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6012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300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29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225" w:hRule="atLeast"/>
        </w:trPr>
        <w:tc>
          <w:tcPr>
            <w:tcW w:w="73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170" w:right="0"/>
              <w:jc w:val="center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601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Электроды ЦЛ-11 4мм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СЗСМ,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48</w:t>
            </w:r>
          </w:p>
        </w:tc>
      </w:tr>
      <w:tr>
        <w:trPr>
          <w:trHeight w:val="226" w:hRule="atLeast"/>
        </w:trPr>
        <w:tc>
          <w:tcPr>
            <w:tcW w:w="73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170" w:right="0"/>
              <w:jc w:val="center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601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auto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en-US" w:bidi="ar-SA"/>
              </w:rPr>
              <w:t xml:space="preserve">Электроды ЦТ-28 4мм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 xml:space="preserve">СЗСМ,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</w:tr>
      <w:tr>
        <w:trPr>
          <w:trHeight w:val="228" w:hRule="atLeast"/>
        </w:trPr>
        <w:tc>
          <w:tcPr>
            <w:tcW w:w="73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170" w:right="0"/>
              <w:jc w:val="center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601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en-US" w:bidi="ar-SA"/>
              </w:rPr>
              <w:t xml:space="preserve">Электроды ЭА 395/9 3мм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 xml:space="preserve">СЗСМ,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73</w:t>
            </w:r>
          </w:p>
        </w:tc>
      </w:tr>
      <w:tr>
        <w:trPr>
          <w:trHeight w:val="167" w:hRule="atLeast"/>
        </w:trPr>
        <w:tc>
          <w:tcPr>
            <w:tcW w:w="73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170" w:right="0"/>
              <w:jc w:val="center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x-none" w:bidi="ar-SA"/>
              </w:rPr>
              <w:t>4.</w:t>
            </w:r>
          </w:p>
        </w:tc>
        <w:tc>
          <w:tcPr>
            <w:tcW w:w="601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Электроды ЭА 395/9 4мм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СЗСМ,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35</w:t>
            </w:r>
          </w:p>
        </w:tc>
      </w:tr>
      <w:tr>
        <w:trPr>
          <w:trHeight w:val="167" w:hRule="atLeast"/>
        </w:trPr>
        <w:tc>
          <w:tcPr>
            <w:tcW w:w="73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170" w:right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601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Электроды УОНИ 13/45 3мм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СЗСМ, </w:t>
            </w:r>
            <w:r>
              <w:rPr>
                <w:rFonts w:eastAsia="Calibri" w:cs="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кг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 w:cstheme="minorBidi" w:eastAsiaTheme="minorHAnsi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20</w:t>
            </w:r>
          </w:p>
        </w:tc>
      </w:tr>
      <w:tr>
        <w:trPr>
          <w:trHeight w:val="167" w:hRule="atLeast"/>
        </w:trPr>
        <w:tc>
          <w:tcPr>
            <w:tcW w:w="73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170" w:right="0"/>
              <w:jc w:val="center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x-none" w:bidi="ar-SA"/>
              </w:rPr>
              <w:t>6.</w:t>
            </w:r>
          </w:p>
        </w:tc>
        <w:tc>
          <w:tcPr>
            <w:tcW w:w="601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Электроды угольные омедненные 13х</w:t>
            </w:r>
            <w:r>
              <w:rPr>
                <w:rFonts w:eastAsia="Calibri" w:cs="" w:ascii="Times New Roman" w:hAnsi="Times New Roman" w:cstheme="minorBidi" w:eastAsiaTheme="minorHAnsi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455мм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ESAB, Abicor Binzel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1"/>
        </w:numPr>
        <w:ind w:firstLine="709" w:left="0"/>
        <w:rPr>
          <w:color w:val="auto"/>
        </w:rPr>
      </w:pPr>
      <w:r>
        <w:rPr>
          <w:color w:val="auto"/>
        </w:rPr>
        <w:t xml:space="preserve">Требования к срокам поставки продукции </w:t>
      </w:r>
    </w:p>
    <w:p>
      <w:pPr>
        <w:pStyle w:val="Normal"/>
        <w:rPr>
          <w:color w:val="auto"/>
          <w:lang w:val="x-none" w:eastAsia="x-none"/>
        </w:rPr>
      </w:pPr>
      <w:r>
        <w:rPr>
          <w:color w:val="auto"/>
          <w:lang w:val="x-none" w:eastAsia="x-none"/>
        </w:rPr>
      </w:r>
    </w:p>
    <w:p>
      <w:pPr>
        <w:pStyle w:val="Normal"/>
        <w:rPr>
          <w:color w:val="auto"/>
        </w:rPr>
      </w:pPr>
      <w:bookmarkStart w:id="10" w:name="_Toc75446579"/>
      <w:bookmarkStart w:id="11" w:name="_Toc51339697"/>
      <w:bookmarkStart w:id="12" w:name="_Toc50125127"/>
      <w:r>
        <w:rPr>
          <w:rFonts w:eastAsia="Calibri"/>
          <w:color w:val="auto"/>
          <w:szCs w:val="24"/>
          <w:lang w:eastAsia="x-none"/>
        </w:rPr>
        <w:t xml:space="preserve">Таблица 2. </w:t>
      </w:r>
      <w:bookmarkStart w:id="13" w:name="_Hlk50465284"/>
      <w:r>
        <w:rPr>
          <w:rFonts w:eastAsia="Calibri"/>
          <w:color w:val="auto"/>
          <w:szCs w:val="24"/>
          <w:lang w:eastAsia="x-none"/>
        </w:rPr>
        <w:t xml:space="preserve">Требования по срокам </w:t>
      </w:r>
      <w:bookmarkEnd w:id="11"/>
      <w:bookmarkEnd w:id="12"/>
      <w:bookmarkEnd w:id="13"/>
      <w:r>
        <w:rPr>
          <w:rFonts w:eastAsia="Calibri"/>
          <w:color w:val="auto"/>
          <w:szCs w:val="24"/>
          <w:lang w:eastAsia="x-none"/>
        </w:rPr>
        <w:t>поставки продукции</w:t>
      </w:r>
      <w:bookmarkEnd w:id="10"/>
      <w:r>
        <w:rPr>
          <w:rFonts w:eastAsia="Calibri"/>
          <w:color w:val="auto"/>
          <w:szCs w:val="24"/>
          <w:lang w:eastAsia="x-none"/>
        </w:rPr>
        <w:t xml:space="preserve"> </w:t>
      </w:r>
    </w:p>
    <w:tbl>
      <w:tblPr>
        <w:tblW w:w="963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2"/>
        <w:gridCol w:w="3551"/>
        <w:gridCol w:w="2405"/>
        <w:gridCol w:w="2835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 xml:space="preserve">№ </w:t>
            </w:r>
            <w:r>
              <w:rPr>
                <w:color w:val="auto"/>
                <w:szCs w:val="24"/>
              </w:rPr>
              <w:t>п/п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Наименование продукции / партии продукции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1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</w:rPr>
              <w:t>1.</w:t>
            </w:r>
          </w:p>
        </w:tc>
        <w:tc>
          <w:tcPr>
            <w:tcW w:w="3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40"/>
              <w:ind w:hanging="0" w:left="0"/>
              <w:jc w:val="left"/>
              <w:outlineLvl w:val="0"/>
              <w:rPr/>
            </w:pPr>
            <w:r>
              <w:rPr>
                <w:szCs w:val="24"/>
              </w:rPr>
              <w:t>ОКП</w:t>
            </w:r>
            <w:r>
              <w:rPr>
                <w:color w:val="auto"/>
                <w:szCs w:val="24"/>
              </w:rPr>
              <w:t>Д2 25.93.15.120 Поставка сварочных электродов для выполнения работ на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40"/>
              <w:ind w:hanging="0" w:left="0"/>
              <w:jc w:val="left"/>
              <w:outlineLvl w:val="0"/>
              <w:rPr/>
            </w:pPr>
            <w:r>
              <w:rPr>
                <w:rFonts w:eastAsia="Calibri" w:cs=""/>
                <w:color w:val="auto"/>
                <w:kern w:val="0"/>
                <w:sz w:val="24"/>
                <w:szCs w:val="24"/>
                <w:lang w:val="ru-RU" w:eastAsia="en-US" w:bidi="ar-SA"/>
              </w:rPr>
              <w:t>Саяно-Шушенской ГЭС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auto"/>
                <w:szCs w:val="24"/>
                <w:lang w:eastAsia="ru-RU"/>
              </w:rPr>
            </w:pPr>
            <w:r>
              <w:rPr>
                <w:rFonts w:cs="Times New Roman"/>
                <w:color w:val="auto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auto"/>
                <w:szCs w:val="24"/>
                <w:lang w:eastAsia="ru-RU"/>
              </w:rPr>
            </w:pPr>
            <w:r>
              <w:rPr>
                <w:rFonts w:cs="Times New Roman"/>
                <w:color w:val="auto"/>
                <w:szCs w:val="24"/>
                <w:lang w:eastAsia="ru-RU"/>
              </w:rPr>
              <w:t xml:space="preserve">В течение </w:t>
            </w:r>
            <w:r>
              <w:rPr>
                <w:rFonts w:cs="Times New Roman"/>
                <w:color w:val="auto"/>
                <w:szCs w:val="24"/>
                <w:lang w:eastAsia="ru-RU"/>
              </w:rPr>
              <w:t>15</w:t>
            </w:r>
            <w:r>
              <w:rPr>
                <w:rFonts w:cs="Times New Roman"/>
                <w:color w:val="000000"/>
                <w:szCs w:val="24"/>
                <w:shd w:fill="FFFF00" w:val="clear"/>
                <w:lang w:eastAsia="ru-RU"/>
              </w:rPr>
              <w:t xml:space="preserve"> </w:t>
            </w:r>
            <w:r>
              <w:rPr>
                <w:rFonts w:cs="Times New Roman"/>
                <w:color w:val="auto"/>
                <w:szCs w:val="24"/>
                <w:lang w:eastAsia="ru-RU"/>
              </w:rPr>
              <w:t>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rPr>
          <w:rFonts w:eastAsia="Calibri"/>
          <w:szCs w:val="24"/>
          <w:lang w:eastAsia="x-none"/>
        </w:rPr>
      </w:pPr>
      <w:bookmarkStart w:id="14" w:name="_Toc75446582"/>
      <w:bookmarkStart w:id="15" w:name="_Toc54785622"/>
      <w:bookmarkEnd w:id="15"/>
      <w:r>
        <w:rPr>
          <w:rFonts w:eastAsia="Calibri"/>
          <w:szCs w:val="24"/>
          <w:lang w:eastAsia="x-none"/>
        </w:rPr>
        <w:t xml:space="preserve">         </w:t>
      </w:r>
      <w:bookmarkEnd w:id="14"/>
      <w:r>
        <w:rPr>
          <w:rFonts w:eastAsia="Calibri"/>
          <w:b/>
          <w:bCs/>
          <w:szCs w:val="24"/>
          <w:lang w:eastAsia="x-none"/>
        </w:rPr>
        <w:t xml:space="preserve">2.2. </w:t>
      </w:r>
      <w:r>
        <w:rPr>
          <w:rFonts w:eastAsia="Calibri"/>
          <w:b/>
          <w:szCs w:val="24"/>
          <w:lang w:eastAsia="x-none"/>
        </w:rPr>
        <w:t>Требования к качеству продукции</w:t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 xml:space="preserve">    </w:t>
      </w:r>
      <w:r>
        <w:rPr>
          <w:rFonts w:eastAsia="Calibri"/>
          <w:szCs w:val="24"/>
          <w:lang w:eastAsia="x-none"/>
        </w:rPr>
        <w:t>Таблица 3. Требования к качеству продукции</w:t>
      </w:r>
    </w:p>
    <w:tbl>
      <w:tblPr>
        <w:tblW w:w="152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7"/>
        <w:gridCol w:w="3393"/>
        <w:gridCol w:w="3736"/>
        <w:gridCol w:w="3913"/>
        <w:gridCol w:w="3351"/>
      </w:tblGrid>
      <w:tr>
        <w:trPr>
          <w:trHeight w:val="20" w:hRule="atLeast"/>
        </w:trPr>
        <w:tc>
          <w:tcPr>
            <w:tcW w:w="152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Cs w:val="24"/>
              </w:rPr>
              <w:t>Наименование продукции (позиции № 1-6 Таблицы 1.):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b/>
                <w:bCs/>
                <w:szCs w:val="24"/>
              </w:rPr>
              <w:t>Материалы для выполнения работ по капитальному и текущему ремонту оборудования, зданий, сооружений Саяно-Шушенской ГЭС</w:t>
            </w:r>
          </w:p>
        </w:tc>
      </w:tr>
      <w:tr>
        <w:trPr>
          <w:trHeight w:val="20" w:hRule="atLeast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>п/п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продукции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Соответствие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стандартам</w:t>
            </w:r>
          </w:p>
        </w:tc>
      </w:tr>
      <w:tr>
        <w:trPr>
          <w:trHeight w:val="20" w:hRule="atLeast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4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5</w:t>
            </w:r>
          </w:p>
        </w:tc>
      </w:tr>
      <w:tr>
        <w:trPr>
          <w:trHeight w:val="20" w:hRule="atLeast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>
                <w:b/>
                <w:szCs w:val="24"/>
              </w:rPr>
              <w:t>1.</w:t>
            </w:r>
          </w:p>
        </w:tc>
        <w:tc>
          <w:tcPr>
            <w:tcW w:w="1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69" w:hRule="atLeast"/>
        </w:trPr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1.</w:t>
            </w:r>
          </w:p>
        </w:tc>
        <w:tc>
          <w:tcPr>
            <w:tcW w:w="33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Электроды</w:t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 xml:space="preserve">СЗСМ, </w:t>
            </w: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33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ГОСТ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10052-75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ОСТ 5.9244-87</w:t>
            </w:r>
          </w:p>
        </w:tc>
      </w:tr>
      <w:tr>
        <w:trPr>
          <w:trHeight w:val="69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ЦЛ-11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39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4мм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2.</w:t>
            </w:r>
          </w:p>
        </w:tc>
        <w:tc>
          <w:tcPr>
            <w:tcW w:w="33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color w:val="auto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en-US" w:bidi="ar-SA"/>
              </w:rPr>
              <w:t>Электроды</w:t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 xml:space="preserve">СЗСМ, </w:t>
            </w: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33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ГОСТ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10052-75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ОСТ 5.9244-87</w:t>
            </w:r>
          </w:p>
        </w:tc>
      </w:tr>
      <w:tr>
        <w:trPr>
          <w:trHeight w:val="34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ЦТ-28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69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4мм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69" w:hRule="atLeast"/>
        </w:trPr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3.</w:t>
            </w:r>
          </w:p>
        </w:tc>
        <w:tc>
          <w:tcPr>
            <w:tcW w:w="33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en-US" w:bidi="ar-SA"/>
              </w:rPr>
              <w:t>Электроды</w:t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 xml:space="preserve">СЗСМ, </w:t>
            </w: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33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ГОСТ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10052-75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ОСТ 5.9244-87</w:t>
            </w:r>
          </w:p>
        </w:tc>
      </w:tr>
      <w:tr>
        <w:trPr>
          <w:trHeight w:val="317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ЭА 395/9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69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3мм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92" w:hRule="atLeast"/>
        </w:trPr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4.</w:t>
            </w:r>
          </w:p>
        </w:tc>
        <w:tc>
          <w:tcPr>
            <w:tcW w:w="33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en-US" w:bidi="ar-SA"/>
              </w:rPr>
              <w:t>Электроды</w:t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 xml:space="preserve">СЗСМ, </w:t>
            </w: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33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ГОСТ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10052-75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ОСТ 5.9244-87</w:t>
            </w:r>
          </w:p>
        </w:tc>
      </w:tr>
      <w:tr>
        <w:trPr>
          <w:trHeight w:val="92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ЭА 395/9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92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4мм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30" w:hRule="atLeast"/>
        </w:trPr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5.</w:t>
            </w:r>
          </w:p>
        </w:tc>
        <w:tc>
          <w:tcPr>
            <w:tcW w:w="33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en-US" w:bidi="ar-SA"/>
              </w:rPr>
              <w:t>Электроды</w:t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 xml:space="preserve">СЗСМ, </w:t>
            </w: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ESAB</w:t>
            </w:r>
          </w:p>
        </w:tc>
        <w:tc>
          <w:tcPr>
            <w:tcW w:w="33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ГОСТ 9467-75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ОСТ 5.9244-87</w:t>
            </w:r>
          </w:p>
        </w:tc>
      </w:tr>
      <w:tr>
        <w:trPr>
          <w:trHeight w:val="30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УОНИ 13/45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30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3мм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18" w:hRule="atLeast"/>
        </w:trPr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6.</w:t>
            </w:r>
          </w:p>
        </w:tc>
        <w:tc>
          <w:tcPr>
            <w:tcW w:w="33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Электроды угольные омедненные</w:t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ESAB, Abicor Binzel</w:t>
            </w:r>
          </w:p>
        </w:tc>
        <w:tc>
          <w:tcPr>
            <w:tcW w:w="33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>ТУ 16-757.034-86</w:t>
            </w:r>
          </w:p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>(ИУС 03-87)</w:t>
            </w:r>
          </w:p>
        </w:tc>
      </w:tr>
      <w:tr>
        <w:trPr>
          <w:trHeight w:val="18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color w:val="auto"/>
                <w:position w:val="0"/>
                <w:sz w:val="24"/>
                <w:sz w:val="24"/>
                <w:szCs w:val="24"/>
                <w:vertAlign w:val="baseline"/>
              </w:rPr>
              <w:t>ВДК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18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13мм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18" w:hRule="atLeast"/>
        </w:trPr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3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455мм</w:t>
            </w:r>
          </w:p>
        </w:tc>
        <w:tc>
          <w:tcPr>
            <w:tcW w:w="3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szCs w:val="24"/>
                <w:lang w:eastAsia="x-none"/>
              </w:rPr>
              <w:t>Место поставки</w:t>
            </w:r>
          </w:p>
        </w:tc>
        <w:tc>
          <w:tcPr>
            <w:tcW w:w="110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bidi w:val="0"/>
              <w:jc w:val="left"/>
              <w:rPr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655619, Р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еспублика Хакасия, г. Саяногорск, рп. Черемушки, д.103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2.2.</w:t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szCs w:val="24"/>
                <w:lang w:eastAsia="x-none"/>
              </w:rPr>
              <w:t>Приемка продукции</w:t>
            </w:r>
          </w:p>
        </w:tc>
        <w:tc>
          <w:tcPr>
            <w:tcW w:w="110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Cs w:val="24"/>
              </w:rPr>
            </w:pPr>
            <w:r>
              <w:rPr>
                <w:szCs w:val="24"/>
              </w:rPr>
              <w:t>Осуществляется только в рабочие дни с 9-00 до 11-00 и с 13-00 до 16-00.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2.3.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i w:val="false"/>
                <w:iCs w:val="false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Times New Roman" w:cs="Times New Roman"/>
                <w:i w:val="false"/>
                <w:iCs w:val="false"/>
                <w:szCs w:val="24"/>
                <w:lang w:eastAsia="ru-RU"/>
              </w:rPr>
              <w:t xml:space="preserve"> по тел.</w:t>
            </w:r>
            <w:r>
              <w:rPr>
                <w:rFonts w:eastAsia="Times New Roman" w:cs="Times New Roman"/>
                <w:i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szCs w:val="24"/>
                <w:lang w:eastAsia="ru-RU"/>
              </w:rPr>
              <w:t>8-961-740-00-40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/>
              <w:jc w:val="center"/>
              <w:rPr/>
            </w:pPr>
            <w:r>
              <w:rPr>
                <w:szCs w:val="24"/>
              </w:rPr>
              <w:t>2.4.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Cs w:val="24"/>
              </w:rPr>
            </w:pPr>
            <w:r>
              <w:rPr>
                <w:szCs w:val="24"/>
                <w:lang w:eastAsia="x-none"/>
              </w:rPr>
              <w:t>Продукция, поставляемая согласно техническим требованиям, должна быть доставлена одной партией и отгружаться Поставщиком в таре и упаковке,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хранения, в том числе в местностях с неблагоприятными климатическими условиями. Продукция должна быть промаркирована: иметь информационные бирки с данными о наименовании, габаритных размерах</w:t>
            </w:r>
            <w:bookmarkStart w:id="16" w:name="_GoBack"/>
            <w:bookmarkEnd w:id="16"/>
            <w:r>
              <w:rPr>
                <w:szCs w:val="24"/>
                <w:lang w:eastAsia="x-none"/>
              </w:rPr>
              <w:t xml:space="preserve"> и веса поставляемого товара.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szCs w:val="24"/>
                <w:lang w:eastAsia="x-none"/>
              </w:rPr>
              <w:t>Сроки гарантии</w:t>
            </w:r>
          </w:p>
        </w:tc>
        <w:tc>
          <w:tcPr>
            <w:tcW w:w="110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color="auto" w:fill="FFFFFF"/>
              <w:tabs>
                <w:tab w:val="clear" w:pos="708"/>
                <w:tab w:val="left" w:pos="1134" w:leader="none"/>
                <w:tab w:val="left" w:pos="1276" w:leader="none"/>
              </w:tabs>
              <w:spacing w:before="0" w:after="120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 xml:space="preserve">На Продукцию устанавливается гарантийный срок, 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равный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 xml:space="preserve"> 36 (тридцати шести) месяцам,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4.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4.1.</w:t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110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Times New Roman" w:cs="Times New Roman"/>
                <w:i w:val="false"/>
                <w:i w:val="false"/>
                <w:iCs w:val="false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 с указанием химического состава наплавленного метала; где применимо свидетельства аттестации НАКС; упаковочный лист на продукцию; сертификаты о происхождении продукции; 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зависимости от номенклатуры поставляемой продукции; товарную накладную унифицированной формы ТОРГ-12 (УПД) в 2 экз., транспортную накладную.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yle"/>
                <w:rFonts w:eastAsia="Times New Roman" w:cs="Times New Roman"/>
                <w:b w:val="false"/>
                <w:bCs/>
                <w:i w:val="false"/>
                <w:iCs w:val="false"/>
                <w:sz w:val="20"/>
                <w:szCs w:val="20"/>
                <w:shd w:fill="auto" w:val="clear"/>
                <w:lang w:eastAsia="x-none"/>
              </w:rPr>
              <w:t>П</w:t>
            </w:r>
            <w:r>
              <w:rPr>
                <w:rStyle w:val="Style"/>
                <w:rFonts w:eastAsia="Times New Roman" w:cs="Times New Roman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 xml:space="preserve">родукция должна быть новой, ранее не использовавшейся, не ранее 2026г. изготовления. </w:t>
            </w:r>
            <w:r>
              <w:rPr>
                <w:rStyle w:val="Style"/>
                <w:rFonts w:eastAsia="Times New Roman" w:cs="Times New Roman"/>
                <w:b w:val="false"/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en-US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</w:t>
            </w:r>
          </w:p>
        </w:tc>
      </w:tr>
      <w:tr>
        <w:trPr>
          <w:trHeight w:val="278" w:hRule="atLeast"/>
        </w:trPr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5.2.</w:t>
            </w:r>
          </w:p>
        </w:tc>
        <w:tc>
          <w:tcPr>
            <w:tcW w:w="143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1134" w:right="1134" w:gutter="0" w:header="0" w:top="426" w:footer="708" w:bottom="85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1"/>
        <w:keepLines/>
        <w:numPr>
          <w:ilvl w:val="0"/>
          <w:numId w:val="0"/>
        </w:numPr>
        <w:tabs>
          <w:tab w:val="clear" w:pos="709"/>
          <w:tab w:val="left" w:pos="0" w:leader="none"/>
        </w:tabs>
        <w:spacing w:before="120" w:after="60"/>
        <w:ind w:hanging="0" w:left="357"/>
        <w:jc w:val="center"/>
        <w:rPr>
          <w:lang w:val="ru-RU"/>
        </w:rPr>
      </w:pPr>
      <w:r>
        <w:rPr>
          <w:lang w:val="ru-RU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0" w:leader="none"/>
        </w:tabs>
        <w:spacing w:before="120" w:after="60"/>
        <w:ind w:hanging="0" w:left="357"/>
        <w:jc w:val="center"/>
        <w:rPr>
          <w:lang w:val="ru-RU"/>
        </w:rPr>
      </w:pPr>
      <w:r>
        <w:rPr>
          <w:lang w:val="ru-RU"/>
        </w:rPr>
      </w:r>
    </w:p>
    <w:sectPr>
      <w:footerReference w:type="default" r:id="rId5"/>
      <w:footerReference w:type="first" r:id="rId6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23293898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5996391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51976302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3b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hanging="432"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c2ba4"/>
    <w:pPr>
      <w:keepNext w:val="true"/>
      <w:tabs>
        <w:tab w:val="clear" w:pos="708"/>
        <w:tab w:val="left" w:pos="0" w:leader="none"/>
        <w:tab w:val="left" w:pos="709" w:leader="none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c2ba4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Hyperlink" w:customStyle="1">
    <w:name w:val="Hyperlink"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5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FollowedHyperlink" w:customStyle="1">
    <w:name w:val="FollowedHyperlink"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">
    <w:name w:val="index heading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rsid w:val="00734d42"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rsid w:val="00cd6e45"/>
    <w:pPr>
      <w:keepNext w:val="true"/>
      <w:spacing w:before="40" w:after="40"/>
      <w:ind w:hanging="0" w:left="57" w:right="57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hanging="0" w:left="36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hanging="0" w:left="283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hanging="0" w:left="283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hanging="0"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hanging="0" w:left="280"/>
    </w:pPr>
    <w:rPr>
      <w:rFonts w:eastAsia="Times New Roman" w:cs="Calibri" w:cstheme="minorHAns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hanging="0" w:left="196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hanging="0" w:left="84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hanging="0" w:left="56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hanging="0" w:left="72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hanging="360" w:left="3196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rsid w:val="00cd6e45"/>
    <w:pPr>
      <w:spacing w:lineRule="auto" w:line="276" w:before="0" w:after="200"/>
      <w:ind w:hanging="0" w:left="72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cd6e45"/>
    <w:pPr>
      <w:numPr>
        <w:ilvl w:val="3"/>
        <w:numId w:val="4"/>
      </w:numPr>
      <w:spacing w:lineRule="exact" w:line="360" w:before="120" w:after="0"/>
      <w:ind w:hanging="648" w:left="172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4"/>
      </w:numPr>
      <w:spacing w:lineRule="exact" w:line="360" w:before="120" w:after="0"/>
      <w:ind w:hanging="792" w:left="223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4"/>
      </w:numPr>
      <w:spacing w:lineRule="exact" w:line="360" w:before="120" w:after="0"/>
      <w:ind w:hanging="1080" w:left="324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cd6e45"/>
    <w:pPr>
      <w:keepNext w:val="true"/>
      <w:numPr>
        <w:ilvl w:val="5"/>
        <w:numId w:val="4"/>
      </w:numPr>
      <w:spacing w:lineRule="exact" w:line="360" w:before="120" w:after="120"/>
      <w:ind w:hanging="936" w:left="27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cd6e45"/>
    <w:pPr>
      <w:spacing w:before="40" w:after="40"/>
      <w:ind w:hanging="0" w:left="57" w:right="57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rsid w:val="00cd6e45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hanging="0" w:left="112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hanging="0" w:left="140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hanging="0" w:left="168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rsid w:val="004900e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hanging="851" w:left="139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2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d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2376</TotalTime>
  <Application>AlterOffice/2026.2.0.0$Linux_X86_64 LibreOffice_project/bc4ef1adf80b36c7a6365f8ed6cbf29021361edd</Application>
  <AppVersion>15.0000</AppVersion>
  <Pages>5</Pages>
  <Words>725</Words>
  <Characters>4894</Characters>
  <CharactersWithSpaces>5466</CharactersWithSpaces>
  <Paragraphs>177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2023-05-24T06:11:00Z</dcterms:created>
  <dc:creator>Кочетов Сергей Владимирович</dc:creator>
  <dc:description/>
  <dc:language>ru-RU</dc:language>
  <cp:lastModifiedBy/>
  <dcterms:modified xsi:type="dcterms:W3CDTF">2026-10-21T10:47:09Z</dcterms:modified>
  <cp:revision>248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