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oter1.xml" ContentType="application/vnd.openxmlformats-officedocument.wordprocessingml.footer+xml"/>
  <Override PartName="/word/styles.xml" ContentType="application/vnd.openxmlformats-officedocument.wordprocessingml.styles+xml"/>
  <Override PartName="/word/_rels/document.xml.rels" ContentType="application/vnd.openxmlformats-package.relationships+xml"/>
  <Override PartName="/word/footer6.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footer5.xml" ContentType="application/vnd.openxmlformats-officedocument.wordprocessingml.footer+xml"/>
  <Override PartName="/word/fontTable.xml" ContentType="application/vnd.openxmlformats-officedocument.wordprocessingml.fontTabl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spacing w:before="0" w:after="120"/>
        <w:ind w:hanging="0" w:left="0"/>
        <w:outlineLvl w:val="0"/>
        <w:rPr>
          <w:sz w:val="24"/>
        </w:rPr>
      </w:pPr>
      <w:r>
        <w:rPr>
          <w:sz w:val="24"/>
        </w:rPr>
        <w:t>Договор поставки № _______-СШФ/пос-26</w:t>
      </w:r>
    </w:p>
    <w:p>
      <w:pPr>
        <w:pStyle w:val="Normal"/>
        <w:shd w:val="clear" w:color="auto" w:fill="FFFFFF"/>
        <w:spacing w:before="0" w:after="120"/>
        <w:rPr>
          <w:sz w:val="24"/>
          <w:szCs w:val="24"/>
        </w:rPr>
      </w:pPr>
      <w:r>
        <w:rPr>
          <w:sz w:val="24"/>
          <w:szCs w:val="24"/>
        </w:rPr>
        <w:t>Республика Хакасия, г. Саяногорск, рп. Черемушки</w:t>
        <w:tab/>
        <w:t xml:space="preserve"> </w:t>
        <w:tab/>
        <w:t>«___» ____________ 2026г.</w:t>
      </w:r>
    </w:p>
    <w:p>
      <w:pPr>
        <w:pStyle w:val="Normal"/>
        <w:shd w:val="clear" w:color="auto" w:fill="FFFFFF"/>
        <w:spacing w:before="0" w:after="120"/>
        <w:ind w:firstLine="567"/>
        <w:jc w:val="both"/>
        <w:rPr>
          <w:sz w:val="24"/>
          <w:szCs w:val="24"/>
        </w:rPr>
      </w:pPr>
      <w:r>
        <w:rPr>
          <w:sz w:val="24"/>
          <w:szCs w:val="24"/>
        </w:rPr>
      </w:r>
    </w:p>
    <w:p>
      <w:pPr>
        <w:pStyle w:val="Normal"/>
        <w:spacing w:before="0"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лице _________________, действующего на основании ______________, с одной стороны, и</w:t>
      </w:r>
    </w:p>
    <w:p>
      <w:pPr>
        <w:pStyle w:val="Normal"/>
        <w:spacing w:before="0" w:after="120"/>
        <w:ind w:firstLine="567"/>
        <w:jc w:val="both"/>
        <w:rPr>
          <w:sz w:val="24"/>
          <w:szCs w:val="24"/>
        </w:rPr>
      </w:pPr>
      <w:r>
        <w:rPr>
          <w:b/>
          <w:sz w:val="24"/>
          <w:szCs w:val="24"/>
        </w:rPr>
        <w:t>________________(___________),</w:t>
      </w:r>
      <w:r>
        <w:rPr>
          <w:sz w:val="24"/>
          <w:szCs w:val="24"/>
        </w:rPr>
        <w:t xml:space="preserve"> именуемое в дальнейшем «</w:t>
      </w:r>
      <w:r>
        <w:rPr>
          <w:b/>
          <w:sz w:val="24"/>
          <w:szCs w:val="24"/>
        </w:rPr>
        <w:t>Поставщик</w:t>
      </w:r>
      <w:r>
        <w:rPr>
          <w:sz w:val="24"/>
          <w:szCs w:val="24"/>
        </w:rPr>
        <w:t xml:space="preserve">», в лице ________________, действующего на основании ______________, с другой стороны, совместно в дальнейшем именуемые «Стороны», а по отдельности – «Сторона», </w:t>
      </w:r>
    </w:p>
    <w:p>
      <w:pPr>
        <w:pStyle w:val="Normal"/>
        <w:tabs>
          <w:tab w:val="clear" w:pos="720"/>
          <w:tab w:val="left" w:pos="567" w:leader="none"/>
        </w:tabs>
        <w:spacing w:lineRule="auto" w:line="240" w:before="0" w:after="0"/>
        <w:ind w:firstLine="556" w:left="0" w:right="0"/>
        <w:jc w:val="both"/>
        <w:rPr>
          <w:rFonts w:ascii="Times New Roman" w:hAnsi="Times New Roman" w:cs="Times New Roman"/>
          <w:sz w:val="24"/>
          <w:szCs w:val="24"/>
        </w:rPr>
      </w:pPr>
      <w:r>
        <w:rPr>
          <w:rFonts w:eastAsia="Times New Roman" w:cs="Times New Roman"/>
          <w:b w:val="false"/>
          <w:bCs/>
          <w:color w:val="auto"/>
          <w:kern w:val="0"/>
          <w:sz w:val="24"/>
          <w:szCs w:val="24"/>
          <w:lang w:val="ru-RU" w:eastAsia="ru-RU" w:bidi="ar-SA"/>
        </w:rPr>
        <w:t xml:space="preserve">по результатам проведенной </w:t>
      </w:r>
      <w:r>
        <w:rPr>
          <w:rFonts w:eastAsia="Times New Roman" w:cs="Times New Roman"/>
          <w:b w:val="false"/>
          <w:bCs w:val="false"/>
          <w:color w:val="auto"/>
          <w:kern w:val="0"/>
          <w:sz w:val="24"/>
          <w:szCs w:val="24"/>
          <w:lang w:val="ru-RU" w:eastAsia="ru-RU" w:bidi="ar-SA"/>
        </w:rPr>
        <w:t xml:space="preserve"> внеплановой </w:t>
      </w:r>
      <w:r>
        <w:rPr>
          <w:rFonts w:eastAsia="Times New Roman" w:cs="Times New Roman"/>
          <w:b w:val="false"/>
          <w:bCs/>
          <w:color w:val="auto"/>
          <w:kern w:val="0"/>
          <w:sz w:val="24"/>
          <w:szCs w:val="24"/>
          <w:lang w:val="ru-RU" w:eastAsia="ru-RU" w:bidi="ar-SA"/>
        </w:rPr>
        <w:t>нерегламентированной закупки на право заключения договора «</w:t>
      </w:r>
      <w:r>
        <w:rPr>
          <w:rFonts w:eastAsia="Times New Roman" w:cs="Times New Roman"/>
          <w:b w:val="false"/>
          <w:bCs w:val="false"/>
          <w:i w:val="false"/>
          <w:iCs w:val="false"/>
          <w:strike w:val="false"/>
          <w:dstrike w:val="false"/>
          <w:outline w:val="false"/>
          <w:shadow w:val="false"/>
          <w:color w:val="auto"/>
          <w:kern w:val="0"/>
          <w:sz w:val="26"/>
          <w:szCs w:val="26"/>
          <w:u w:val="none"/>
          <w:em w:val="none"/>
          <w:lang w:val="ru-RU" w:eastAsia="en-US" w:bidi="ar-SA"/>
        </w:rPr>
        <w:t xml:space="preserve">ОКПД2 </w:t>
      </w:r>
      <w:r>
        <w:rPr>
          <w:rFonts w:eastAsia="Times New Roman" w:cs="Times New Roman"/>
          <w:b w:val="false"/>
          <w:bCs w:val="false"/>
          <w:i w:val="false"/>
          <w:iCs w:val="false"/>
          <w:strike w:val="false"/>
          <w:dstrike w:val="false"/>
          <w:outline w:val="false"/>
          <w:shadow w:val="false"/>
          <w:color w:val="auto"/>
          <w:kern w:val="0"/>
          <w:sz w:val="26"/>
          <w:szCs w:val="24"/>
          <w:u w:val="none"/>
          <w:em w:val="none"/>
          <w:lang w:val="ru-RU" w:eastAsia="en-US" w:bidi="ar-SA"/>
        </w:rPr>
        <w:t>25.93.15.120 Поставка сварочных электродов для выполнения работ на Саяно-Шушенской ГЭС</w:t>
      </w:r>
      <w:r>
        <w:rPr>
          <w:rFonts w:eastAsia="Times New Roman" w:cs="Times New Roman"/>
          <w:b w:val="false"/>
          <w:bCs/>
          <w:color w:val="auto"/>
          <w:kern w:val="0"/>
          <w:sz w:val="24"/>
          <w:szCs w:val="24"/>
          <w:lang w:val="ru-RU" w:eastAsia="ru-RU" w:bidi="ar-SA"/>
        </w:rPr>
        <w:t xml:space="preserve">» по лоту № </w:t>
      </w:r>
      <w:r>
        <w:rPr>
          <w:rFonts w:eastAsia="Calibri" w:cs="Times New Roman" w:ascii="Times New Roman;Times;serif" w:hAnsi="Times New Roman;Times;serif"/>
          <w:b w:val="false"/>
          <w:bCs w:val="false"/>
          <w:color w:val="000000"/>
          <w:kern w:val="0"/>
          <w:sz w:val="24"/>
          <w:szCs w:val="24"/>
          <w:shd w:fill="auto" w:val="clear"/>
          <w:lang w:val="en-US" w:eastAsia="en-US" w:bidi="ar-SA"/>
        </w:rPr>
        <w:t>_____-</w:t>
      </w:r>
      <w:r>
        <w:rPr>
          <w:rFonts w:eastAsia="Calibri" w:cs="Times New Roman" w:ascii="Times New Roman;Times;serif" w:hAnsi="Times New Roman;Times;serif"/>
          <w:b w:val="false"/>
          <w:bCs w:val="false"/>
          <w:i w:val="false"/>
          <w:strike w:val="false"/>
          <w:dstrike w:val="false"/>
          <w:outline w:val="false"/>
          <w:shadow w:val="false"/>
          <w:color w:val="000000"/>
          <w:kern w:val="0"/>
          <w:sz w:val="24"/>
          <w:szCs w:val="24"/>
          <w:u w:val="none"/>
          <w:shd w:fill="auto" w:val="clear"/>
          <w:em w:val="none"/>
          <w:lang w:val="en-US" w:eastAsia="en-US" w:bidi="ar-SA"/>
        </w:rPr>
        <w:t>РЕМ ДОХ-2026-ГРВКК-СШФ</w:t>
      </w:r>
      <w:r>
        <w:rPr>
          <w:rFonts w:eastAsia="Times New Roman" w:cs="Times New Roman"/>
          <w:b w:val="false"/>
          <w:bCs/>
          <w:color w:val="auto"/>
          <w:kern w:val="0"/>
          <w:sz w:val="24"/>
          <w:szCs w:val="24"/>
          <w:lang w:val="ru-RU" w:eastAsia="ru-RU" w:bidi="ar-SA"/>
        </w:rPr>
        <w:t xml:space="preserve">, что подтверждается Аналитической запиской № </w:t>
      </w:r>
      <w:r>
        <w:rPr>
          <w:rFonts w:eastAsia="Times New Roman" w:cs="Times New Roman"/>
          <w:b w:val="false"/>
          <w:bCs w:val="false"/>
          <w:color w:val="auto"/>
          <w:kern w:val="0"/>
          <w:sz w:val="24"/>
          <w:szCs w:val="24"/>
          <w:lang w:val="ru-RU" w:eastAsia="en-US" w:bidi="ar-SA"/>
        </w:rPr>
        <w:t>09/____ от __.__.2026</w:t>
      </w:r>
      <w:r>
        <w:rPr>
          <w:rFonts w:eastAsia="Times New Roman" w:cs="Times New Roman"/>
          <w:b w:val="false"/>
          <w:bCs/>
          <w:color w:val="auto"/>
          <w:kern w:val="0"/>
          <w:sz w:val="24"/>
          <w:szCs w:val="24"/>
          <w:lang w:val="ru-RU" w:eastAsia="ru-RU" w:bidi="ar-SA"/>
        </w:rPr>
        <w:t>,</w:t>
      </w:r>
    </w:p>
    <w:p>
      <w:pPr>
        <w:pStyle w:val="Normal"/>
        <w:spacing w:before="0" w:after="120"/>
        <w:ind w:firstLine="567"/>
        <w:jc w:val="both"/>
        <w:rPr>
          <w:sz w:val="24"/>
          <w:szCs w:val="24"/>
        </w:rPr>
      </w:pPr>
      <w:r>
        <w:rPr>
          <w:sz w:val="24"/>
          <w:szCs w:val="24"/>
        </w:rPr>
        <w:t>заключили настоящий Договор (далее – «Договор») о нижеследующем:</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bCs/>
          <w:sz w:val="24"/>
          <w:szCs w:val="24"/>
        </w:rPr>
        <w:t>Предмет Договора</w:t>
      </w:r>
    </w:p>
    <w:p>
      <w:pPr>
        <w:pStyle w:val="Title"/>
        <w:numPr>
          <w:ilvl w:val="1"/>
          <w:numId w:val="6"/>
        </w:numPr>
        <w:tabs>
          <w:tab w:val="clear" w:pos="720"/>
          <w:tab w:val="left" w:pos="142" w:leader="none"/>
        </w:tabs>
        <w:spacing w:before="0" w:after="120"/>
        <w:ind w:firstLine="567" w:left="0"/>
        <w:jc w:val="both"/>
        <w:rPr>
          <w:b w:val="false"/>
          <w:sz w:val="24"/>
        </w:rPr>
      </w:pPr>
      <w:r>
        <w:rPr>
          <w:b w:val="false"/>
          <w:sz w:val="24"/>
        </w:rPr>
        <w:t xml:space="preserve">Поставщик обязуется передать Покупателю </w:t>
      </w:r>
      <w:r>
        <w:rPr>
          <w:rFonts w:eastAsia="Times New Roman" w:cs="Times New Roman" w:ascii="Times New Roman;Times" w:hAnsi="Times New Roman;Times"/>
          <w:b/>
          <w:bCs/>
          <w:i w:val="false"/>
          <w:iCs w:val="false"/>
          <w:strike w:val="false"/>
          <w:dstrike w:val="false"/>
          <w:outline w:val="false"/>
          <w:shadow w:val="false"/>
          <w:color w:val="000000"/>
          <w:spacing w:val="-6"/>
          <w:kern w:val="0"/>
          <w:sz w:val="26"/>
          <w:szCs w:val="26"/>
          <w:u w:val="none"/>
          <w:shd w:fill="auto" w:val="clear"/>
          <w:em w:val="none"/>
          <w:lang w:val="ru-RU" w:eastAsia="en-US" w:bidi="ar-SA"/>
        </w:rPr>
        <w:t>сварочные электроды</w:t>
      </w:r>
      <w:r>
        <w:rPr>
          <w:b w:val="false"/>
          <w:sz w:val="24"/>
        </w:rPr>
        <w:t xml:space="preserve"> (далее – «Продукция») на условиях, согласованных Сторонами в Договоре, в соответствии со Спецификацией (</w:t>
      </w:r>
      <w:r>
        <w:rPr>
          <w:sz w:val="24"/>
        </w:rPr>
        <w:t>Приложение № 1</w:t>
      </w:r>
      <w:r>
        <w:rPr>
          <w:b w:val="false"/>
          <w:sz w:val="24"/>
        </w:rPr>
        <w:t>), и Техническими требованиями (</w:t>
      </w:r>
      <w:r>
        <w:rPr>
          <w:b/>
          <w:bCs/>
          <w:sz w:val="24"/>
        </w:rPr>
        <w:t>Приложение № 2</w:t>
      </w:r>
      <w:r>
        <w:rPr>
          <w:b w:val="false"/>
          <w:sz w:val="24"/>
        </w:rPr>
        <w:t>), а Покупатель обязуется принять и оплатить Продукцию в установленном Договором порядке.</w:t>
      </w:r>
    </w:p>
    <w:p>
      <w:pPr>
        <w:pStyle w:val="Title"/>
        <w:numPr>
          <w:ilvl w:val="1"/>
          <w:numId w:val="6"/>
        </w:numPr>
        <w:shd w:val="clear" w:color="auto" w:fill="FFFFFF"/>
        <w:tabs>
          <w:tab w:val="clear" w:pos="720"/>
          <w:tab w:val="left" w:pos="142" w:leader="none"/>
          <w:tab w:val="left" w:pos="540" w:leader="none"/>
        </w:tabs>
        <w:spacing w:before="120" w:after="120"/>
        <w:ind w:firstLine="567" w:left="0"/>
        <w:jc w:val="both"/>
        <w:rPr>
          <w:b w:val="false"/>
          <w:sz w:val="24"/>
        </w:rPr>
      </w:pPr>
      <w:r>
        <w:rPr>
          <w:b w:val="false"/>
          <w:sz w:val="24"/>
        </w:rPr>
        <w:t>Поставка осуществляется одной партией.</w:t>
      </w:r>
    </w:p>
    <w:p>
      <w:pPr>
        <w:pStyle w:val="ListParagraph"/>
        <w:numPr>
          <w:ilvl w:val="1"/>
          <w:numId w:val="6"/>
        </w:numPr>
        <w:shd w:val="clear" w:color="auto" w:fill="FFFFFF"/>
        <w:tabs>
          <w:tab w:val="clear" w:pos="720"/>
          <w:tab w:val="left" w:pos="142" w:leader="none"/>
          <w:tab w:val="left" w:pos="540" w:leader="none"/>
        </w:tabs>
        <w:spacing w:before="0" w:after="120"/>
        <w:ind w:firstLine="567" w:left="0"/>
        <w:contextualSpacing w:val="false"/>
        <w:jc w:val="both"/>
        <w:rPr>
          <w:sz w:val="24"/>
          <w:szCs w:val="24"/>
        </w:rPr>
      </w:pPr>
      <w:r>
        <w:rPr>
          <w:sz w:val="24"/>
          <w:szCs w:val="24"/>
        </w:rPr>
        <w:t>Поставка по Договору выполняется для нужд Саяно-Шушенского филиала АО «Гидроремонт-ВКК» в п. Черемушки.</w:t>
      </w:r>
    </w:p>
    <w:p>
      <w:pPr>
        <w:pStyle w:val="ListParagraph"/>
        <w:numPr>
          <w:ilvl w:val="1"/>
          <w:numId w:val="6"/>
        </w:numPr>
        <w:shd w:val="clear" w:color="auto" w:fill="FFFFFF"/>
        <w:tabs>
          <w:tab w:val="clear" w:pos="720"/>
          <w:tab w:val="left" w:pos="142" w:leader="none"/>
          <w:tab w:val="left" w:pos="540" w:leader="none"/>
        </w:tabs>
        <w:spacing w:before="0" w:after="120"/>
        <w:ind w:firstLine="567" w:left="0"/>
        <w:contextualSpacing w:val="false"/>
        <w:jc w:val="both"/>
        <w:rPr>
          <w:sz w:val="24"/>
          <w:szCs w:val="24"/>
        </w:rPr>
      </w:pPr>
      <w:r>
        <w:rPr>
          <w:sz w:val="24"/>
          <w:szCs w:val="24"/>
        </w:rPr>
        <w:t xml:space="preserve">Место поставки: </w:t>
      </w:r>
      <w:r>
        <w:rPr>
          <w:b w:val="false"/>
          <w:i w:val="false"/>
          <w:strike w:val="false"/>
          <w:dstrike w:val="false"/>
          <w:outline w:val="false"/>
          <w:shadow w:val="false"/>
          <w:color w:val="000000"/>
          <w:sz w:val="24"/>
          <w:szCs w:val="24"/>
          <w:u w:val="none"/>
          <w:em w:val="none"/>
        </w:rPr>
        <w:t>г. Новосибирск, ул. Новоморская, д. 4/1.</w:t>
      </w:r>
      <w:r>
        <w:rPr>
          <w:sz w:val="24"/>
          <w:szCs w:val="24"/>
        </w:rPr>
        <w:t xml:space="preserve"> (далее – «Место поставки»).</w:t>
      </w:r>
    </w:p>
    <w:p>
      <w:pPr>
        <w:pStyle w:val="ListParagraph"/>
        <w:numPr>
          <w:ilvl w:val="1"/>
          <w:numId w:val="6"/>
        </w:numPr>
        <w:shd w:val="clear" w:color="auto" w:fill="FFFFFF"/>
        <w:tabs>
          <w:tab w:val="clear" w:pos="720"/>
          <w:tab w:val="left" w:pos="142" w:leader="none"/>
          <w:tab w:val="left" w:pos="540" w:leader="none"/>
        </w:tabs>
        <w:spacing w:before="0" w:after="120"/>
        <w:ind w:firstLine="567" w:left="0"/>
        <w:contextualSpacing w:val="false"/>
        <w:jc w:val="both"/>
        <w:rPr>
          <w:sz w:val="24"/>
          <w:szCs w:val="24"/>
        </w:rPr>
      </w:pPr>
      <w:r>
        <w:rPr>
          <w:sz w:val="24"/>
          <w:szCs w:val="24"/>
        </w:rPr>
        <w:t xml:space="preserve">Срок поставки Продукции по Договору: в течение </w:t>
      </w:r>
      <w:r>
        <w:rPr>
          <w:sz w:val="24"/>
          <w:szCs w:val="24"/>
        </w:rPr>
        <w:t>15</w:t>
      </w:r>
      <w:r>
        <w:rPr>
          <w:sz w:val="24"/>
          <w:szCs w:val="24"/>
        </w:rPr>
        <w:t xml:space="preserve"> календарных дней с даты подписания Договора.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Цена Договора и порядок оплаты</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sz w:val="24"/>
          <w:szCs w:val="24"/>
        </w:rPr>
      </w:pPr>
      <w:r>
        <w:rPr>
          <w:sz w:val="24"/>
          <w:szCs w:val="24"/>
        </w:rPr>
        <w:t>Общая стоимость Продукции (далее – «Цена Договора») по Договору составляет __________(__________________) рублей _____ копеек, в том числе НДС (22 %) в размере ___________(____________) рублей ____ копеек.</w:t>
      </w:r>
      <w:r>
        <w:rPr>
          <w:bCs/>
          <w:szCs w:val="28"/>
        </w:rPr>
        <w:t xml:space="preserve"> </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Цена Договора включает в себя: </w:t>
      </w:r>
    </w:p>
    <w:p>
      <w:pPr>
        <w:pStyle w:val="ListParagraph"/>
        <w:numPr>
          <w:ilvl w:val="2"/>
          <w:numId w:val="6"/>
        </w:numPr>
        <w:tabs>
          <w:tab w:val="clear" w:pos="720"/>
          <w:tab w:val="left" w:pos="0" w:leader="none"/>
          <w:tab w:val="left" w:pos="851" w:leader="none"/>
        </w:tabs>
        <w:spacing w:before="0" w:after="120"/>
        <w:ind w:firstLine="567" w:left="0"/>
        <w:contextualSpacing w:val="false"/>
        <w:jc w:val="both"/>
        <w:rPr>
          <w:sz w:val="24"/>
          <w:szCs w:val="24"/>
        </w:rPr>
      </w:pPr>
      <w:r>
        <w:rPr>
          <w:color w:val="000000"/>
          <w:sz w:val="24"/>
          <w:szCs w:val="24"/>
        </w:rPr>
        <w:t>Стоимость Продукции.</w:t>
      </w:r>
    </w:p>
    <w:p>
      <w:pPr>
        <w:pStyle w:val="Normal"/>
        <w:tabs>
          <w:tab w:val="clear" w:pos="720"/>
          <w:tab w:val="left" w:pos="0" w:leader="none"/>
          <w:tab w:val="left" w:pos="851" w:leader="none"/>
        </w:tabs>
        <w:spacing w:before="0" w:after="120"/>
        <w:jc w:val="both"/>
        <w:rPr>
          <w:sz w:val="24"/>
          <w:szCs w:val="24"/>
        </w:rPr>
      </w:pPr>
      <w:r>
        <w:rPr>
          <w:bCs/>
          <w:sz w:val="24"/>
          <w:szCs w:val="24"/>
        </w:rPr>
        <w:tab/>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sz w:val="24"/>
          <w:szCs w:val="24"/>
        </w:rPr>
      </w:pPr>
      <w:r>
        <w:rPr>
          <w:sz w:val="24"/>
          <w:szCs w:val="24"/>
        </w:rPr>
        <w:t>Стоимость Продукции является фиксированной и не подлежит изменению.</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Стоимость единицы Продукции определяется Спецификацией (Приложение № 1). </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Оплата в соответствии с Договором осуществляется следующим образом: </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2.5.1. Авансовый платеж в размере 30 % (тридцати процентов) от Цены Договора выплачивается в срок, не превышающий 30 (тридцать) календарных дней с даты получения Покупателем счета, выставленного Поставщиком, но не ранее 30 (тридцати) календарных дней до даты поставки Продукции.</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 xml:space="preserve">2.5.2.  Платеж в размере 60 % (шестидесяти процентов) от стоимости поставленной Продукции, согласно Спецификации </w:t>
      </w:r>
      <w:bookmarkStart w:id="0" w:name="_GoBack"/>
      <w:bookmarkEnd w:id="0"/>
      <w:r>
        <w:rPr>
          <w:sz w:val="24"/>
          <w:szCs w:val="24"/>
        </w:rPr>
        <w:t xml:space="preserve">(Приложение № 1), производится Покупателем </w:t>
      </w:r>
      <w:r>
        <w:rPr>
          <w:sz w:val="24"/>
          <w:szCs w:val="24"/>
          <w:shd w:fill="auto" w:val="clear"/>
        </w:rPr>
        <w:t>в течение 30 (тридцати) календарных дней/7 (семи) рабочих дней</w:t>
      </w:r>
      <w:r>
        <w:rPr>
          <w:rStyle w:val="FootnoteReference"/>
          <w:sz w:val="24"/>
          <w:szCs w:val="24"/>
          <w:shd w:fill="auto" w:val="clear"/>
        </w:rPr>
        <w:footnoteReference w:id="2"/>
      </w:r>
      <w:r>
        <w:rPr>
          <w:sz w:val="24"/>
          <w:szCs w:val="24"/>
          <w:shd w:fill="auto" w:val="clear"/>
        </w:rPr>
        <w:t xml:space="preserve"> с даты подписан</w:t>
      </w:r>
      <w:r>
        <w:rPr>
          <w:sz w:val="24"/>
          <w:szCs w:val="24"/>
        </w:rPr>
        <w:t>ия Товарной накладной по форме ТОРГ-12 или Универсального передаточного документа (УПД) на Продукцию, при условии получении счета, выставленного Поставщиком с учетом п. 2.6 Договора. При этом в счетах на оплату, выставленных Поставщиком, должна быть отдельно выделена сумма обеспечительного платежа.</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 xml:space="preserve">2.5.3. Обеспечительный платеж в размере 10 % (десяти процентов) от стоимости Продукции производится в течение 70 (семидесяти) календарных дней с даты исполнения Поставщиком всех обязательств по Договору при отсутствии претензий и требований со стороны Покупателя и с учетом п.2.6. Договора на основании счета, выставленного Поставщиком. </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 xml:space="preserve"> 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firstLine="567" w:left="0"/>
        <w:contextualSpacing w:val="false"/>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 xml:space="preserve">Поставщик обязан представить Покупателю счета-фактуры </w:t>
      </w:r>
      <w:r>
        <w:rPr>
          <w:sz w:val="24"/>
          <w:szCs w:val="24"/>
          <w:shd w:fill="auto" w:val="clear"/>
        </w:rPr>
        <w:t>(УПД),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(УПД), он обязан произвести замену счета-фактуры (УПД)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(УПД), подтвержда</w:t>
      </w:r>
      <w:r>
        <w:rPr>
          <w:sz w:val="24"/>
          <w:szCs w:val="24"/>
        </w:rPr>
        <w:t>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before="0"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обязательство Покупателя, по которому произошла задержка, не является денежным.</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Индексация Цены Договора не допускается.</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highlight w:val="none"/>
          <w:shd w:fill="auto" w:val="clear"/>
        </w:rPr>
      </w:pPr>
      <w:r>
        <w:rPr>
          <w:rFonts w:cs="Times New Roman"/>
          <w:color w:val="000000"/>
          <w:sz w:val="24"/>
          <w:szCs w:val="24"/>
          <w:shd w:fill="auto" w:val="clear"/>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поставленной Поставщиком Продукции.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z w:val="24"/>
          <w:szCs w:val="24"/>
        </w:rPr>
      </w:pPr>
      <w:r>
        <w:rPr>
          <w:sz w:val="24"/>
          <w:szCs w:val="24"/>
        </w:rPr>
        <w:t xml:space="preserve">Сертификаты качества в </w:t>
      </w:r>
      <w:r>
        <w:rPr>
          <w:color w:val="000000"/>
          <w:sz w:val="24"/>
          <w:szCs w:val="24"/>
        </w:rPr>
        <w:t xml:space="preserve">1 </w:t>
      </w:r>
      <w:r>
        <w:rPr>
          <w:sz w:val="24"/>
          <w:szCs w:val="24"/>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z w:val="24"/>
          <w:szCs w:val="24"/>
        </w:rPr>
      </w:pPr>
      <w:r>
        <w:rPr>
          <w:rFonts w:eastAsia="Times New Roman" w:cs="Times New Roman"/>
          <w:i w:val="false"/>
          <w:iCs w:val="false"/>
          <w:sz w:val="24"/>
          <w:szCs w:val="24"/>
          <w:lang w:eastAsia="x-none"/>
        </w:rPr>
        <w:t>Т</w:t>
      </w:r>
      <w:r>
        <w:rPr>
          <w:rFonts w:eastAsia="Times New Roman" w:cs="Times New Roman"/>
          <w:i w:val="false"/>
          <w:iCs w:val="false"/>
          <w:sz w:val="24"/>
          <w:szCs w:val="24"/>
          <w:lang w:eastAsia="x-none"/>
        </w:rPr>
        <w:t>ехнические паспорта с указанием химического состава наплавленного метала</w:t>
      </w:r>
      <w:r>
        <w:rPr>
          <w:sz w:val="24"/>
          <w:szCs w:val="24"/>
        </w:rPr>
        <w:t xml:space="preserve"> на русском языке в </w:t>
      </w:r>
      <w:r>
        <w:rPr>
          <w:color w:val="000000"/>
          <w:sz w:val="24"/>
          <w:szCs w:val="24"/>
        </w:rPr>
        <w:t xml:space="preserve">1 </w:t>
      </w:r>
      <w:r>
        <w:rPr>
          <w:sz w:val="24"/>
          <w:szCs w:val="24"/>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z w:val="24"/>
          <w:szCs w:val="24"/>
        </w:rPr>
      </w:pPr>
      <w:r>
        <w:rPr>
          <w:rFonts w:eastAsia="Times New Roman" w:cs="Times New Roman"/>
          <w:i w:val="false"/>
          <w:iCs w:val="false"/>
          <w:sz w:val="24"/>
          <w:szCs w:val="24"/>
          <w:lang w:eastAsia="x-none"/>
        </w:rPr>
        <w:t>С</w:t>
      </w:r>
      <w:r>
        <w:rPr>
          <w:rFonts w:eastAsia="Times New Roman" w:cs="Times New Roman"/>
          <w:i w:val="false"/>
          <w:iCs w:val="false"/>
          <w:sz w:val="24"/>
          <w:szCs w:val="24"/>
          <w:lang w:eastAsia="x-none"/>
        </w:rPr>
        <w:t>видетельства аттестации НАКС;</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z w:val="24"/>
          <w:szCs w:val="24"/>
        </w:rPr>
      </w:pPr>
      <w:r>
        <w:rPr>
          <w:sz w:val="24"/>
          <w:szCs w:val="24"/>
        </w:rPr>
        <w:t xml:space="preserve">Инструкции по эксплуатации (монтажу и т.п.) на русском языке в </w:t>
      </w:r>
      <w:r>
        <w:rPr>
          <w:color w:val="000000"/>
          <w:sz w:val="24"/>
          <w:szCs w:val="24"/>
        </w:rPr>
        <w:t xml:space="preserve">1 </w:t>
      </w:r>
      <w:r>
        <w:rPr>
          <w:sz w:val="24"/>
          <w:szCs w:val="24"/>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z w:val="24"/>
          <w:szCs w:val="24"/>
        </w:rPr>
      </w:pPr>
      <w:r>
        <w:rPr>
          <w:sz w:val="24"/>
          <w:szCs w:val="24"/>
        </w:rPr>
        <w:t xml:space="preserve">Упаковочный лист на Продукцию в </w:t>
      </w:r>
      <w:r>
        <w:rPr>
          <w:color w:val="000000"/>
          <w:sz w:val="24"/>
          <w:szCs w:val="24"/>
        </w:rPr>
        <w:t xml:space="preserve">1 </w:t>
      </w:r>
      <w:r>
        <w:rPr>
          <w:sz w:val="24"/>
          <w:szCs w:val="24"/>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z w:val="24"/>
          <w:szCs w:val="24"/>
        </w:rPr>
      </w:pPr>
      <w:r>
        <w:rPr>
          <w:sz w:val="24"/>
          <w:szCs w:val="24"/>
        </w:rPr>
        <w:t xml:space="preserve">Сертификаты о происхождении Продукции в </w:t>
      </w:r>
      <w:r>
        <w:rPr>
          <w:color w:val="000000"/>
          <w:sz w:val="24"/>
          <w:szCs w:val="24"/>
        </w:rPr>
        <w:t xml:space="preserve">1 </w:t>
      </w:r>
      <w:r>
        <w:rPr>
          <w:sz w:val="24"/>
          <w:szCs w:val="24"/>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120"/>
        <w:ind w:firstLine="567" w:left="0"/>
        <w:jc w:val="both"/>
        <w:rPr>
          <w:sz w:val="24"/>
          <w:szCs w:val="24"/>
        </w:rPr>
      </w:pPr>
      <w:r>
        <w:rPr>
          <w:sz w:val="24"/>
          <w:szCs w:val="24"/>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firstLine="567" w:left="0"/>
        <w:jc w:val="both"/>
        <w:rPr>
          <w:sz w:val="24"/>
          <w:szCs w:val="24"/>
        </w:rPr>
      </w:pP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w:t>
      </w:r>
      <w:r>
        <w:rPr>
          <w:sz w:val="24"/>
          <w:szCs w:val="24"/>
          <w:shd w:fill="auto" w:val="clear"/>
        </w:rPr>
        <w:t xml:space="preserve"> </w:t>
      </w:r>
      <w:r>
        <w:rPr>
          <w:rFonts w:cs="Times New Roman"/>
          <w:sz w:val="24"/>
          <w:szCs w:val="24"/>
          <w:shd w:fill="auto" w:val="clear"/>
        </w:rPr>
        <w:t>(</w:t>
      </w:r>
      <w:r>
        <w:rPr>
          <w:rFonts w:cs="Times New Roman"/>
          <w:color w:val="000000"/>
          <w:sz w:val="24"/>
          <w:szCs w:val="24"/>
          <w:shd w:fill="auto" w:val="clear"/>
        </w:rPr>
        <w:t xml:space="preserve">в ред. </w:t>
      </w:r>
      <w:hyperlink r:id="rId2">
        <w:r>
          <w:rPr>
            <w:rStyle w:val="Hyperlink"/>
            <w:rFonts w:cs="Times New Roman"/>
            <w:color w:val="000000"/>
            <w:sz w:val="24"/>
            <w:szCs w:val="24"/>
            <w:u w:val="none"/>
            <w:shd w:fill="auto" w:val="clear"/>
          </w:rPr>
          <w:t>Постановления Правительства РФ от 21.12.2020 № 2200</w:t>
        </w:r>
      </w:hyperlink>
      <w:r>
        <w:rPr>
          <w:rFonts w:cs="Times New Roman"/>
          <w:sz w:val="24"/>
          <w:szCs w:val="24"/>
          <w:shd w:fill="auto" w:val="clear"/>
        </w:rPr>
        <w:t>)</w:t>
      </w:r>
      <w:r>
        <w:rPr>
          <w:sz w:val="24"/>
          <w:szCs w:val="24"/>
          <w:shd w:fill="auto" w:val="clear"/>
        </w:rPr>
        <w:t>;</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firstLine="567" w:left="0"/>
        <w:jc w:val="both"/>
        <w:rPr>
          <w:highlight w:val="none"/>
          <w:shd w:fill="auto" w:val="clear"/>
        </w:rPr>
      </w:pPr>
      <w:r>
        <w:rPr>
          <w:sz w:val="24"/>
          <w:szCs w:val="24"/>
          <w:shd w:fill="auto" w:val="clear"/>
        </w:rPr>
        <w:t>Товарную накладную по форме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auto" w:val="clear"/>
        </w:rPr>
      </w:pPr>
      <w:r>
        <w:rPr>
          <w:sz w:val="24"/>
          <w:szCs w:val="24"/>
          <w:shd w:fill="auto" w:val="clear"/>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pPr>
      <w:r>
        <w:rPr>
          <w:sz w:val="24"/>
          <w:szCs w:val="24"/>
          <w:shd w:fill="auto" w:val="clear"/>
        </w:rPr>
        <w:t xml:space="preserve">Приемка Продукции по количеству тар и упаковок, в которых осуществлялась её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shd w:fill="auto" w:val="clear"/>
        </w:rPr>
        <w:t xml:space="preserve">товарно-транспортную накладную формы №1-Т (для учета товарно-материальных ценностей и расчетов за их перевозки)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w:t>
      </w:r>
      <w:r>
        <w:rPr>
          <w:rFonts w:cs="Times New Roman"/>
          <w:color w:val="000000"/>
          <w:sz w:val="24"/>
          <w:szCs w:val="24"/>
          <w:shd w:fill="auto" w:val="clear"/>
        </w:rPr>
        <w:t xml:space="preserve">(в ред. </w:t>
      </w:r>
      <w:hyperlink r:id="rId3">
        <w:r>
          <w:rPr>
            <w:rStyle w:val="Hyperlink"/>
            <w:rFonts w:cs="Times New Roman"/>
            <w:color w:val="000000"/>
            <w:sz w:val="24"/>
            <w:szCs w:val="24"/>
            <w:u w:val="none"/>
            <w:shd w:fill="auto" w:val="clear"/>
          </w:rPr>
          <w:t>Постановления Правительства РФ от 21.12.2020 № 2200</w:t>
        </w:r>
      </w:hyperlink>
      <w:r>
        <w:rPr>
          <w:rStyle w:val="Hyperlink"/>
          <w:rFonts w:cs="Times New Roman"/>
          <w:color w:val="000000"/>
          <w:sz w:val="24"/>
          <w:szCs w:val="24"/>
          <w:u w:val="none"/>
          <w:shd w:fill="auto" w:val="clear"/>
        </w:rPr>
        <w:t>)</w:t>
      </w:r>
      <w:r>
        <w:rPr>
          <w:rFonts w:cs="Times New Roman"/>
          <w:color w:val="000000"/>
          <w:sz w:val="24"/>
          <w:szCs w:val="24"/>
          <w:shd w:fill="auto" w:val="clear"/>
        </w:rPr>
        <w:t>.</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shd w:fill="auto" w:val="clear"/>
        </w:rPr>
        <w:t>При некомплектности, недо</w:t>
      </w:r>
      <w:r>
        <w:rPr>
          <w:sz w:val="24"/>
          <w:szCs w:val="24"/>
        </w:rPr>
        <w:t>поставке, отсутствии необходимых принадлежностей, относящихся к Продукции, Покупатель вправе с одновременным направлением письменного уведомления Поставщику прекратить приемку Продукции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w:t>
      </w:r>
      <w:r>
        <w:rPr>
          <w:sz w:val="24"/>
          <w:szCs w:val="24"/>
        </w:rPr>
        <w:t xml:space="preserve"> или транспортной накладной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w:t>
      </w:r>
      <w:r>
        <w:rPr>
          <w:rFonts w:cs="Times New Roman"/>
          <w:sz w:val="24"/>
          <w:szCs w:val="24"/>
          <w:shd w:fill="auto" w:val="clear"/>
        </w:rPr>
        <w:t>(</w:t>
      </w:r>
      <w:r>
        <w:rPr>
          <w:rFonts w:cs="Times New Roman"/>
          <w:color w:val="000000"/>
          <w:sz w:val="24"/>
          <w:szCs w:val="24"/>
          <w:shd w:fill="auto" w:val="clear"/>
        </w:rPr>
        <w:t xml:space="preserve">в ред. </w:t>
      </w:r>
      <w:hyperlink r:id="rId4">
        <w:r>
          <w:rPr>
            <w:rStyle w:val="Hyperlink"/>
            <w:rFonts w:cs="Times New Roman"/>
            <w:color w:val="000000"/>
            <w:sz w:val="24"/>
            <w:szCs w:val="24"/>
            <w:u w:val="none"/>
            <w:shd w:fill="auto" w:val="clear"/>
          </w:rPr>
          <w:t>Постановления Правительства РФ от 21.12.2020 № 2200</w:t>
        </w:r>
      </w:hyperlink>
      <w:r>
        <w:rPr>
          <w:rFonts w:cs="Times New Roman"/>
          <w:sz w:val="24"/>
          <w:szCs w:val="24"/>
          <w:shd w:fill="auto" w:val="clear"/>
        </w:rPr>
        <w:t>)</w:t>
      </w:r>
      <w:r>
        <w:rPr>
          <w:sz w:val="24"/>
          <w:szCs w:val="24"/>
          <w:shd w:fill="auto" w:val="clear"/>
        </w:rPr>
        <w:t>. В случае отсутствия з</w:t>
      </w:r>
      <w:r>
        <w:rPr>
          <w:sz w:val="24"/>
          <w:szCs w:val="24"/>
        </w:rPr>
        <w:t xml:space="preserve">амечаний Покупатель подписывает </w:t>
      </w:r>
      <w:r>
        <w:rPr>
          <w:color w:val="000000"/>
          <w:sz w:val="24"/>
          <w:szCs w:val="24"/>
        </w:rPr>
        <w:t xml:space="preserve">товарную накладную унифицированной формы ТОРГ-12 </w:t>
      </w:r>
      <w:r>
        <w:rPr>
          <w:color w:val="000000"/>
          <w:sz w:val="24"/>
          <w:szCs w:val="24"/>
        </w:rPr>
        <w:t>и</w:t>
      </w:r>
      <w:r>
        <w:rPr>
          <w:sz w:val="24"/>
          <w:szCs w:val="24"/>
        </w:rPr>
        <w:t>ли Универсальный передаточный документ (УПД</w:t>
      </w:r>
      <w:r>
        <w:rPr/>
        <w:t>)</w:t>
      </w:r>
      <w:r>
        <w:rPr>
          <w:color w:val="000000"/>
          <w:sz w:val="24"/>
          <w:szCs w:val="24"/>
        </w:rPr>
        <w:t>.</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На Продукцию устанавливается гарантийный срок, </w:t>
      </w:r>
      <w:r>
        <w:rPr>
          <w:sz w:val="24"/>
          <w:szCs w:val="24"/>
        </w:rPr>
        <w:t>равный</w:t>
      </w:r>
      <w:r>
        <w:rPr>
          <w:sz w:val="24"/>
          <w:szCs w:val="24"/>
        </w:rPr>
        <w:t xml:space="preserve"> 36 (тридцати шести) месяцам, исчисляемый с даты подписания Сторонами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1" w:name="OLE_LINK6"/>
      <w:bookmarkStart w:id="2" w:name="OLE_LINK5"/>
      <w:r>
        <w:rPr>
          <w:sz w:val="24"/>
          <w:szCs w:val="24"/>
        </w:rPr>
        <w:t>Покупателем в соответствии с п. 3.14. Договора</w:t>
      </w:r>
      <w:bookmarkEnd w:id="1"/>
      <w:bookmarkEnd w:id="2"/>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Тара, упаковка, маркировка</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вес, брутто/нетто каждого места;</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наименование Продукции;</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номера мест и их общее количество;</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весогабаритные характеристики мест;</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центр тяжести;</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условия хранения;</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обозначения типа «не бросать» и другие обычно используемые обозначения.</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Стоимость тары и упаковки включена в Цену Договора; тара и упаковка возврату не подлежат.</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Сроки, порядок и условия поставки, переход права собственности</w:t>
      </w:r>
    </w:p>
    <w:p>
      <w:pPr>
        <w:pStyle w:val="ListParagraph"/>
        <w:numPr>
          <w:ilvl w:val="1"/>
          <w:numId w:val="6"/>
        </w:numPr>
        <w:tabs>
          <w:tab w:val="clear" w:pos="720"/>
          <w:tab w:val="left" w:pos="0" w:leader="none"/>
          <w:tab w:val="left" w:pos="1276" w:leader="none"/>
        </w:tabs>
        <w:spacing w:before="0" w:after="120"/>
        <w:ind w:firstLine="567" w:left="0"/>
        <w:contextualSpacing w:val="false"/>
        <w:jc w:val="both"/>
        <w:rPr>
          <w:sz w:val="24"/>
          <w:szCs w:val="24"/>
        </w:rPr>
      </w:pPr>
      <w:r>
        <w:rPr>
          <w:sz w:val="24"/>
          <w:szCs w:val="24"/>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Ответственность по Договору</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highlight w:val="none"/>
          <w:shd w:fill="auto" w:val="clear"/>
        </w:rPr>
      </w:pPr>
      <w:r>
        <w:rPr>
          <w:sz w:val="24"/>
          <w:szCs w:val="24"/>
          <w:shd w:fill="auto" w:val="clear"/>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highlight w:val="none"/>
          <w:shd w:fill="auto" w:val="clear"/>
        </w:rPr>
      </w:pPr>
      <w:r>
        <w:rPr>
          <w:sz w:val="24"/>
          <w:szCs w:val="24"/>
          <w:shd w:fill="auto" w:val="clear"/>
        </w:rPr>
        <w:t>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w:t>
      </w:r>
      <w:r>
        <w:rPr>
          <w:sz w:val="28"/>
          <w:szCs w:val="28"/>
          <w:shd w:fill="auto" w:val="clear"/>
        </w:rPr>
        <w:t xml:space="preserve"> </w:t>
      </w:r>
      <w:r>
        <w:rPr>
          <w:sz w:val="24"/>
          <w:szCs w:val="24"/>
          <w:shd w:fill="auto" w:val="clear"/>
        </w:rPr>
        <w:t xml:space="preserve">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highlight w:val="none"/>
          <w:shd w:fill="auto" w:val="clear"/>
        </w:rPr>
      </w:pPr>
      <w:bookmarkStart w:id="3" w:name="_Hlk130023773"/>
      <w:r>
        <w:rPr>
          <w:sz w:val="24"/>
          <w:szCs w:val="24"/>
          <w:shd w:fill="auto" w:val="clear"/>
        </w:rPr>
        <w:t xml:space="preserve">В случае </w:t>
      </w:r>
      <w:bookmarkStart w:id="4" w:name="_Hlk130023740"/>
      <w:r>
        <w:rPr>
          <w:sz w:val="24"/>
          <w:szCs w:val="24"/>
          <w:shd w:fill="auto" w:val="clear"/>
        </w:rPr>
        <w:t xml:space="preserve">нарушения </w:t>
      </w:r>
      <w:bookmarkEnd w:id="4"/>
      <w:r>
        <w:rPr>
          <w:sz w:val="24"/>
          <w:szCs w:val="24"/>
          <w:shd w:fill="auto" w:val="clear"/>
        </w:rPr>
        <w:t>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от Цены Договора, за каждый день просрочки</w:t>
      </w:r>
      <w:bookmarkEnd w:id="3"/>
      <w:r>
        <w:rPr>
          <w:sz w:val="24"/>
          <w:szCs w:val="24"/>
          <w:shd w:fill="auto" w:val="clear"/>
        </w:rPr>
        <w:t xml:space="preserve">. </w:t>
      </w:r>
    </w:p>
    <w:p>
      <w:pPr>
        <w:pStyle w:val="Normal"/>
        <w:tabs>
          <w:tab w:val="clear" w:pos="720"/>
          <w:tab w:val="left" w:pos="1701" w:leader="none"/>
        </w:tabs>
        <w:jc w:val="both"/>
        <w:rPr>
          <w:highlight w:val="none"/>
          <w:shd w:fill="auto" w:val="clear"/>
        </w:rPr>
      </w:pPr>
      <w:r>
        <w:rPr>
          <w:sz w:val="24"/>
          <w:szCs w:val="24"/>
          <w:shd w:fill="auto" w:val="clear"/>
        </w:rPr>
        <w:tab/>
      </w:r>
      <w:bookmarkStart w:id="5" w:name="_Hlk130023812"/>
      <w:r>
        <w:rPr>
          <w:sz w:val="24"/>
          <w:szCs w:val="24"/>
          <w:shd w:fill="auto" w:val="clear"/>
        </w:rPr>
        <w:t>В случае несвоевременного устранения Поставщиком выявленных недостатков Продукции, согласно п.3.14 Договора, Покупатель вправе потребовать уплаты Поставщиком:</w:t>
      </w:r>
    </w:p>
    <w:p>
      <w:pPr>
        <w:pStyle w:val="Normal"/>
        <w:numPr>
          <w:ilvl w:val="0"/>
          <w:numId w:val="14"/>
        </w:numPr>
        <w:tabs>
          <w:tab w:val="clear" w:pos="720"/>
          <w:tab w:val="left" w:pos="1701" w:leader="none"/>
        </w:tabs>
        <w:ind w:firstLine="709" w:left="0"/>
        <w:jc w:val="both"/>
        <w:rPr>
          <w:highlight w:val="none"/>
          <w:shd w:fill="auto" w:val="clear"/>
        </w:rPr>
      </w:pPr>
      <w:r>
        <w:rPr>
          <w:rFonts w:eastAsia="Calibri"/>
          <w:bCs/>
          <w:sz w:val="24"/>
          <w:szCs w:val="24"/>
          <w:shd w:fill="auto" w:val="clear"/>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w:t>
      </w:r>
      <w:r>
        <w:rPr>
          <w:sz w:val="24"/>
          <w:szCs w:val="24"/>
          <w:shd w:fill="auto" w:val="clear"/>
        </w:rPr>
        <w:t>Продукции</w:t>
      </w:r>
      <w:r>
        <w:rPr>
          <w:rFonts w:eastAsia="Calibri"/>
          <w:bCs/>
          <w:sz w:val="24"/>
          <w:szCs w:val="24"/>
          <w:shd w:fill="auto" w:val="clear"/>
        </w:rPr>
        <w:t xml:space="preserve">, влияющих на возможность эксплуатации (использования) </w:t>
      </w:r>
      <w:r>
        <w:rPr>
          <w:sz w:val="24"/>
          <w:szCs w:val="24"/>
          <w:shd w:fill="auto" w:val="clear"/>
        </w:rPr>
        <w:t>Продукции</w:t>
      </w:r>
      <w:r>
        <w:rPr>
          <w:rFonts w:eastAsia="Calibri"/>
          <w:bCs/>
          <w:sz w:val="24"/>
          <w:szCs w:val="24"/>
          <w:shd w:fill="auto" w:val="clear"/>
        </w:rPr>
        <w:t xml:space="preserve"> в целом;</w:t>
      </w:r>
    </w:p>
    <w:p>
      <w:pPr>
        <w:pStyle w:val="Normal"/>
        <w:numPr>
          <w:ilvl w:val="0"/>
          <w:numId w:val="14"/>
        </w:numPr>
        <w:tabs>
          <w:tab w:val="clear" w:pos="720"/>
          <w:tab w:val="left" w:pos="1701" w:leader="none"/>
        </w:tabs>
        <w:ind w:firstLine="709" w:left="0"/>
        <w:jc w:val="both"/>
        <w:rPr>
          <w:highlight w:val="none"/>
          <w:shd w:fill="auto" w:val="clear"/>
        </w:rPr>
      </w:pPr>
      <w:r>
        <w:rPr>
          <w:rFonts w:eastAsia="Calibri"/>
          <w:bCs/>
          <w:sz w:val="24"/>
          <w:szCs w:val="24"/>
          <w:shd w:fill="auto" w:val="clear"/>
        </w:rPr>
        <w:t xml:space="preserve">неустойки в размере 0,1 (ноль целых и одна десятая) процента от стоимости некачественной </w:t>
      </w:r>
      <w:r>
        <w:rPr>
          <w:sz w:val="24"/>
          <w:szCs w:val="24"/>
          <w:shd w:fill="auto" w:val="clear"/>
        </w:rPr>
        <w:t>Продукции</w:t>
      </w:r>
      <w:r>
        <w:rPr>
          <w:rFonts w:eastAsia="Calibri"/>
          <w:bCs/>
          <w:sz w:val="24"/>
          <w:szCs w:val="24"/>
          <w:shd w:fill="auto" w:val="clear"/>
        </w:rPr>
        <w:t xml:space="preserve"> за каждый день просрочки – в случае несвоевременного устранения выявленных недостатков </w:t>
      </w:r>
      <w:r>
        <w:rPr>
          <w:sz w:val="24"/>
          <w:szCs w:val="24"/>
          <w:shd w:fill="auto" w:val="clear"/>
        </w:rPr>
        <w:t>Продукции</w:t>
      </w:r>
      <w:r>
        <w:rPr>
          <w:rFonts w:eastAsia="Calibri"/>
          <w:bCs/>
          <w:sz w:val="24"/>
          <w:szCs w:val="24"/>
          <w:shd w:fill="auto" w:val="clear"/>
        </w:rPr>
        <w:t xml:space="preserve">, не влияющих на возможность эксплуатации (использования) </w:t>
      </w:r>
      <w:r>
        <w:rPr>
          <w:sz w:val="24"/>
          <w:szCs w:val="24"/>
          <w:shd w:fill="auto" w:val="clear"/>
        </w:rPr>
        <w:t>Продукции</w:t>
      </w:r>
      <w:r>
        <w:rPr>
          <w:rFonts w:eastAsia="Calibri"/>
          <w:bCs/>
          <w:sz w:val="24"/>
          <w:szCs w:val="24"/>
          <w:shd w:fill="auto" w:val="clear"/>
        </w:rPr>
        <w:t xml:space="preserve"> в целом</w:t>
      </w:r>
      <w:bookmarkEnd w:id="5"/>
      <w:r>
        <w:rPr>
          <w:rFonts w:eastAsia="Calibri"/>
          <w:bCs/>
          <w:sz w:val="24"/>
          <w:szCs w:val="24"/>
          <w:shd w:fill="auto" w:val="clear"/>
        </w:rPr>
        <w:t>.</w:t>
      </w:r>
      <w:r>
        <w:rPr>
          <w:sz w:val="24"/>
          <w:szCs w:val="24"/>
          <w:shd w:fill="auto" w:val="clear"/>
        </w:rPr>
        <w:t xml:space="preserve"> </w:t>
      </w:r>
    </w:p>
    <w:p>
      <w:pPr>
        <w:pStyle w:val="Normal"/>
        <w:widowControl w:val="false"/>
        <w:shd w:val="clear" w:color="auto" w:fill="FFFFFF"/>
        <w:tabs>
          <w:tab w:val="clear" w:pos="720"/>
          <w:tab w:val="left" w:pos="1276" w:leader="none"/>
        </w:tabs>
        <w:spacing w:before="0" w:after="120"/>
        <w:jc w:val="both"/>
        <w:rPr>
          <w:highlight w:val="none"/>
          <w:shd w:fill="auto" w:val="clear"/>
        </w:rPr>
      </w:pPr>
      <w:r>
        <w:rPr>
          <w:sz w:val="24"/>
          <w:szCs w:val="24"/>
          <w:shd w:fill="auto" w:val="clear"/>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shd w:fill="auto" w:val="clear"/>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w:t>
      </w:r>
      <w:r>
        <w:rPr>
          <w:sz w:val="24"/>
          <w:szCs w:val="24"/>
        </w:rPr>
        <w:t>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если в результате составления и выставления Поставщиком счетов-фактур</w:t>
      </w:r>
      <w:r>
        <w:rPr>
          <w:sz w:val="24"/>
          <w:szCs w:val="24"/>
          <w:shd w:fill="auto" w:val="clear"/>
        </w:rPr>
        <w:t xml:space="preserve"> (УПД)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сроков, предусмотренных п. 2.9. Договора,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9"/>
        </w:numPr>
        <w:tabs>
          <w:tab w:val="clear" w:pos="720"/>
          <w:tab w:val="left" w:pos="0" w:leader="none"/>
        </w:tabs>
        <w:spacing w:before="0" w:after="120"/>
        <w:ind w:firstLine="567" w:left="0"/>
        <w:jc w:val="both"/>
        <w:outlineLvl w:val="0"/>
        <w:rPr>
          <w:sz w:val="24"/>
          <w:szCs w:val="24"/>
        </w:rPr>
      </w:pPr>
      <w:r>
        <w:rPr>
          <w:sz w:val="24"/>
          <w:szCs w:val="24"/>
        </w:rPr>
        <w:t>выписка из Единого государственного реестра юридических лиц, после изменений, указанных в п. 6.11 Договора, а также:</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акционерных обществ:</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список владельцев ценных бумаг;</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список аффилированных лиц на последнюю отчетную дату;</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ежеквартальный отчет на последнюю отчетную дату.</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решение (протокол) о приеме новых участников;</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устав.</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учредительный договор или положение;</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юридических лиц, зарегистрированных в форме фонда: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 xml:space="preserve">документ о выборе (назначении) попечительского совета фонда;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 xml:space="preserve">решение и договор о создании. </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before="0" w:after="120"/>
        <w:ind w:hanging="283" w:left="709"/>
        <w:outlineLvl w:val="0"/>
        <w:rPr>
          <w:sz w:val="24"/>
          <w:szCs w:val="24"/>
        </w:rPr>
      </w:pPr>
      <w:r>
        <w:rPr>
          <w:sz w:val="24"/>
          <w:szCs w:val="24"/>
        </w:rPr>
        <w:t>выписка из торгового реестра страны инкорпорации;</w:t>
      </w:r>
    </w:p>
    <w:p>
      <w:pPr>
        <w:pStyle w:val="Normal"/>
        <w:numPr>
          <w:ilvl w:val="0"/>
          <w:numId w:val="9"/>
        </w:numPr>
        <w:spacing w:before="0" w:after="120"/>
        <w:ind w:hanging="283" w:left="709"/>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ListParagraph"/>
        <w:widowControl/>
        <w:numPr>
          <w:ilvl w:val="1"/>
          <w:numId w:val="6"/>
        </w:numPr>
        <w:shd w:val="clear" w:color="auto" w:fill="FFFFFF"/>
        <w:tabs>
          <w:tab w:val="clear" w:pos="720"/>
        </w:tabs>
        <w:ind w:firstLine="567"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shd w:val="clear" w:color="auto" w:fill="FFFFFF"/>
        <w:tabs>
          <w:tab w:val="clear" w:pos="720"/>
          <w:tab w:val="left" w:pos="567" w:leader="none"/>
          <w:tab w:val="left" w:pos="840" w:leader="none"/>
        </w:tabs>
        <w:ind w:firstLine="567" w:left="0"/>
        <w:jc w:val="both"/>
        <w:rPr>
          <w:color w:val="000000"/>
          <w:sz w:val="24"/>
          <w:szCs w:val="24"/>
        </w:rPr>
      </w:pPr>
      <w:r>
        <w:rPr>
          <w:color w:val="000000"/>
          <w:sz w:val="24"/>
          <w:szCs w:val="24"/>
        </w:rPr>
        <w:t xml:space="preserve">Каналы связи Линия доверия Группы РусГидро: </w:t>
      </w:r>
    </w:p>
    <w:p>
      <w:pPr>
        <w:pStyle w:val="ListParagraph"/>
        <w:shd w:val="clear" w:color="auto" w:fill="FFFFFF"/>
        <w:tabs>
          <w:tab w:val="clear" w:pos="720"/>
          <w:tab w:val="left" w:pos="567" w:leader="none"/>
          <w:tab w:val="left" w:pos="840" w:leader="none"/>
        </w:tabs>
        <w:ind w:firstLine="567" w:left="0"/>
        <w:jc w:val="both"/>
        <w:rPr>
          <w:sz w:val="24"/>
          <w:szCs w:val="24"/>
        </w:rPr>
      </w:pPr>
      <w:r>
        <w:rPr>
          <w:sz w:val="24"/>
          <w:szCs w:val="24"/>
        </w:rPr>
        <w:t>Электронная почта: ld@rushydro.ru.</w:t>
      </w:r>
    </w:p>
    <w:p>
      <w:pPr>
        <w:pStyle w:val="ListParagraph"/>
        <w:shd w:val="clear" w:color="auto" w:fill="FFFFFF"/>
        <w:tabs>
          <w:tab w:val="clear" w:pos="720"/>
          <w:tab w:val="left" w:pos="567" w:leader="none"/>
          <w:tab w:val="left" w:pos="840" w:leader="none"/>
        </w:tabs>
        <w:ind w:firstLine="567" w:left="0"/>
        <w:jc w:val="both"/>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numPr>
          <w:ilvl w:val="0"/>
          <w:numId w:val="0"/>
        </w:numPr>
        <w:tabs>
          <w:tab w:val="clear" w:pos="720"/>
          <w:tab w:val="left" w:pos="567" w:leader="none"/>
        </w:tabs>
        <w:spacing w:before="0" w:after="120"/>
        <w:ind w:hanging="0" w:left="0"/>
        <w:jc w:val="both"/>
        <w:outlineLvl w:val="0"/>
        <w:rPr>
          <w:highlight w:val="none"/>
          <w:shd w:fill="auto" w:val="clear"/>
        </w:rPr>
      </w:pPr>
      <w:r>
        <w:rPr>
          <w:sz w:val="24"/>
          <w:szCs w:val="24"/>
          <w:shd w:fill="auto" w:val="clear"/>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widowControl/>
        <w:numPr>
          <w:ilvl w:val="0"/>
          <w:numId w:val="0"/>
        </w:numPr>
        <w:tabs>
          <w:tab w:val="clear" w:pos="720"/>
          <w:tab w:val="left" w:pos="567" w:leader="none"/>
        </w:tabs>
        <w:bidi w:val="0"/>
        <w:spacing w:before="0" w:after="120"/>
        <w:ind w:firstLine="567" w:left="0" w:right="0"/>
        <w:jc w:val="both"/>
        <w:outlineLvl w:val="0"/>
        <w:rPr>
          <w:highlight w:val="none"/>
          <w:shd w:fill="auto" w:val="clear"/>
        </w:rPr>
      </w:pPr>
      <w:r>
        <w:rPr>
          <w:sz w:val="24"/>
          <w:szCs w:val="24"/>
          <w:shd w:fill="auto" w:val="clear"/>
        </w:rPr>
        <w:t>6.13 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Normal"/>
        <w:widowControl w:val="false"/>
        <w:numPr>
          <w:ilvl w:val="0"/>
          <w:numId w:val="6"/>
        </w:numPr>
        <w:shd w:val="clear" w:color="auto" w:fill="FFFFFF"/>
        <w:tabs>
          <w:tab w:val="clear" w:pos="720"/>
          <w:tab w:val="left" w:pos="426" w:leader="none"/>
          <w:tab w:val="left" w:pos="1276" w:leader="none"/>
        </w:tabs>
        <w:spacing w:before="0" w:after="120"/>
        <w:ind w:hanging="0" w:left="0"/>
        <w:jc w:val="center"/>
        <w:rPr>
          <w:highlight w:val="none"/>
          <w:shd w:fill="auto" w:val="clear"/>
        </w:rPr>
      </w:pPr>
      <w:r>
        <w:rPr>
          <w:b/>
          <w:bCs/>
          <w:sz w:val="24"/>
          <w:szCs w:val="24"/>
          <w:shd w:fill="auto" w:val="clear"/>
        </w:rPr>
        <w:t>Особые положения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5">
        <w:r>
          <w:rPr>
            <w:sz w:val="24"/>
            <w:szCs w:val="24"/>
          </w:rPr>
          <w:t>№ 18162/09</w:t>
        </w:r>
      </w:hyperlink>
      <w:r>
        <w:rPr>
          <w:sz w:val="24"/>
          <w:szCs w:val="24"/>
        </w:rPr>
        <w:t xml:space="preserve"> и от 25.05.2010 </w:t>
      </w:r>
      <w:hyperlink r:id="rId6">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7">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sz w:val="24"/>
          <w:szCs w:val="24"/>
        </w:rPr>
        <w:t>Форс</w:t>
      </w:r>
      <w:r>
        <w:rPr>
          <w:b/>
          <w:bCs/>
          <w:sz w:val="24"/>
          <w:szCs w:val="24"/>
        </w:rPr>
        <w:t>-мажор</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sz w:val="24"/>
          <w:szCs w:val="24"/>
        </w:rPr>
        <w:t>Конфиденциальность</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before="0" w:after="120"/>
        <w:ind w:hanging="284" w:left="851"/>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before="0" w:after="120"/>
        <w:ind w:hanging="284" w:left="851"/>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финансовую отчетность;</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учетные регистры бухгалтерского учета;</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бизнес-планы;</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использовать Информацию исключительно для целей, для которых она была предоставлена;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z w:val="24"/>
          <w:szCs w:val="24"/>
        </w:rPr>
      </w:pPr>
      <w:r>
        <w:rPr>
          <w:sz w:val="24"/>
          <w:szCs w:val="24"/>
        </w:rPr>
        <w:t>не разглашать третьим лицам факта передачи или получения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Инсайдерская оговорка</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Поставщик также обязуется:</w:t>
      </w:r>
    </w:p>
    <w:p>
      <w:pPr>
        <w:pStyle w:val="ListParagraph"/>
        <w:numPr>
          <w:ilvl w:val="2"/>
          <w:numId w:val="6"/>
        </w:numPr>
        <w:shd w:val="clear" w:color="auto" w:fill="FFFFFF"/>
        <w:tabs>
          <w:tab w:val="clear" w:pos="720"/>
          <w:tab w:val="left" w:pos="1283" w:leader="none"/>
        </w:tabs>
        <w:spacing w:before="0" w:after="120"/>
        <w:ind w:firstLine="567" w:left="0"/>
        <w:contextualSpacing w:val="false"/>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6"/>
        </w:numPr>
        <w:shd w:val="clear" w:color="auto" w:fill="FFFFFF"/>
        <w:tabs>
          <w:tab w:val="clear" w:pos="720"/>
          <w:tab w:val="left" w:pos="1283" w:leader="none"/>
        </w:tabs>
        <w:spacing w:before="0" w:after="120"/>
        <w:ind w:firstLine="567" w:left="0"/>
        <w:contextualSpacing w:val="false"/>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Разрешение споров</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 xml:space="preserve"> </w:t>
      </w:r>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6" w:name="Par2"/>
      <w:bookmarkEnd w:id="6"/>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 xml:space="preserve"> </w:t>
      </w:r>
      <w:r>
        <w:rPr>
          <w:sz w:val="24"/>
          <w:szCs w:val="24"/>
        </w:rPr>
        <w:t>В случае неурегулирования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города Москвы.</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bCs/>
          <w:sz w:val="24"/>
          <w:szCs w:val="24"/>
        </w:rPr>
        <w:t>Прекращение (расторжение) Договора</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t>.</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spacing w:before="0"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Стороны установили, что существенным нарушением Договора Поставщиком является</w:t>
      </w:r>
      <w:r>
        <w:rPr/>
        <w:t>:</w:t>
      </w:r>
    </w:p>
    <w:p>
      <w:pPr>
        <w:pStyle w:val="Normal"/>
        <w:widowControl w:val="false"/>
        <w:numPr>
          <w:ilvl w:val="2"/>
          <w:numId w:val="6"/>
        </w:numPr>
        <w:shd w:val="clear" w:color="auto" w:fill="FFFFFF"/>
        <w:spacing w:before="0" w:after="120"/>
        <w:ind w:firstLine="567" w:left="0"/>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6"/>
        </w:numPr>
        <w:shd w:val="clear" w:color="auto" w:fill="FFFFFF"/>
        <w:spacing w:before="0" w:after="120"/>
        <w:ind w:firstLine="567" w:left="0"/>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6"/>
        </w:numPr>
        <w:shd w:val="clear" w:color="auto" w:fill="FFFFFF"/>
        <w:spacing w:before="0" w:after="120"/>
        <w:ind w:firstLine="567" w:left="0"/>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6"/>
        </w:numPr>
        <w:shd w:val="clear" w:color="auto" w:fill="FFFFFF"/>
        <w:spacing w:before="0" w:after="120"/>
        <w:ind w:firstLine="567" w:left="0"/>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6"/>
        </w:numPr>
        <w:shd w:val="clear" w:color="auto" w:fill="FFFFFF"/>
        <w:spacing w:before="0" w:after="120"/>
        <w:ind w:firstLine="567" w:left="0"/>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6"/>
        </w:numPr>
        <w:shd w:val="clear" w:color="auto" w:fill="FFFFFF"/>
        <w:spacing w:before="0" w:after="120"/>
        <w:ind w:firstLine="567" w:left="0"/>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6"/>
        </w:numPr>
        <w:shd w:val="clear" w:color="auto" w:fill="FFFFFF"/>
        <w:spacing w:before="0" w:after="120"/>
        <w:ind w:firstLine="567" w:left="0"/>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6"/>
        </w:numPr>
        <w:shd w:val="clear" w:color="auto" w:fill="FFFFFF"/>
        <w:tabs>
          <w:tab w:val="clear" w:pos="720"/>
          <w:tab w:val="left" w:pos="1418" w:leader="none"/>
        </w:tabs>
        <w:spacing w:before="0" w:after="120"/>
        <w:ind w:firstLine="567" w:left="0"/>
        <w:contextualSpacing w:val="false"/>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bCs/>
          <w:sz w:val="24"/>
          <w:szCs w:val="24"/>
        </w:rPr>
        <w:t>Заверения</w:t>
      </w:r>
      <w:r>
        <w:rPr>
          <w:b/>
          <w:sz w:val="24"/>
          <w:szCs w:val="24"/>
        </w:rPr>
        <w:t xml:space="preserve"> Сторон</w:t>
      </w:r>
    </w:p>
    <w:p>
      <w:pPr>
        <w:pStyle w:val="ListParagraph"/>
        <w:numPr>
          <w:ilvl w:val="1"/>
          <w:numId w:val="6"/>
        </w:numPr>
        <w:shd w:val="clear" w:color="auto" w:fill="FFFFFF"/>
        <w:spacing w:before="0" w:after="120"/>
        <w:ind w:firstLine="567" w:left="0"/>
        <w:contextualSpacing w:val="false"/>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6"/>
        </w:numPr>
        <w:shd w:val="clear" w:color="auto" w:fill="FFFFFF"/>
        <w:spacing w:before="0" w:after="120"/>
        <w:ind w:firstLine="567" w:left="0"/>
        <w:contextualSpacing w:val="false"/>
        <w:jc w:val="both"/>
        <w:rPr>
          <w:sz w:val="24"/>
          <w:szCs w:val="24"/>
        </w:rPr>
      </w:pPr>
      <w:r>
        <w:rPr>
          <w:sz w:val="24"/>
          <w:szCs w:val="24"/>
        </w:rPr>
        <w:t>Поставщик заявляет и заверяет Покупателя в том, что на момент заключения настоящего Договора:</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6"/>
        </w:numPr>
        <w:shd w:val="clear" w:color="auto" w:fill="FFFFFF"/>
        <w:spacing w:before="0" w:after="120"/>
        <w:ind w:firstLine="567" w:left="0"/>
        <w:contextualSpacing w:val="false"/>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6"/>
        </w:numPr>
        <w:shd w:val="clear" w:color="auto" w:fill="FFFFFF"/>
        <w:spacing w:before="0" w:after="120"/>
        <w:ind w:firstLine="567" w:left="0"/>
        <w:contextualSpacing w:val="false"/>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before="0"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Заключительные положения</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6"/>
        </w:numPr>
        <w:shd w:val="clear" w:color="auto" w:fill="FFFFFF"/>
        <w:tabs>
          <w:tab w:val="left" w:pos="720" w:leader="none"/>
        </w:tabs>
        <w:spacing w:before="0" w:after="120"/>
        <w:ind w:firstLine="567" w:left="0"/>
        <w:jc w:val="both"/>
        <w:rPr>
          <w:bCs/>
          <w:sz w:val="24"/>
          <w:szCs w:val="24"/>
        </w:rPr>
      </w:pPr>
      <w:r>
        <w:rPr>
          <w:sz w:val="24"/>
          <w:szCs w:val="24"/>
        </w:rPr>
        <w:t>Документ</w:t>
      </w:r>
      <w:r>
        <w:rPr>
          <w:bCs/>
          <w:sz w:val="24"/>
          <w:szCs w:val="24"/>
        </w:rPr>
        <w:t xml:space="preserve"> будет считаться полученным:</w:t>
      </w:r>
    </w:p>
    <w:p>
      <w:pPr>
        <w:pStyle w:val="ListParagraph"/>
        <w:widowControl/>
        <w:numPr>
          <w:ilvl w:val="2"/>
          <w:numId w:val="6"/>
        </w:numPr>
        <w:shd w:val="clear" w:color="auto" w:fill="FFFFFF"/>
        <w:spacing w:before="0" w:after="120"/>
        <w:ind w:firstLine="567" w:left="0"/>
        <w:contextualSpacing w:val="false"/>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6"/>
        </w:numPr>
        <w:shd w:val="clear" w:color="auto" w:fill="FFFFFF"/>
        <w:spacing w:before="0" w:after="120"/>
        <w:ind w:firstLine="567" w:left="0"/>
        <w:contextualSpacing w:val="false"/>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6"/>
        </w:numPr>
        <w:shd w:val="clear" w:color="auto" w:fill="FFFFFF"/>
        <w:tabs>
          <w:tab w:val="left" w:pos="720" w:leader="none"/>
        </w:tabs>
        <w:spacing w:before="0" w:after="120"/>
        <w:ind w:firstLine="567" w:left="0"/>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Приложения к Договору</w:t>
      </w:r>
    </w:p>
    <w:p>
      <w:pPr>
        <w:pStyle w:val="Heading3"/>
        <w:keepNext w:val="false"/>
        <w:tabs>
          <w:tab w:val="clear" w:pos="0"/>
        </w:tabs>
        <w:overflowPunct w:val="true"/>
        <w:spacing w:before="0" w:after="120"/>
        <w:ind w:hanging="0" w:left="567"/>
        <w:jc w:val="both"/>
        <w:textAlignment w:val="baseline"/>
        <w:rPr>
          <w:b w:val="false"/>
          <w:sz w:val="24"/>
          <w:szCs w:val="24"/>
        </w:rPr>
      </w:pPr>
      <w:r>
        <w:rPr>
          <w:b w:val="false"/>
          <w:sz w:val="24"/>
          <w:szCs w:val="24"/>
        </w:rPr>
        <w:t>- Приложение № 1 – Спецификация.</w:t>
      </w:r>
    </w:p>
    <w:p>
      <w:pPr>
        <w:pStyle w:val="Normal"/>
        <w:spacing w:before="0" w:after="120"/>
        <w:ind w:hanging="567" w:left="567"/>
        <w:rPr>
          <w:sz w:val="24"/>
          <w:szCs w:val="24"/>
        </w:rPr>
      </w:pPr>
      <w:bookmarkStart w:id="7" w:name="sub_1"/>
      <w:r>
        <w:rPr>
          <w:sz w:val="24"/>
          <w:szCs w:val="24"/>
        </w:rPr>
        <w:tab/>
      </w:r>
      <w:bookmarkEnd w:id="7"/>
      <w:r>
        <w:rPr>
          <w:b w:val="false"/>
          <w:sz w:val="24"/>
          <w:szCs w:val="24"/>
        </w:rPr>
        <w:t>- Приложение № 2 – Технические требования.</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 xml:space="preserve">Адреса, реквизиты и подписи Сторон </w:t>
      </w:r>
    </w:p>
    <w:tbl>
      <w:tblPr>
        <w:tblW w:w="9714"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927"/>
        <w:gridCol w:w="4786"/>
      </w:tblGrid>
      <w:tr>
        <w:trPr/>
        <w:tc>
          <w:tcPr>
            <w:tcW w:w="4927" w:type="dxa"/>
            <w:tcBorders/>
          </w:tcPr>
          <w:p>
            <w:pPr>
              <w:pStyle w:val="Normal"/>
              <w:widowControl w:val="false"/>
              <w:rPr>
                <w:b/>
                <w:sz w:val="24"/>
                <w:szCs w:val="24"/>
                <w:u w:val="single"/>
              </w:rPr>
            </w:pPr>
            <w:r>
              <w:rPr>
                <w:b/>
                <w:sz w:val="24"/>
                <w:szCs w:val="24"/>
                <w:u w:val="single"/>
              </w:rPr>
              <w:t>Покупатель:</w:t>
            </w:r>
          </w:p>
        </w:tc>
        <w:tc>
          <w:tcPr>
            <w:tcW w:w="4786" w:type="dxa"/>
            <w:tcBorders/>
          </w:tcPr>
          <w:p>
            <w:pPr>
              <w:pStyle w:val="Normal"/>
              <w:widowControl w:val="false"/>
              <w:rPr>
                <w:b/>
                <w:sz w:val="24"/>
                <w:szCs w:val="24"/>
                <w:u w:val="single"/>
              </w:rPr>
            </w:pPr>
            <w:r>
              <w:rPr>
                <w:b/>
                <w:sz w:val="24"/>
                <w:szCs w:val="24"/>
                <w:u w:val="single"/>
              </w:rPr>
              <w:t>Поставщик:</w:t>
            </w:r>
          </w:p>
        </w:tc>
      </w:tr>
      <w:tr>
        <w:trPr/>
        <w:tc>
          <w:tcPr>
            <w:tcW w:w="4927" w:type="dxa"/>
            <w:tcBorders/>
          </w:tcPr>
          <w:p>
            <w:pPr>
              <w:pStyle w:val="Normal"/>
              <w:widowControl w:val="false"/>
              <w:rPr>
                <w:sz w:val="22"/>
                <w:szCs w:val="22"/>
              </w:rPr>
            </w:pPr>
            <w:r>
              <w:rPr>
                <w:sz w:val="22"/>
                <w:szCs w:val="22"/>
              </w:rPr>
            </w:r>
          </w:p>
          <w:p>
            <w:pPr>
              <w:pStyle w:val="Normal"/>
              <w:widowControl w:val="false"/>
              <w:spacing w:before="120" w:after="60"/>
              <w:rPr>
                <w:b/>
                <w:sz w:val="24"/>
                <w:szCs w:val="24"/>
              </w:rPr>
            </w:pPr>
            <w:r>
              <w:rPr>
                <w:b/>
                <w:sz w:val="24"/>
                <w:szCs w:val="24"/>
              </w:rPr>
              <w:t>АО «Гидроремонт-ВКК»</w:t>
            </w:r>
          </w:p>
          <w:p>
            <w:pPr>
              <w:pStyle w:val="Normal"/>
              <w:widowControl w:val="false"/>
              <w:rPr>
                <w:sz w:val="24"/>
                <w:szCs w:val="24"/>
              </w:rPr>
            </w:pPr>
            <w:r>
              <w:rPr>
                <w:sz w:val="24"/>
                <w:szCs w:val="24"/>
              </w:rPr>
              <w:t>Юридический адрес: 603140, Нижегородская область, г.о. город Нижний Новгород,</w:t>
            </w:r>
          </w:p>
          <w:p>
            <w:pPr>
              <w:pStyle w:val="Normal"/>
              <w:widowControl w:val="false"/>
              <w:rPr>
                <w:sz w:val="24"/>
                <w:szCs w:val="24"/>
              </w:rPr>
            </w:pPr>
            <w:r>
              <w:rPr>
                <w:sz w:val="24"/>
                <w:szCs w:val="24"/>
              </w:rPr>
              <w:t>г. Нижний Новгород, пер. Мотальный, д.8, помещ. ВП31, офис С1А</w:t>
            </w:r>
          </w:p>
          <w:p>
            <w:pPr>
              <w:pStyle w:val="Normal"/>
              <w:widowControl w:val="false"/>
              <w:rPr>
                <w:sz w:val="24"/>
                <w:szCs w:val="24"/>
              </w:rPr>
            </w:pPr>
            <w:r>
              <w:rPr>
                <w:sz w:val="24"/>
                <w:szCs w:val="24"/>
              </w:rPr>
              <w:t>Грузополучатель: Саяно-Шушенский филиал</w:t>
            </w:r>
          </w:p>
          <w:p>
            <w:pPr>
              <w:pStyle w:val="Normal"/>
              <w:widowControl w:val="false"/>
              <w:rPr>
                <w:sz w:val="24"/>
                <w:szCs w:val="24"/>
              </w:rPr>
            </w:pPr>
            <w:r>
              <w:rPr>
                <w:sz w:val="24"/>
                <w:szCs w:val="24"/>
              </w:rPr>
              <w:t>АО «Гидроремонт-ВКК» в п. Черемушки</w:t>
            </w:r>
          </w:p>
          <w:p>
            <w:pPr>
              <w:pStyle w:val="Normal"/>
              <w:widowControl w:val="false"/>
              <w:rPr>
                <w:sz w:val="24"/>
                <w:szCs w:val="24"/>
              </w:rPr>
            </w:pPr>
            <w:r>
              <w:rPr>
                <w:sz w:val="24"/>
                <w:szCs w:val="24"/>
              </w:rPr>
              <w:t>Место нахождения: 655619, Российская Федерация, Республика Хакасия,</w:t>
            </w:r>
          </w:p>
          <w:p>
            <w:pPr>
              <w:pStyle w:val="Normal"/>
              <w:widowControl w:val="false"/>
              <w:rPr>
                <w:sz w:val="24"/>
                <w:szCs w:val="24"/>
              </w:rPr>
            </w:pPr>
            <w:r>
              <w:rPr>
                <w:rStyle w:val="Hyperlink"/>
                <w:b w:val="false"/>
                <w:i w:val="false"/>
                <w:strike w:val="false"/>
                <w:dstrike w:val="false"/>
                <w:outline w:val="false"/>
                <w:shadow w:val="false"/>
                <w:color w:val="000000"/>
                <w:sz w:val="24"/>
                <w:szCs w:val="24"/>
                <w:u w:val="none"/>
                <w:em w:val="none"/>
              </w:rPr>
              <w:t>г. Саяногорск, рп. Черемушки, д.103</w:t>
            </w:r>
          </w:p>
          <w:p>
            <w:pPr>
              <w:pStyle w:val="Normal"/>
              <w:widowControl w:val="false"/>
              <w:rPr>
                <w:sz w:val="24"/>
                <w:szCs w:val="24"/>
              </w:rPr>
            </w:pPr>
            <w:r>
              <w:rPr>
                <w:sz w:val="24"/>
                <w:szCs w:val="24"/>
              </w:rPr>
              <w:t>Почтовый адрес: 655619, Российская Федерация, Республика Хакасия,</w:t>
            </w:r>
          </w:p>
          <w:p>
            <w:pPr>
              <w:pStyle w:val="Normal"/>
              <w:widowControl w:val="false"/>
              <w:rPr>
                <w:sz w:val="24"/>
                <w:szCs w:val="24"/>
              </w:rPr>
            </w:pPr>
            <w:r>
              <w:rPr>
                <w:sz w:val="24"/>
                <w:szCs w:val="24"/>
              </w:rPr>
              <w:t>г. Саяногорск, рп. Черемушки, д. 103, а/я 31</w:t>
            </w:r>
          </w:p>
          <w:p>
            <w:pPr>
              <w:pStyle w:val="Normal"/>
              <w:widowControl w:val="false"/>
              <w:rPr>
                <w:sz w:val="24"/>
                <w:szCs w:val="24"/>
              </w:rPr>
            </w:pPr>
            <w:r>
              <w:rPr>
                <w:sz w:val="24"/>
                <w:szCs w:val="24"/>
              </w:rPr>
              <w:t>ИНН 6345012488 КПП 190243001</w:t>
            </w:r>
          </w:p>
          <w:p>
            <w:pPr>
              <w:pStyle w:val="Normal"/>
              <w:widowControl w:val="false"/>
              <w:rPr>
                <w:sz w:val="24"/>
                <w:szCs w:val="24"/>
              </w:rPr>
            </w:pPr>
            <w:r>
              <w:rPr>
                <w:sz w:val="24"/>
                <w:szCs w:val="24"/>
              </w:rPr>
              <w:t>ОГРН 1036301733005 ОКПО 23337446</w:t>
            </w:r>
          </w:p>
          <w:p>
            <w:pPr>
              <w:pStyle w:val="Normal"/>
              <w:widowControl w:val="false"/>
              <w:rPr>
                <w:sz w:val="24"/>
                <w:szCs w:val="24"/>
              </w:rPr>
            </w:pPr>
            <w:r>
              <w:rPr>
                <w:sz w:val="24"/>
                <w:szCs w:val="24"/>
              </w:rPr>
              <w:t>Плательщик: Саяно-Шушенский филиал</w:t>
            </w:r>
          </w:p>
          <w:p>
            <w:pPr>
              <w:pStyle w:val="Normal"/>
              <w:widowControl w:val="false"/>
              <w:rPr>
                <w:sz w:val="24"/>
                <w:szCs w:val="24"/>
              </w:rPr>
            </w:pPr>
            <w:r>
              <w:rPr>
                <w:sz w:val="24"/>
                <w:szCs w:val="24"/>
              </w:rPr>
              <w:t>АО «Гидроремонт-ВКК» в п. Черемушки</w:t>
            </w:r>
          </w:p>
          <w:p>
            <w:pPr>
              <w:pStyle w:val="Normal"/>
              <w:widowControl w:val="false"/>
              <w:rPr>
                <w:sz w:val="24"/>
                <w:szCs w:val="24"/>
              </w:rPr>
            </w:pPr>
            <w:r>
              <w:rPr>
                <w:sz w:val="24"/>
                <w:szCs w:val="24"/>
              </w:rPr>
              <w:t>Р/с 40702810300000092489</w:t>
            </w:r>
          </w:p>
          <w:p>
            <w:pPr>
              <w:pStyle w:val="Normal"/>
              <w:widowControl w:val="false"/>
              <w:rPr>
                <w:sz w:val="24"/>
                <w:szCs w:val="24"/>
              </w:rPr>
            </w:pPr>
            <w:r>
              <w:rPr>
                <w:sz w:val="24"/>
                <w:szCs w:val="24"/>
              </w:rPr>
              <w:t>в Банке ГПБ (АО), г. Москва</w:t>
            </w:r>
          </w:p>
          <w:p>
            <w:pPr>
              <w:pStyle w:val="Normal"/>
              <w:widowControl w:val="false"/>
              <w:rPr>
                <w:sz w:val="24"/>
                <w:szCs w:val="24"/>
              </w:rPr>
            </w:pPr>
            <w:r>
              <w:rPr>
                <w:sz w:val="24"/>
                <w:szCs w:val="24"/>
              </w:rPr>
              <w:t>К/с 30101810200000000823</w:t>
            </w:r>
          </w:p>
          <w:p>
            <w:pPr>
              <w:pStyle w:val="Normal"/>
              <w:widowControl w:val="false"/>
              <w:rPr>
                <w:sz w:val="24"/>
                <w:szCs w:val="24"/>
              </w:rPr>
            </w:pPr>
            <w:r>
              <w:rPr>
                <w:sz w:val="24"/>
                <w:szCs w:val="24"/>
              </w:rPr>
              <w:t>БИК 044525823</w:t>
            </w:r>
          </w:p>
          <w:p>
            <w:pPr>
              <w:pStyle w:val="Normal"/>
              <w:widowControl w:val="false"/>
              <w:rPr>
                <w:sz w:val="24"/>
                <w:szCs w:val="24"/>
              </w:rPr>
            </w:pPr>
            <w:r>
              <w:rPr>
                <w:sz w:val="24"/>
                <w:szCs w:val="24"/>
              </w:rPr>
              <w:t xml:space="preserve">Тел. </w:t>
            </w:r>
            <w:r>
              <w:rPr>
                <w:b w:val="false"/>
                <w:bCs w:val="false"/>
                <w:sz w:val="24"/>
                <w:szCs w:val="24"/>
                <w:u w:val="none"/>
                <w:shd w:fill="auto" w:val="clear"/>
              </w:rPr>
              <w:t>контактного лица: 8-961-740-00-40</w:t>
            </w:r>
          </w:p>
          <w:p>
            <w:pPr>
              <w:pStyle w:val="Normal"/>
              <w:widowControl w:val="false"/>
              <w:rPr>
                <w:b w:val="false"/>
                <w:bCs w:val="false"/>
                <w:highlight w:val="none"/>
                <w:u w:val="none"/>
                <w:shd w:fill="auto" w:val="clear"/>
              </w:rPr>
            </w:pPr>
            <w:r>
              <w:rPr>
                <w:b w:val="false"/>
                <w:bCs w:val="false"/>
                <w:sz w:val="24"/>
                <w:szCs w:val="24"/>
                <w:u w:val="none"/>
                <w:shd w:fill="auto" w:val="clear"/>
              </w:rPr>
              <w:t>Тел. приемной: 8 (39042) 7-17-01</w:t>
            </w:r>
          </w:p>
          <w:p>
            <w:pPr>
              <w:pStyle w:val="Normal"/>
              <w:widowControl w:val="false"/>
              <w:rPr/>
            </w:pPr>
            <w:r>
              <w:rPr>
                <w:rStyle w:val="Hyperlink"/>
                <w:rFonts w:cs="Times New Roman"/>
                <w:b w:val="false"/>
                <w:bCs w:val="false"/>
                <w:i w:val="false"/>
                <w:iCs w:val="false"/>
                <w:sz w:val="24"/>
                <w:szCs w:val="24"/>
                <w:u w:val="none"/>
                <w:shd w:fill="auto" w:val="clear"/>
                <w:lang w:val="en-US"/>
              </w:rPr>
              <w:t xml:space="preserve">E-mail: </w:t>
            </w:r>
            <w:hyperlink r:id="rId8">
              <w:r>
                <w:rPr>
                  <w:rStyle w:val="Hyperlink"/>
                  <w:rFonts w:cs="Times New Roman"/>
                  <w:b w:val="false"/>
                  <w:bCs w:val="false"/>
                  <w:i w:val="false"/>
                  <w:iCs w:val="false"/>
                  <w:sz w:val="24"/>
                  <w:szCs w:val="24"/>
                  <w:u w:val="none"/>
                  <w:shd w:fill="auto" w:val="clear"/>
                  <w:lang w:val="en-US"/>
                </w:rPr>
                <w:t>sayany@rushydro.ru</w:t>
              </w:r>
            </w:hyperlink>
          </w:p>
        </w:tc>
        <w:tc>
          <w:tcPr>
            <w:tcW w:w="4786"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(наименование юридического лица)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(место нахождения)</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(почтовый адрес)</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(ОГРН)</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(ИНН/КПП)</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расчетного счета)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(наименование банка, в котором</w:t>
            </w:r>
          </w:p>
          <w:p>
            <w:pPr>
              <w:pStyle w:val="Normal"/>
              <w:widowControl w:val="false"/>
              <w:rPr>
                <w:sz w:val="22"/>
                <w:szCs w:val="22"/>
              </w:rPr>
            </w:pPr>
            <w:r>
              <w:rPr>
                <w:sz w:val="22"/>
                <w:szCs w:val="22"/>
              </w:rPr>
              <w:t>открыт расчетный счет)</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корреспондентского счета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(БИК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телефона/факса)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w:t>
            </w:r>
            <w:r>
              <w:rPr>
                <w:sz w:val="22"/>
                <w:szCs w:val="22"/>
                <w:lang w:val="en-US"/>
              </w:rPr>
              <w:t>email</w:t>
            </w:r>
            <w:r>
              <w:rPr>
                <w:sz w:val="22"/>
                <w:szCs w:val="22"/>
              </w:rPr>
              <w:t>)</w:t>
            </w:r>
          </w:p>
          <w:p>
            <w:pPr>
              <w:pStyle w:val="Normal"/>
              <w:widowControl w:val="false"/>
              <w:rPr>
                <w:sz w:val="22"/>
                <w:szCs w:val="22"/>
              </w:rPr>
            </w:pPr>
            <w:r>
              <w:rPr>
                <w:sz w:val="22"/>
                <w:szCs w:val="22"/>
              </w:rPr>
            </w:r>
          </w:p>
        </w:tc>
      </w:tr>
      <w:tr>
        <w:trPr/>
        <w:tc>
          <w:tcPr>
            <w:tcW w:w="4927"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w:t>
            </w:r>
            <w:r>
              <w:rPr>
                <w:sz w:val="22"/>
                <w:szCs w:val="22"/>
                <w:shd w:fill="FFFF00" w:val="clear"/>
              </w:rPr>
              <w:t>_______________</w:t>
            </w:r>
            <w:r>
              <w:rPr>
                <w:sz w:val="22"/>
                <w:szCs w:val="22"/>
              </w:rPr>
              <w:t xml:space="preserve"> /</w:t>
            </w:r>
          </w:p>
          <w:p>
            <w:pPr>
              <w:pStyle w:val="Normal"/>
              <w:widowControl w:val="false"/>
              <w:rPr>
                <w:sz w:val="22"/>
                <w:szCs w:val="22"/>
              </w:rPr>
            </w:pPr>
            <w:r>
              <w:rPr>
                <w:sz w:val="22"/>
                <w:szCs w:val="22"/>
              </w:rPr>
              <w:t>м.п.</w:t>
            </w:r>
          </w:p>
        </w:tc>
        <w:tc>
          <w:tcPr>
            <w:tcW w:w="4786"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w:t>
            </w:r>
            <w:r>
              <w:rPr>
                <w:sz w:val="22"/>
                <w:szCs w:val="22"/>
                <w:shd w:fill="FFFF00" w:val="clear"/>
              </w:rPr>
              <w:t>_______________</w:t>
            </w:r>
            <w:r>
              <w:rPr>
                <w:sz w:val="22"/>
                <w:szCs w:val="22"/>
              </w:rPr>
              <w:t xml:space="preserve"> /</w:t>
            </w:r>
          </w:p>
          <w:p>
            <w:pPr>
              <w:pStyle w:val="Normal"/>
              <w:widowControl w:val="false"/>
              <w:rPr>
                <w:sz w:val="22"/>
                <w:szCs w:val="22"/>
              </w:rPr>
            </w:pPr>
            <w:r>
              <w:rPr>
                <w:sz w:val="22"/>
                <w:szCs w:val="22"/>
              </w:rPr>
              <w:t>м.п.</w:t>
            </w:r>
          </w:p>
        </w:tc>
      </w:tr>
    </w:tbl>
    <w:p>
      <w:pPr>
        <w:sectPr>
          <w:headerReference w:type="default" r:id="rId9"/>
          <w:footerReference w:type="even" r:id="rId10"/>
          <w:footerReference w:type="default" r:id="rId11"/>
          <w:footerReference w:type="first" r:id="rId12"/>
          <w:footnotePr>
            <w:numFmt w:val="decimal"/>
          </w:footnotePr>
          <w:type w:val="nextPage"/>
          <w:pgSz w:w="11906" w:h="16838"/>
          <w:pgMar w:left="1701" w:right="849" w:gutter="0" w:header="720" w:top="1134" w:footer="720" w:bottom="1134"/>
          <w:pgNumType w:fmt="decimal"/>
          <w:formProt w:val="false"/>
          <w:textDirection w:val="lrTb"/>
          <w:docGrid w:type="default" w:linePitch="100" w:charSpace="8192"/>
        </w:sectPr>
      </w:pPr>
    </w:p>
    <w:p>
      <w:pPr>
        <w:pStyle w:val="BodyText"/>
        <w:numPr>
          <w:ilvl w:val="0"/>
          <w:numId w:val="0"/>
        </w:numPr>
        <w:spacing w:before="0" w:after="120"/>
        <w:ind w:firstLine="567" w:left="0"/>
        <w:jc w:val="right"/>
        <w:outlineLvl w:val="0"/>
        <w:rPr>
          <w:b/>
          <w:bCs/>
          <w:sz w:val="24"/>
          <w:szCs w:val="24"/>
        </w:rPr>
      </w:pPr>
      <w:r>
        <w:rPr>
          <w:b/>
          <w:bCs/>
          <w:sz w:val="24"/>
          <w:szCs w:val="24"/>
        </w:rPr>
        <w:t>Приложение № 1</w:t>
      </w:r>
    </w:p>
    <w:p>
      <w:pPr>
        <w:pStyle w:val="BodyText"/>
        <w:spacing w:before="0" w:after="120"/>
        <w:ind w:firstLine="567"/>
        <w:jc w:val="right"/>
        <w:rPr>
          <w:bCs/>
          <w:sz w:val="24"/>
          <w:szCs w:val="24"/>
        </w:rPr>
      </w:pPr>
      <w:r>
        <w:rPr>
          <w:bCs/>
          <w:sz w:val="24"/>
          <w:szCs w:val="24"/>
        </w:rPr>
        <w:t xml:space="preserve">к договору поставки </w:t>
      </w:r>
    </w:p>
    <w:p>
      <w:pPr>
        <w:pStyle w:val="BodyText"/>
        <w:spacing w:before="0" w:after="120"/>
        <w:ind w:firstLine="567"/>
        <w:jc w:val="right"/>
        <w:rPr>
          <w:bCs/>
          <w:sz w:val="24"/>
          <w:szCs w:val="24"/>
        </w:rPr>
      </w:pPr>
      <w:r>
        <w:rPr>
          <w:bCs/>
          <w:sz w:val="24"/>
          <w:szCs w:val="24"/>
        </w:rPr>
        <w:t xml:space="preserve">№ </w:t>
      </w:r>
      <w:r>
        <w:rPr>
          <w:bCs/>
          <w:sz w:val="24"/>
          <w:szCs w:val="24"/>
        </w:rPr>
        <w:t xml:space="preserve">_____-СШФ/пос-26 от «___» _________ 2026г. </w:t>
      </w:r>
    </w:p>
    <w:p>
      <w:pPr>
        <w:pStyle w:val="BodyText"/>
        <w:spacing w:before="0" w:after="120"/>
        <w:ind w:firstLine="567"/>
        <w:jc w:val="right"/>
        <w:rPr>
          <w:bCs/>
          <w:sz w:val="24"/>
          <w:szCs w:val="24"/>
        </w:rPr>
      </w:pPr>
      <w:r>
        <w:rPr>
          <w:bCs/>
          <w:sz w:val="24"/>
          <w:szCs w:val="24"/>
        </w:rPr>
      </w:r>
    </w:p>
    <w:p>
      <w:pPr>
        <w:pStyle w:val="Normal"/>
        <w:numPr>
          <w:ilvl w:val="0"/>
          <w:numId w:val="0"/>
        </w:numPr>
        <w:spacing w:before="0" w:after="120"/>
        <w:ind w:firstLine="567" w:left="0"/>
        <w:jc w:val="center"/>
        <w:outlineLvl w:val="0"/>
        <w:rPr>
          <w:b/>
          <w:sz w:val="24"/>
          <w:szCs w:val="24"/>
        </w:rPr>
      </w:pPr>
      <w:r>
        <w:rPr>
          <w:b/>
          <w:sz w:val="24"/>
          <w:szCs w:val="24"/>
        </w:rPr>
        <w:t>Спецификация №__</w:t>
      </w:r>
    </w:p>
    <w:p>
      <w:pPr>
        <w:pStyle w:val="Normal"/>
        <w:numPr>
          <w:ilvl w:val="0"/>
          <w:numId w:val="0"/>
        </w:numPr>
        <w:spacing w:before="0" w:after="120"/>
        <w:ind w:firstLine="567" w:left="0"/>
        <w:jc w:val="center"/>
        <w:outlineLvl w:val="0"/>
        <w:rPr>
          <w:b/>
          <w:i/>
          <w:i/>
          <w:color w:val="FF0000"/>
          <w:sz w:val="22"/>
          <w:szCs w:val="22"/>
        </w:rPr>
      </w:pPr>
      <w:r>
        <w:rPr>
          <w:b/>
          <w:i/>
          <w:color w:val="FF0000"/>
          <w:sz w:val="22"/>
          <w:szCs w:val="22"/>
        </w:rPr>
        <w:t>(заполняется на основании предложения, указанного в заявке участника закупки и технических требований)</w:t>
      </w:r>
    </w:p>
    <w:tbl>
      <w:tblPr>
        <w:tblW w:w="10632" w:type="dxa"/>
        <w:jc w:val="left"/>
        <w:tblInd w:w="-175" w:type="dxa"/>
        <w:tblLayout w:type="fixed"/>
        <w:tblCellMar>
          <w:top w:w="0" w:type="dxa"/>
          <w:left w:w="108" w:type="dxa"/>
          <w:bottom w:w="0" w:type="dxa"/>
          <w:right w:w="108" w:type="dxa"/>
        </w:tblCellMar>
        <w:tblLook w:val="04a0" w:noHBand="0" w:noVBand="1" w:firstColumn="1" w:lastRow="0" w:lastColumn="0" w:firstRow="1"/>
      </w:tblPr>
      <w:tblGrid>
        <w:gridCol w:w="710"/>
        <w:gridCol w:w="848"/>
        <w:gridCol w:w="421"/>
        <w:gridCol w:w="1707"/>
        <w:gridCol w:w="1559"/>
        <w:gridCol w:w="708"/>
        <w:gridCol w:w="711"/>
        <w:gridCol w:w="849"/>
        <w:gridCol w:w="1701"/>
        <w:gridCol w:w="1417"/>
      </w:tblGrid>
      <w:tr>
        <w:trPr>
          <w:trHeight w:val="510" w:hRule="atLeast"/>
        </w:trPr>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Поз. №</w:t>
            </w:r>
          </w:p>
        </w:tc>
        <w:tc>
          <w:tcPr>
            <w:tcW w:w="1269"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Наименование</w:t>
            </w:r>
          </w:p>
        </w:tc>
        <w:tc>
          <w:tcPr>
            <w:tcW w:w="170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20"/>
              <w:jc w:val="center"/>
              <w:rPr>
                <w:bCs/>
                <w:sz w:val="22"/>
                <w:szCs w:val="22"/>
              </w:rPr>
            </w:pPr>
            <w:r>
              <w:rPr>
                <w:sz w:val="24"/>
                <w:szCs w:val="24"/>
              </w:rPr>
              <w:t>Страна происхождения Продукции / цифровой код страны</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Характеристики продукции</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Тип</w:t>
            </w:r>
          </w:p>
        </w:tc>
        <w:tc>
          <w:tcPr>
            <w:tcW w:w="7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Ед. изм.</w:t>
            </w:r>
          </w:p>
        </w:tc>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Количество</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Цена  за единицу (руб., с НДС __%/ без НДС)</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Сумма (руб., с НДС __%/ без НДС)</w:t>
            </w:r>
          </w:p>
        </w:tc>
      </w:tr>
      <w:tr>
        <w:trPr>
          <w:trHeight w:val="523" w:hRule="atLeast"/>
        </w:trPr>
        <w:tc>
          <w:tcPr>
            <w:tcW w:w="71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1.</w:t>
            </w:r>
          </w:p>
        </w:tc>
        <w:tc>
          <w:tcPr>
            <w:tcW w:w="1269" w:type="dxa"/>
            <w:gridSpan w:val="2"/>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___________</w:t>
            </w:r>
          </w:p>
        </w:tc>
        <w:tc>
          <w:tcPr>
            <w:tcW w:w="1707"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20"/>
              <w:jc w:val="center"/>
              <w:rPr>
                <w:sz w:val="22"/>
                <w:szCs w:val="24"/>
              </w:rPr>
            </w:pPr>
            <w:r>
              <w:rPr>
                <w:sz w:val="22"/>
                <w:szCs w:val="24"/>
              </w:rPr>
              <w:t>___________</w:t>
            </w:r>
          </w:p>
        </w:tc>
        <w:tc>
          <w:tcPr>
            <w:tcW w:w="155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___________</w:t>
            </w:r>
          </w:p>
        </w:tc>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w:t>
            </w:r>
          </w:p>
        </w:tc>
        <w:tc>
          <w:tcPr>
            <w:tcW w:w="71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w:t>
            </w:r>
          </w:p>
        </w:tc>
        <w:tc>
          <w:tcPr>
            <w:tcW w:w="84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______</w:t>
            </w:r>
          </w:p>
        </w:tc>
        <w:tc>
          <w:tcPr>
            <w:tcW w:w="170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__________</w:t>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________</w:t>
            </w:r>
          </w:p>
        </w:tc>
      </w:tr>
      <w:tr>
        <w:trPr>
          <w:trHeight w:val="523" w:hRule="atLeast"/>
        </w:trPr>
        <w:tc>
          <w:tcPr>
            <w:tcW w:w="71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2.</w:t>
            </w:r>
          </w:p>
        </w:tc>
        <w:tc>
          <w:tcPr>
            <w:tcW w:w="1269" w:type="dxa"/>
            <w:gridSpan w:val="2"/>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___________</w:t>
            </w:r>
          </w:p>
        </w:tc>
        <w:tc>
          <w:tcPr>
            <w:tcW w:w="1707"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20"/>
              <w:jc w:val="center"/>
              <w:rPr>
                <w:sz w:val="22"/>
              </w:rPr>
            </w:pPr>
            <w:r>
              <w:rPr>
                <w:sz w:val="22"/>
                <w:szCs w:val="24"/>
              </w:rPr>
              <w:t>___________</w:t>
            </w:r>
          </w:p>
        </w:tc>
        <w:tc>
          <w:tcPr>
            <w:tcW w:w="155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___________</w:t>
            </w:r>
          </w:p>
        </w:tc>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w:t>
            </w:r>
          </w:p>
        </w:tc>
        <w:tc>
          <w:tcPr>
            <w:tcW w:w="71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w:t>
            </w:r>
          </w:p>
        </w:tc>
        <w:tc>
          <w:tcPr>
            <w:tcW w:w="84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______</w:t>
            </w:r>
          </w:p>
        </w:tc>
        <w:tc>
          <w:tcPr>
            <w:tcW w:w="170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__________</w:t>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________</w:t>
            </w:r>
          </w:p>
        </w:tc>
      </w:tr>
      <w:tr>
        <w:trPr>
          <w:trHeight w:val="255" w:hRule="atLeast"/>
        </w:trPr>
        <w:tc>
          <w:tcPr>
            <w:tcW w:w="1558" w:type="dxa"/>
            <w:gridSpan w:val="2"/>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20"/>
              <w:ind w:firstLine="567"/>
              <w:jc w:val="right"/>
              <w:rPr>
                <w:b/>
                <w:sz w:val="22"/>
                <w:szCs w:val="24"/>
              </w:rPr>
            </w:pPr>
            <w:r>
              <w:rPr>
                <w:b/>
                <w:sz w:val="22"/>
                <w:szCs w:val="24"/>
              </w:rPr>
            </w:r>
          </w:p>
        </w:tc>
        <w:tc>
          <w:tcPr>
            <w:tcW w:w="7656" w:type="dxa"/>
            <w:gridSpan w:val="7"/>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right"/>
              <w:rPr>
                <w:sz w:val="22"/>
                <w:szCs w:val="24"/>
              </w:rPr>
            </w:pPr>
            <w:r>
              <w:rPr>
                <w:b/>
                <w:sz w:val="22"/>
                <w:szCs w:val="24"/>
              </w:rPr>
              <w:t>ИТОГО*</w:t>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center"/>
              <w:rPr>
                <w:b/>
                <w:sz w:val="22"/>
                <w:szCs w:val="24"/>
              </w:rPr>
            </w:pPr>
            <w:r>
              <w:rPr>
                <w:b/>
                <w:sz w:val="22"/>
                <w:szCs w:val="24"/>
              </w:rPr>
            </w:r>
          </w:p>
        </w:tc>
      </w:tr>
      <w:tr>
        <w:trPr>
          <w:trHeight w:val="255" w:hRule="atLeast"/>
        </w:trPr>
        <w:tc>
          <w:tcPr>
            <w:tcW w:w="1558" w:type="dxa"/>
            <w:gridSpan w:val="2"/>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20"/>
              <w:ind w:firstLine="567"/>
              <w:jc w:val="right"/>
              <w:rPr>
                <w:sz w:val="22"/>
                <w:szCs w:val="24"/>
              </w:rPr>
            </w:pPr>
            <w:r>
              <w:rPr>
                <w:sz w:val="22"/>
                <w:szCs w:val="24"/>
              </w:rPr>
            </w:r>
          </w:p>
        </w:tc>
        <w:tc>
          <w:tcPr>
            <w:tcW w:w="7656" w:type="dxa"/>
            <w:gridSpan w:val="7"/>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right"/>
              <w:rPr>
                <w:sz w:val="22"/>
                <w:szCs w:val="24"/>
              </w:rPr>
            </w:pPr>
            <w:r>
              <w:rPr>
                <w:sz w:val="22"/>
                <w:szCs w:val="24"/>
              </w:rPr>
              <w:t>Итого с учетом НДС (</w:t>
            </w:r>
            <w:r>
              <w:rPr>
                <w:i/>
                <w:sz w:val="22"/>
                <w:szCs w:val="24"/>
              </w:rPr>
              <w:t>указывается при необходимости</w:t>
            </w:r>
            <w:r>
              <w:rPr>
                <w:sz w:val="22"/>
                <w:szCs w:val="24"/>
              </w:rPr>
              <w:t>)</w:t>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center"/>
              <w:rPr>
                <w:b/>
                <w:sz w:val="22"/>
                <w:szCs w:val="24"/>
              </w:rPr>
            </w:pPr>
            <w:r>
              <w:rPr>
                <w:b/>
                <w:sz w:val="22"/>
                <w:szCs w:val="24"/>
              </w:rPr>
            </w:r>
          </w:p>
        </w:tc>
      </w:tr>
    </w:tbl>
    <w:p>
      <w:pPr>
        <w:pStyle w:val="BodyText"/>
        <w:spacing w:before="0" w:after="120"/>
        <w:ind w:firstLine="567"/>
        <w:rPr>
          <w:b/>
          <w:bCs/>
          <w:i/>
          <w:i/>
          <w:sz w:val="24"/>
          <w:szCs w:val="24"/>
        </w:rPr>
      </w:pPr>
      <w:r>
        <w:rPr>
          <w:b/>
          <w:bCs/>
          <w:i/>
          <w:sz w:val="24"/>
          <w:szCs w:val="24"/>
        </w:rPr>
      </w:r>
    </w:p>
    <w:p>
      <w:pPr>
        <w:pStyle w:val="BodyText"/>
        <w:spacing w:before="0" w:after="120"/>
        <w:ind w:firstLine="567"/>
        <w:rPr>
          <w:b/>
          <w:bCs/>
          <w:i/>
          <w:i/>
          <w:sz w:val="24"/>
          <w:szCs w:val="24"/>
        </w:rPr>
      </w:pPr>
      <w:r>
        <w:rPr>
          <w:b/>
          <w:bCs/>
          <w:i/>
          <w:sz w:val="24"/>
          <w:szCs w:val="24"/>
        </w:rPr>
        <w:t>Условия поставки:</w:t>
      </w:r>
    </w:p>
    <w:p>
      <w:pPr>
        <w:pStyle w:val="Normal"/>
        <w:widowControl w:val="false"/>
        <w:numPr>
          <w:ilvl w:val="0"/>
          <w:numId w:val="20"/>
        </w:numPr>
        <w:tabs>
          <w:tab w:val="left" w:pos="720" w:leader="none"/>
        </w:tabs>
        <w:spacing w:before="0" w:after="120"/>
        <w:ind w:firstLine="284" w:left="0"/>
        <w:jc w:val="both"/>
        <w:rPr>
          <w:sz w:val="24"/>
          <w:szCs w:val="24"/>
        </w:rPr>
      </w:pPr>
      <w:r>
        <w:rPr>
          <w:bCs/>
          <w:sz w:val="24"/>
          <w:szCs w:val="24"/>
        </w:rPr>
        <w:t>Общая сумма Спецификации составляет _______</w:t>
      </w:r>
      <w:r>
        <w:rPr>
          <w:b/>
          <w:sz w:val="24"/>
          <w:szCs w:val="24"/>
        </w:rPr>
        <w:t xml:space="preserve"> </w:t>
      </w:r>
      <w:r>
        <w:rPr>
          <w:sz w:val="24"/>
          <w:szCs w:val="24"/>
        </w:rPr>
        <w:t xml:space="preserve">(________), </w:t>
      </w:r>
      <w:r>
        <w:rPr>
          <w:i/>
          <w:sz w:val="24"/>
          <w:szCs w:val="24"/>
        </w:rPr>
        <w:t>в том числе НДС 22%, в размере _____________ (________________)</w:t>
      </w:r>
      <w:r>
        <w:rPr>
          <w:b/>
          <w:sz w:val="24"/>
          <w:szCs w:val="24"/>
        </w:rPr>
        <w:t>.</w:t>
      </w:r>
    </w:p>
    <w:p>
      <w:pPr>
        <w:pStyle w:val="Normal"/>
        <w:widowControl w:val="false"/>
        <w:numPr>
          <w:ilvl w:val="0"/>
          <w:numId w:val="21"/>
        </w:numPr>
        <w:tabs>
          <w:tab w:val="left" w:pos="720" w:leader="none"/>
        </w:tabs>
        <w:spacing w:before="0" w:after="120"/>
        <w:ind w:firstLine="284" w:left="0"/>
        <w:jc w:val="both"/>
        <w:rPr>
          <w:sz w:val="24"/>
          <w:szCs w:val="24"/>
        </w:rPr>
      </w:pPr>
      <w:r>
        <w:rPr>
          <w:sz w:val="24"/>
          <w:szCs w:val="24"/>
        </w:rPr>
        <w:t>Наименование производителя: ______________________;</w:t>
      </w:r>
    </w:p>
    <w:p>
      <w:pPr>
        <w:pStyle w:val="Normal"/>
        <w:widowControl w:val="false"/>
        <w:numPr>
          <w:ilvl w:val="0"/>
          <w:numId w:val="22"/>
        </w:numPr>
        <w:tabs>
          <w:tab w:val="left" w:pos="720" w:leader="none"/>
        </w:tabs>
        <w:spacing w:before="0" w:after="120"/>
        <w:ind w:firstLine="284" w:left="0"/>
        <w:jc w:val="both"/>
        <w:rPr>
          <w:sz w:val="24"/>
          <w:szCs w:val="24"/>
        </w:rPr>
      </w:pPr>
      <w:r>
        <w:rPr>
          <w:sz w:val="24"/>
          <w:szCs w:val="24"/>
        </w:rPr>
        <w:t>Срок поставки Продукции: _______________________.</w:t>
      </w:r>
    </w:p>
    <w:p>
      <w:pPr>
        <w:pStyle w:val="Normal"/>
        <w:widowControl w:val="false"/>
        <w:numPr>
          <w:ilvl w:val="0"/>
          <w:numId w:val="23"/>
        </w:numPr>
        <w:tabs>
          <w:tab w:val="left" w:pos="720" w:leader="none"/>
        </w:tabs>
        <w:spacing w:before="0" w:after="120"/>
        <w:ind w:firstLine="284" w:left="0"/>
        <w:jc w:val="both"/>
        <w:rPr>
          <w:sz w:val="24"/>
          <w:szCs w:val="24"/>
        </w:rPr>
      </w:pPr>
      <w:r>
        <w:rPr>
          <w:sz w:val="24"/>
          <w:szCs w:val="24"/>
        </w:rPr>
        <w:t>Иные условия, предусмотренные техническими требованиями:_________________.</w:t>
      </w:r>
    </w:p>
    <w:p>
      <w:pPr>
        <w:pStyle w:val="BodyText"/>
        <w:spacing w:before="0" w:after="120"/>
        <w:ind w:firstLine="567"/>
        <w:rPr>
          <w:b/>
          <w:bCs/>
          <w:sz w:val="24"/>
          <w:szCs w:val="24"/>
        </w:rPr>
      </w:pPr>
      <w:r>
        <w:rPr>
          <w:b/>
          <w:sz w:val="24"/>
          <w:szCs w:val="24"/>
        </w:rPr>
        <w:t>*</w:t>
      </w:r>
      <w:r>
        <w:rPr>
          <w:sz w:val="24"/>
          <w:szCs w:val="24"/>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pPr>
        <w:pStyle w:val="Normal"/>
        <w:spacing w:before="0" w:after="120"/>
        <w:jc w:val="both"/>
        <w:rPr>
          <w:i/>
          <w:i/>
          <w:sz w:val="24"/>
          <w:szCs w:val="24"/>
        </w:rPr>
      </w:pPr>
      <w:r>
        <w:rPr>
          <w:i/>
          <w:sz w:val="24"/>
          <w:szCs w:val="24"/>
        </w:rPr>
      </w:r>
    </w:p>
    <w:tbl>
      <w:tblPr>
        <w:tblpPr w:vertAnchor="text" w:horzAnchor="margin" w:leftFromText="180" w:rightFromText="180" w:tblpX="216" w:tblpY="225"/>
        <w:tblW w:w="9571"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c>
          <w:tcPr>
            <w:tcW w:w="4785" w:type="dxa"/>
            <w:tcBorders/>
            <w:shd w:color="auto" w:fill="FFFFFF" w:themeFill="background1" w:val="clear"/>
          </w:tcPr>
          <w:p>
            <w:pPr>
              <w:pStyle w:val="Style18"/>
              <w:pageBreakBefore/>
              <w:widowControl w:val="false"/>
              <w:spacing w:lineRule="auto" w:line="240" w:before="0" w:after="120"/>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Покупатель</w:t>
            </w:r>
            <w:r>
              <w:rPr>
                <w:rFonts w:ascii="Times New Roman" w:hAnsi="Times New Roman"/>
                <w:b/>
                <w:sz w:val="24"/>
                <w:szCs w:val="24"/>
                <w:u w:val="single"/>
              </w:rPr>
              <w:t>:</w:t>
            </w:r>
          </w:p>
          <w:p>
            <w:pPr>
              <w:pStyle w:val="Style18"/>
              <w:widowControl w:val="false"/>
              <w:spacing w:lineRule="auto" w:line="240" w:before="0" w:after="120"/>
              <w:ind w:firstLine="567"/>
              <w:jc w:val="left"/>
              <w:rPr>
                <w:rFonts w:ascii="Times New Roman" w:hAnsi="Times New Roman"/>
                <w:szCs w:val="24"/>
                <w:u w:val="single"/>
                <w:lang w:val="ru-RU"/>
              </w:rPr>
            </w:pPr>
            <w:r>
              <w:rPr>
                <w:rFonts w:ascii="Times New Roman" w:hAnsi="Times New Roman"/>
                <w:szCs w:val="24"/>
                <w:u w:val="single"/>
                <w:lang w:val="ru-RU"/>
              </w:rPr>
            </w:r>
          </w:p>
        </w:tc>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Поставщик</w:t>
            </w:r>
            <w:r>
              <w:rPr>
                <w:rFonts w:ascii="Times New Roman" w:hAnsi="Times New Roman"/>
                <w:b/>
                <w:sz w:val="24"/>
                <w:szCs w:val="24"/>
                <w:u w:val="single"/>
              </w:rPr>
              <w:t>:</w:t>
            </w:r>
          </w:p>
          <w:p>
            <w:pPr>
              <w:pStyle w:val="Style18"/>
              <w:widowControl w:val="false"/>
              <w:spacing w:lineRule="auto" w:line="240" w:before="0" w:after="120"/>
              <w:ind w:firstLine="567"/>
              <w:jc w:val="left"/>
              <w:rPr>
                <w:rFonts w:ascii="Times New Roman" w:hAnsi="Times New Roman"/>
                <w:szCs w:val="24"/>
                <w:u w:val="single"/>
                <w:lang w:val="ru-RU"/>
              </w:rPr>
            </w:pPr>
            <w:r>
              <w:rPr>
                <w:rFonts w:ascii="Times New Roman" w:hAnsi="Times New Roman"/>
                <w:szCs w:val="24"/>
                <w:u w:val="single"/>
                <w:lang w:val="ru-RU"/>
              </w:rPr>
            </w:r>
          </w:p>
        </w:tc>
      </w:tr>
      <w:tr>
        <w:trPr/>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sz w:val="24"/>
                <w:szCs w:val="24"/>
                <w:lang w:val="ru-RU"/>
              </w:rPr>
            </w:pPr>
            <w:r>
              <w:rPr>
                <w:rFonts w:ascii="Times New Roman" w:hAnsi="Times New Roman"/>
                <w:sz w:val="24"/>
                <w:szCs w:val="24"/>
                <w:lang w:val="ru-RU"/>
              </w:rPr>
              <w:t>_______________ / _____________ /</w:t>
            </w:r>
          </w:p>
          <w:p>
            <w:pPr>
              <w:pStyle w:val="Style18"/>
              <w:widowControl w:val="false"/>
              <w:spacing w:lineRule="auto" w:line="240" w:before="0" w:after="120"/>
              <w:ind w:firstLine="567"/>
              <w:jc w:val="left"/>
              <w:rPr>
                <w:rFonts w:ascii="Times New Roman" w:hAnsi="Times New Roman"/>
                <w:szCs w:val="24"/>
                <w:lang w:val="ru-RU"/>
              </w:rPr>
            </w:pPr>
            <w:r>
              <w:rPr>
                <w:rFonts w:ascii="Times New Roman" w:hAnsi="Times New Roman"/>
                <w:sz w:val="24"/>
                <w:szCs w:val="24"/>
                <w:lang w:val="ru-RU"/>
              </w:rPr>
              <w:t>м.п.</w:t>
            </w:r>
          </w:p>
        </w:tc>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sz w:val="24"/>
                <w:szCs w:val="24"/>
                <w:lang w:val="ru-RU"/>
              </w:rPr>
            </w:pPr>
            <w:r>
              <w:rPr>
                <w:rFonts w:ascii="Times New Roman" w:hAnsi="Times New Roman"/>
                <w:sz w:val="24"/>
                <w:szCs w:val="24"/>
                <w:lang w:val="ru-RU"/>
              </w:rPr>
              <w:t>_______________ / _____________ /</w:t>
            </w:r>
          </w:p>
          <w:p>
            <w:pPr>
              <w:pStyle w:val="Style18"/>
              <w:widowControl w:val="false"/>
              <w:spacing w:lineRule="auto" w:line="240" w:before="0" w:after="120"/>
              <w:ind w:firstLine="567"/>
              <w:jc w:val="left"/>
              <w:rPr>
                <w:rFonts w:ascii="Times New Roman" w:hAnsi="Times New Roman"/>
                <w:szCs w:val="24"/>
                <w:lang w:val="ru-RU"/>
              </w:rPr>
            </w:pPr>
            <w:r>
              <w:rPr>
                <w:rFonts w:ascii="Times New Roman" w:hAnsi="Times New Roman"/>
                <w:sz w:val="24"/>
                <w:szCs w:val="24"/>
                <w:lang w:val="ru-RU"/>
              </w:rPr>
              <w:t>м.п.</w:t>
            </w:r>
          </w:p>
        </w:tc>
      </w:tr>
    </w:tbl>
    <w:p>
      <w:pPr>
        <w:pStyle w:val="BodyText"/>
        <w:numPr>
          <w:ilvl w:val="0"/>
          <w:numId w:val="0"/>
        </w:numPr>
        <w:spacing w:before="0" w:after="120"/>
        <w:ind w:firstLine="567" w:left="0"/>
        <w:jc w:val="right"/>
        <w:outlineLvl w:val="0"/>
        <w:rPr>
          <w:b/>
          <w:bCs/>
          <w:sz w:val="24"/>
          <w:szCs w:val="24"/>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jc w:val="right"/>
        <w:rPr>
          <w:b/>
          <w:bCs/>
          <w:sz w:val="24"/>
          <w:szCs w:val="24"/>
        </w:rPr>
      </w:pPr>
      <w:r>
        <w:rPr>
          <w:b/>
          <w:bCs/>
          <w:sz w:val="24"/>
          <w:szCs w:val="24"/>
        </w:rPr>
        <w:t>Приложение № 2</w:t>
      </w:r>
    </w:p>
    <w:p>
      <w:pPr>
        <w:pStyle w:val="BodyText"/>
        <w:spacing w:before="0" w:after="120"/>
        <w:ind w:firstLine="567"/>
        <w:jc w:val="right"/>
        <w:rPr>
          <w:bCs/>
          <w:sz w:val="24"/>
          <w:szCs w:val="24"/>
        </w:rPr>
      </w:pPr>
      <w:r>
        <w:rPr>
          <w:bCs/>
          <w:sz w:val="24"/>
          <w:szCs w:val="24"/>
        </w:rPr>
        <w:t xml:space="preserve">к договору поставки </w:t>
      </w:r>
    </w:p>
    <w:p>
      <w:pPr>
        <w:pStyle w:val="BodyText"/>
        <w:spacing w:before="0" w:after="120"/>
        <w:ind w:firstLine="567"/>
        <w:jc w:val="right"/>
        <w:rPr>
          <w:bCs/>
          <w:sz w:val="24"/>
          <w:szCs w:val="24"/>
        </w:rPr>
      </w:pPr>
      <w:r>
        <w:rPr>
          <w:bCs/>
          <w:sz w:val="24"/>
          <w:szCs w:val="24"/>
        </w:rPr>
        <w:t xml:space="preserve">№ </w:t>
      </w:r>
      <w:r>
        <w:rPr>
          <w:bCs/>
          <w:sz w:val="24"/>
          <w:szCs w:val="24"/>
        </w:rPr>
        <w:t>_____-СШФ/пос-26 от «___» ____________ 2026г.</w:t>
      </w:r>
    </w:p>
    <w:p>
      <w:pPr>
        <w:pStyle w:val="Normal"/>
        <w:numPr>
          <w:ilvl w:val="0"/>
          <w:numId w:val="0"/>
        </w:numPr>
        <w:spacing w:before="0" w:after="120"/>
        <w:ind w:firstLine="567" w:left="0"/>
        <w:jc w:val="center"/>
        <w:outlineLvl w:val="0"/>
        <w:rPr>
          <w:b/>
          <w:sz w:val="24"/>
          <w:szCs w:val="24"/>
        </w:rPr>
      </w:pPr>
      <w:r>
        <w:rPr>
          <w:b/>
          <w:sz w:val="24"/>
          <w:szCs w:val="24"/>
        </w:rPr>
      </w:r>
    </w:p>
    <w:p>
      <w:pPr>
        <w:pStyle w:val="Normal"/>
        <w:numPr>
          <w:ilvl w:val="0"/>
          <w:numId w:val="0"/>
        </w:numPr>
        <w:spacing w:before="0" w:after="120"/>
        <w:ind w:firstLine="567" w:left="0"/>
        <w:jc w:val="center"/>
        <w:outlineLvl w:val="0"/>
        <w:rPr>
          <w:b/>
          <w:sz w:val="24"/>
          <w:szCs w:val="24"/>
        </w:rPr>
      </w:pPr>
      <w:bookmarkStart w:id="8" w:name="_GoBack_Копия_1_Копия_1"/>
      <w:bookmarkEnd w:id="8"/>
      <w:r>
        <w:rPr>
          <w:b/>
          <w:bCs/>
          <w:sz w:val="24"/>
          <w:szCs w:val="24"/>
        </w:rPr>
        <w:t>ТЕХНИЧЕСКИЕ ТРЕБОВАНИЯ</w:t>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tbl>
      <w:tblPr>
        <w:tblpPr w:vertAnchor="text" w:horzAnchor="margin" w:leftFromText="180" w:rightFromText="180" w:tblpX="216" w:tblpY="225"/>
        <w:tblW w:w="9571"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Покупатель</w:t>
            </w:r>
            <w:r>
              <w:rPr>
                <w:rFonts w:ascii="Times New Roman" w:hAnsi="Times New Roman"/>
                <w:b/>
                <w:sz w:val="24"/>
                <w:szCs w:val="24"/>
                <w:u w:val="single"/>
              </w:rPr>
              <w:t>:</w:t>
            </w:r>
          </w:p>
          <w:p>
            <w:pPr>
              <w:pStyle w:val="Style18"/>
              <w:widowControl w:val="false"/>
              <w:spacing w:lineRule="auto" w:line="240" w:before="0" w:after="120"/>
              <w:ind w:firstLine="567"/>
              <w:jc w:val="left"/>
              <w:rPr>
                <w:rFonts w:ascii="Times New Roman" w:hAnsi="Times New Roman"/>
                <w:szCs w:val="24"/>
                <w:u w:val="single"/>
                <w:lang w:val="ru-RU"/>
              </w:rPr>
            </w:pPr>
            <w:r>
              <w:rPr>
                <w:rFonts w:ascii="Times New Roman" w:hAnsi="Times New Roman"/>
                <w:szCs w:val="24"/>
                <w:u w:val="single"/>
                <w:lang w:val="ru-RU"/>
              </w:rPr>
            </w:r>
          </w:p>
        </w:tc>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Поставщик</w:t>
            </w:r>
            <w:r>
              <w:rPr>
                <w:rFonts w:ascii="Times New Roman" w:hAnsi="Times New Roman"/>
                <w:b/>
                <w:sz w:val="24"/>
                <w:szCs w:val="24"/>
                <w:u w:val="single"/>
              </w:rPr>
              <w:t>:</w:t>
            </w:r>
          </w:p>
          <w:p>
            <w:pPr>
              <w:pStyle w:val="Style18"/>
              <w:widowControl w:val="false"/>
              <w:spacing w:lineRule="auto" w:line="240" w:before="0" w:after="120"/>
              <w:ind w:firstLine="567"/>
              <w:jc w:val="left"/>
              <w:rPr>
                <w:rFonts w:ascii="Times New Roman" w:hAnsi="Times New Roman"/>
                <w:szCs w:val="24"/>
                <w:u w:val="single"/>
                <w:lang w:val="ru-RU"/>
              </w:rPr>
            </w:pPr>
            <w:r>
              <w:rPr>
                <w:rFonts w:ascii="Times New Roman" w:hAnsi="Times New Roman"/>
                <w:szCs w:val="24"/>
                <w:u w:val="single"/>
                <w:lang w:val="ru-RU"/>
              </w:rPr>
            </w:r>
          </w:p>
        </w:tc>
      </w:tr>
      <w:tr>
        <w:trPr/>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sz w:val="24"/>
                <w:szCs w:val="24"/>
                <w:lang w:val="ru-RU"/>
              </w:rPr>
            </w:pPr>
            <w:r>
              <w:rPr>
                <w:rFonts w:ascii="Times New Roman" w:hAnsi="Times New Roman"/>
                <w:sz w:val="24"/>
                <w:szCs w:val="24"/>
                <w:lang w:val="ru-RU"/>
              </w:rPr>
              <w:t>_______________ / _____________ /</w:t>
            </w:r>
          </w:p>
          <w:p>
            <w:pPr>
              <w:pStyle w:val="Style18"/>
              <w:widowControl w:val="false"/>
              <w:spacing w:lineRule="auto" w:line="240" w:before="0" w:after="120"/>
              <w:ind w:firstLine="567"/>
              <w:jc w:val="left"/>
              <w:rPr>
                <w:rFonts w:ascii="Times New Roman" w:hAnsi="Times New Roman"/>
                <w:szCs w:val="24"/>
                <w:lang w:val="ru-RU"/>
              </w:rPr>
            </w:pPr>
            <w:r>
              <w:rPr>
                <w:rFonts w:ascii="Times New Roman" w:hAnsi="Times New Roman"/>
                <w:sz w:val="24"/>
                <w:szCs w:val="24"/>
                <w:lang w:val="ru-RU"/>
              </w:rPr>
              <w:t>М.п.</w:t>
            </w:r>
          </w:p>
        </w:tc>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sz w:val="24"/>
                <w:szCs w:val="24"/>
                <w:lang w:val="ru-RU"/>
              </w:rPr>
            </w:pPr>
            <w:r>
              <w:rPr>
                <w:rFonts w:ascii="Times New Roman" w:hAnsi="Times New Roman"/>
                <w:sz w:val="24"/>
                <w:szCs w:val="24"/>
                <w:lang w:val="ru-RU"/>
              </w:rPr>
              <w:t>_______________ / _____________ /</w:t>
            </w:r>
          </w:p>
          <w:p>
            <w:pPr>
              <w:pStyle w:val="Style18"/>
              <w:widowControl w:val="false"/>
              <w:spacing w:lineRule="auto" w:line="240" w:before="0" w:after="120"/>
              <w:ind w:firstLine="567"/>
              <w:jc w:val="left"/>
              <w:rPr>
                <w:rFonts w:ascii="Times New Roman" w:hAnsi="Times New Roman"/>
                <w:szCs w:val="24"/>
                <w:lang w:val="ru-RU"/>
              </w:rPr>
            </w:pPr>
            <w:r>
              <w:rPr>
                <w:rFonts w:ascii="Times New Roman" w:hAnsi="Times New Roman"/>
                <w:sz w:val="24"/>
                <w:szCs w:val="24"/>
                <w:lang w:val="ru-RU"/>
              </w:rPr>
              <w:t>М.п.</w:t>
            </w:r>
          </w:p>
        </w:tc>
      </w:tr>
    </w:tbl>
    <w:p>
      <w:pPr>
        <w:pStyle w:val="Normal"/>
        <w:numPr>
          <w:ilvl w:val="0"/>
          <w:numId w:val="0"/>
        </w:numPr>
        <w:spacing w:before="0" w:after="120"/>
        <w:ind w:firstLine="567" w:left="0"/>
        <w:jc w:val="right"/>
        <w:outlineLvl w:val="0"/>
        <w:rPr>
          <w:b/>
          <w:bCs/>
          <w:sz w:val="24"/>
          <w:szCs w:val="24"/>
        </w:rPr>
      </w:pPr>
      <w:r>
        <w:rPr>
          <w:b/>
          <w:bCs/>
          <w:sz w:val="24"/>
          <w:szCs w:val="24"/>
        </w:rPr>
      </w:r>
    </w:p>
    <w:sectPr>
      <w:headerReference w:type="default" r:id="rId13"/>
      <w:headerReference w:type="first" r:id="rId14"/>
      <w:footerReference w:type="even" r:id="rId15"/>
      <w:footerReference w:type="default" r:id="rId16"/>
      <w:footerReference w:type="first" r:id="rId17"/>
      <w:footnotePr>
        <w:numFmt w:val="decimal"/>
      </w:footnotePr>
      <w:type w:val="nextPage"/>
      <w:pgSz w:w="11906" w:h="16838"/>
      <w:pgMar w:left="1134" w:right="1416" w:gutter="0" w:header="720" w:top="1134" w:footer="720" w:bottom="1134"/>
      <w:pgNumType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Times New Roman">
    <w:altName w:val="Times"/>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3">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39">
              <wp:simplePos x="0" y="0"/>
              <wp:positionH relativeFrom="margin">
                <wp:align>right</wp:align>
              </wp:positionH>
              <wp:positionV relativeFrom="paragraph">
                <wp:posOffset>635</wp:posOffset>
              </wp:positionV>
              <wp:extent cx="127635" cy="145415"/>
              <wp:effectExtent l="0" t="0" r="0" b="0"/>
              <wp:wrapSquare wrapText="bothSides"/>
              <wp:docPr id="3"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39">
              <wp:simplePos x="0" y="0"/>
              <wp:positionH relativeFrom="margin">
                <wp:align>right</wp:align>
              </wp:positionH>
              <wp:positionV relativeFrom="paragraph">
                <wp:posOffset>635</wp:posOffset>
              </wp:positionV>
              <wp:extent cx="127635" cy="145415"/>
              <wp:effectExtent l="0" t="0" r="0" b="0"/>
              <wp:wrapSquare wrapText="bothSides"/>
              <wp:docPr id="5"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7" name="Врезка3"/>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3"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44">
              <wp:simplePos x="0" y="0"/>
              <wp:positionH relativeFrom="margin">
                <wp:align>right</wp:align>
              </wp:positionH>
              <wp:positionV relativeFrom="paragraph">
                <wp:posOffset>635</wp:posOffset>
              </wp:positionV>
              <wp:extent cx="127635" cy="145415"/>
              <wp:effectExtent l="0" t="0" r="0" b="0"/>
              <wp:wrapSquare wrapText="bothSides"/>
              <wp:docPr id="9" name="Врезка4"/>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20</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20</w:t>
                    </w:r>
                    <w:r>
                      <w:rPr>
                        <w:rStyle w:val="Pagenumber"/>
                        <w:color w:val="000000"/>
                      </w:rPr>
                      <w:fldChar w:fldCharType="end"/>
                    </w:r>
                  </w:p>
                </w:txbxContent>
              </v:textbox>
              <w10:wrap type="square"/>
            </v:rect>
          </w:pict>
        </mc:Fallback>
      </mc:AlternateConten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44">
              <wp:simplePos x="0" y="0"/>
              <wp:positionH relativeFrom="margin">
                <wp:align>right</wp:align>
              </wp:positionH>
              <wp:positionV relativeFrom="paragraph">
                <wp:posOffset>635</wp:posOffset>
              </wp:positionV>
              <wp:extent cx="127635" cy="145415"/>
              <wp:effectExtent l="0" t="0" r="0" b="0"/>
              <wp:wrapSquare wrapText="bothSides"/>
              <wp:docPr id="11" name="Врезка4"/>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20</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20</w:t>
                    </w:r>
                    <w:r>
                      <w:rPr>
                        <w:rStyle w:val="Pagenumber"/>
                        <w:color w:val="000000"/>
                      </w:rPr>
                      <w:fldChar w:fldCharType="end"/>
                    </w:r>
                  </w:p>
                </w:txbxContent>
              </v:textbox>
              <w10:wrap type="square"/>
            </v:rect>
          </w:pict>
        </mc:Fallback>
      </mc:AlternateConten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highlight w:val="none"/>
          <w:shd w:fill="auto" w:val="clear"/>
        </w:rPr>
      </w:pPr>
      <w:r>
        <w:rPr>
          <w:rStyle w:val="Style9"/>
        </w:rPr>
        <w:footnoteRef/>
      </w:r>
      <w:r>
        <w:rPr>
          <w:shd w:fill="auto" w:val="clear"/>
        </w:rPr>
        <w:t xml:space="preserve"> </w:t>
      </w:r>
      <w:r>
        <w:rPr>
          <w:shd w:fill="auto" w:val="clea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5321"/>
        </w:tabs>
        <w:ind w:left="5321" w:hanging="360"/>
      </w:pPr>
      <w:r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6">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7">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8">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15"/>
    <w:lvlOverride w:ilvl="0">
      <w:startOverride w:val="1"/>
    </w:lvlOverride>
  </w:num>
  <w:num w:numId="21">
    <w:abstractNumId w:val="15"/>
  </w:num>
  <w:num w:numId="22">
    <w:abstractNumId w:val="15"/>
  </w:num>
  <w:num w:numId="23">
    <w:abstractNumId w:val="15"/>
  </w:num>
</w:numbering>
</file>

<file path=word/settings.xml><?xml version="1.0" encoding="utf-8"?>
<w:settings xmlns:w="http://schemas.openxmlformats.org/wordprocessingml/2006/main">
  <w:zoom w:percent="98"/>
  <w:embedSystemFonts/>
  <w:defaultTabStop w:val="720"/>
  <w:autoHyphenation w:val="true"/>
  <w:footnotePr>
    <w:numFmt w:val="decimal"/>
    <w:footnote w:id="0"/>
    <w:footnote w:id="1"/>
  </w:footnotePr>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rsid w:val="00e42745"/>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hanging="0" w:left="3119"/>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name w:val="Символ сноски"/>
    <w:uiPriority w:val="99"/>
    <w:qFormat/>
    <w:rsid w:val="0066561f"/>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iPriority w:val="99"/>
    <w:unhideWhenUsed/>
    <w:rsid w:val="0066722e"/>
    <w:rPr>
      <w:color w:val="0000FF" w:themeColor="hyperlink"/>
      <w:u w:val="single"/>
    </w:rPr>
  </w:style>
  <w:style w:type="character" w:styleId="Style12" w:customStyle="1">
    <w:name w:val="Абзац списка Знак"/>
    <w:link w:val="ListParagraph"/>
    <w:uiPriority w:val="34"/>
    <w:qFormat/>
    <w:locked/>
    <w:rsid w:val="00b11d27"/>
    <w:rPr/>
  </w:style>
  <w:style w:type="character" w:styleId="1" w:customStyle="1">
    <w:name w:val="1. Статья Знак"/>
    <w:link w:val="12"/>
    <w:qFormat/>
    <w:rsid w:val="00b11d27"/>
    <w:rPr>
      <w:sz w:val="24"/>
      <w:szCs w:val="24"/>
      <w:lang w:val="x-none" w:eastAsia="x-none"/>
    </w:rPr>
  </w:style>
  <w:style w:type="character" w:styleId="Style13">
    <w:name w:val="Символ концевой сноски"/>
    <w:qFormat/>
    <w:rPr>
      <w:vertAlign w:val="superscript"/>
    </w:rPr>
  </w:style>
  <w:style w:type="character" w:styleId="EndnoteReference">
    <w:name w:val="Endnote Reference"/>
    <w:rPr>
      <w:vertAlign w:val="superscript"/>
    </w:rPr>
  </w:style>
  <w:style w:type="character" w:styleId="FootnoteCharacters">
    <w:name w:val="Footnote Characters"/>
    <w:qFormat/>
    <w:rPr>
      <w:vertAlign w:val="superscript"/>
    </w:rPr>
  </w:style>
  <w:style w:type="character" w:styleId="FollowedHyperlink">
    <w:name w:val="FollowedHyperlink"/>
    <w:rPr>
      <w:color w:val="800080"/>
      <w:u w:val="single"/>
    </w:rPr>
  </w:style>
  <w:style w:type="character" w:styleId="PlaceholderText">
    <w:name w:val="Placeholder Text"/>
    <w:qFormat/>
    <w:rPr>
      <w:rFonts w:ascii="Times New Roman" w:hAnsi="Times New Roman" w:eastAsia="Times New Roman" w:cs="Times New Roman"/>
      <w:color w:val="808080"/>
      <w:sz w:val="24"/>
      <w:szCs w:val="24"/>
    </w:rPr>
  </w:style>
  <w:style w:type="paragraph" w:styleId="Style14">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5">
    <w:name w:val="Указатель"/>
    <w:basedOn w:val="Normal"/>
    <w:qFormat/>
    <w:pPr>
      <w:suppressLineNumbers/>
    </w:pPr>
    <w:rPr/>
  </w:style>
  <w:style w:type="paragraph" w:styleId="NormalWeb">
    <w:name w:val="Normal (Web)"/>
    <w:basedOn w:val="Normal"/>
    <w:qFormat/>
    <w:rsid w:val="00e42745"/>
    <w:pPr>
      <w:spacing w:beforeAutospacing="1" w:afterAutospacing="1"/>
      <w:ind w:hanging="0" w:right="150"/>
    </w:pPr>
    <w:rPr>
      <w:rFonts w:ascii="Tahoma" w:hAnsi="Tahoma" w:cs="Tahoma"/>
      <w:color w:val="000000"/>
    </w:rPr>
  </w:style>
  <w:style w:type="paragraph" w:styleId="BodyText2">
    <w:name w:val="Body Text 2"/>
    <w:basedOn w:val="Normal"/>
    <w:qFormat/>
    <w:rsid w:val="00e42745"/>
    <w:pPr>
      <w:jc w:val="both"/>
    </w:pPr>
    <w:rPr/>
  </w:style>
  <w:style w:type="paragraph" w:styleId="Style16">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Title">
    <w:name w:val="Title"/>
    <w:basedOn w:val="Normal"/>
    <w:link w:val="Style1"/>
    <w:qFormat/>
    <w:rsid w:val="00e42745"/>
    <w:pPr>
      <w:jc w:val="center"/>
    </w:pPr>
    <w:rPr>
      <w:b/>
      <w:bCs/>
      <w:sz w:val="28"/>
      <w:szCs w:val="24"/>
    </w:rPr>
  </w:style>
  <w:style w:type="paragraph" w:styleId="11"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7"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hanging="0" w:left="1843"/>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uiPriority w:val="34"/>
    <w:qFormat/>
    <w:rsid w:val="0066561f"/>
    <w:pPr>
      <w:widowControl w:val="false"/>
      <w:spacing w:before="0" w:after="0"/>
      <w:ind w:hanging="0" w:left="720"/>
      <w:contextualSpacing/>
    </w:pPr>
    <w:rPr/>
  </w:style>
  <w:style w:type="paragraph" w:styleId="Style18"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9"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0"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hanging="851" w:left="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12" w:customStyle="1">
    <w:name w:val="1. Статья"/>
    <w:basedOn w:val="Heading3"/>
    <w:link w:val="1"/>
    <w:qFormat/>
    <w:rsid w:val="00b11d27"/>
    <w:pPr>
      <w:keepNext w:val="false"/>
      <w:widowControl w:val="false"/>
      <w:numPr>
        <w:ilvl w:val="0"/>
        <w:numId w:val="10"/>
      </w:numPr>
      <w:tabs>
        <w:tab w:val="left" w:pos="0" w:leader="none"/>
        <w:tab w:val="left" w:pos="2340" w:leader="none"/>
      </w:tabs>
      <w:overflowPunct w:val="true"/>
      <w:ind w:hanging="0" w:right="1462"/>
      <w:textAlignment w:val="baseline"/>
    </w:pPr>
    <w:rPr>
      <w:b w:val="false"/>
      <w:sz w:val="24"/>
      <w:szCs w:val="24"/>
      <w:lang w:val="x-none" w:eastAsia="x-none"/>
    </w:rPr>
  </w:style>
  <w:style w:type="paragraph" w:styleId="21" w:customStyle="1">
    <w:name w:val="2. Пункт"/>
    <w:basedOn w:val="Heading3"/>
    <w:qFormat/>
    <w:rsid w:val="00b11d27"/>
    <w:pPr>
      <w:keepNext w:val="false"/>
      <w:widowControl w:val="false"/>
      <w:numPr>
        <w:ilvl w:val="1"/>
        <w:numId w:val="10"/>
      </w:numPr>
      <w:overflowPunct w:val="true"/>
      <w:jc w:val="both"/>
      <w:textAlignment w:val="baseline"/>
    </w:pPr>
    <w:rPr>
      <w:b w:val="false"/>
      <w:sz w:val="24"/>
      <w:szCs w:val="24"/>
      <w:lang w:val="x-none" w:eastAsia="x-none"/>
    </w:rPr>
  </w:style>
  <w:style w:type="paragraph" w:styleId="32" w:customStyle="1">
    <w:name w:val="3. Подпункт"/>
    <w:basedOn w:val="Heading3"/>
    <w:qFormat/>
    <w:rsid w:val="00b11d27"/>
    <w:pPr>
      <w:keepNext w:val="false"/>
      <w:widowControl w:val="false"/>
      <w:numPr>
        <w:ilvl w:val="2"/>
        <w:numId w:val="10"/>
      </w:numPr>
      <w:tabs>
        <w:tab w:val="left" w:pos="0" w:leader="none"/>
        <w:tab w:val="left" w:pos="1620" w:leader="none"/>
      </w:tabs>
      <w:overflowPunct w:val="true"/>
      <w:jc w:val="both"/>
      <w:textAlignment w:val="baseline"/>
    </w:pPr>
    <w:rPr>
      <w:bCs/>
      <w:sz w:val="24"/>
      <w:szCs w:val="24"/>
      <w:lang w:val="x-none" w:eastAsia="x-none"/>
    </w:rPr>
  </w:style>
  <w:style w:type="paragraph" w:styleId="Style21">
    <w:name w:val="Содержимое врезки"/>
    <w:basedOn w:val="Normal"/>
    <w:qFormat/>
    <w:pPr/>
    <w:rPr/>
  </w:style>
  <w:style w:type="paragraph" w:styleId="Style22">
    <w:name w:val="Таблица текст"/>
    <w:basedOn w:val="Normal"/>
    <w:qFormat/>
    <w:pPr>
      <w:spacing w:before="40" w:after="40"/>
      <w:ind w:hanging="0" w:left="57" w:right="57"/>
    </w:pPr>
    <w:rPr>
      <w:sz w:val="24"/>
      <w:szCs w:val="24"/>
    </w:rPr>
  </w:style>
  <w:style w:type="paragraph" w:styleId="Style23">
    <w:name w:val="Знак Знак Знак Знак"/>
    <w:basedOn w:val="Normal"/>
    <w:qFormat/>
    <w:pPr>
      <w:spacing w:lineRule="exact" w:line="240" w:before="0" w:after="160"/>
    </w:pPr>
    <w:rPr>
      <w:rFonts w:ascii="Verdana" w:hAnsi="Verdana" w:cs="Verdana"/>
      <w:lang w:val="en-US" w:eastAsia="en-U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onsultant.ru/document/cons_doc_LAW_371981/" TargetMode="External"/><Relationship Id="rId3" Type="http://schemas.openxmlformats.org/officeDocument/2006/relationships/hyperlink" Target="https://www.consultant.ru/document/cons_doc_LAW_371981/" TargetMode="External"/><Relationship Id="rId4" Type="http://schemas.openxmlformats.org/officeDocument/2006/relationships/hyperlink" Target="https://www.consultant.ru/document/cons_doc_LAW_371981/" TargetMode="External"/><Relationship Id="rId5" Type="http://schemas.openxmlformats.org/officeDocument/2006/relationships/hyperlink" Target="consultantplus://offline/ref=94D5CE8889791A29DE57299515463A9D6134D8237B999C803E6F853513x2A2P" TargetMode="External"/><Relationship Id="rId6" Type="http://schemas.openxmlformats.org/officeDocument/2006/relationships/hyperlink" Target="consultantplus://offline/ref=94D5CE8889791A29DE57299515463A9D6135D2287D929C803E6F853513x2A2P" TargetMode="External"/><Relationship Id="rId7" Type="http://schemas.openxmlformats.org/officeDocument/2006/relationships/hyperlink" Target="consultantplus://offline/ref=79440D5123ABA6A25F43346AB59DBAAC7032C8E1556DA64FAED62E167F76889C2B7C475C32EFC59BJ8rDH" TargetMode="External"/><Relationship Id="rId8" Type="http://schemas.openxmlformats.org/officeDocument/2006/relationships/hyperlink" Target="mailto:sayany@rushydro.ru"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header" Target="header2.xml"/><Relationship Id="rId14" Type="http://schemas.openxmlformats.org/officeDocument/2006/relationships/header" Target="header3.xml"/><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footnotes" Target="footnotes.xml"/><Relationship Id="rId19" Type="http://schemas.openxmlformats.org/officeDocument/2006/relationships/numbering" Target="numbering.xml"/><Relationship Id="rId20" Type="http://schemas.openxmlformats.org/officeDocument/2006/relationships/fontTable" Target="fontTable.xml"/><Relationship Id="rId21" Type="http://schemas.openxmlformats.org/officeDocument/2006/relationships/settings" Target="settings.xml"/><Relationship Id="rId22" Type="http://schemas.openxmlformats.org/officeDocument/2006/relationships/theme" Target="theme/theme1.xml"/><Relationship Id="rId23"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8254ED-FA12-4A2F-B577-9B1701F56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Application>AlterOffice/2026.2.0.0$Linux_X86_64 LibreOffice_project/bc4ef1adf80b36c7a6365f8ed6cbf29021361edd</Application>
  <AppVersion>15.0000</AppVersion>
  <Pages>20</Pages>
  <Words>6895</Words>
  <Characters>49030</Characters>
  <CharactersWithSpaces>55462</CharactersWithSpaces>
  <Paragraphs>357</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Света &amp; Алла (Twix)</dc:creator>
  <dc:description/>
  <dc:language>ru-RU</dc:language>
  <cp:lastModifiedBy/>
  <dcterms:modified xsi:type="dcterms:W3CDTF">2026-10-21T10:50:18Z</dcterms:modified>
  <cp:revision>72</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