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4.xml.rels" ContentType="application/vnd.openxmlformats-package.relationships+xml"/>
  <Override PartName="/customXml/_rels/item3.xml.rels" ContentType="application/vnd.openxmlformats-package.relationships+xml"/>
  <Override PartName="/customXml/_rels/item2.xml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  <Override PartName="/customXml/item4.xml" ContentType="application/xml"/>
  <Override PartName="/customXml/itemProps4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rStyle w:val="Style8"/>
          <w:sz w:val="26"/>
          <w:szCs w:val="26"/>
        </w:rPr>
      </w:pPr>
      <w:r>
        <w:rPr>
          <w:b/>
        </w:rPr>
        <w:t>ОКПД 2: 28.22.13.120 Поставка электрогидравлического четырёхстоечного подъемника для нужд Камчатского филиала АО «ТК РусГидро»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Лот № </w:t>
      </w:r>
      <w:r>
        <w:rPr>
          <w:rFonts w:eastAsia="Calibri"/>
          <w:b/>
          <w:i w:val="false"/>
          <w:iCs w:val="false"/>
          <w:sz w:val="26"/>
          <w:szCs w:val="26"/>
        </w:rPr>
        <w:t>2102-ТПИР ОНМ-2027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</w:rPr>
            <w:instrText xml:space="preserve"> TOC \z \o "1-4" \u \h</w:instrText>
          </w:r>
          <w:r>
            <w:rPr>
              <w:webHidden/>
              <w:rStyle w:val="Style14"/>
            </w:rPr>
            <w:fldChar w:fldCharType="separate"/>
          </w:r>
          <w:hyperlink w:anchor="_Toc150854474">
            <w:r>
              <w:rPr>
                <w:webHidden/>
                <w:rStyle w:val="Style14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0854475">
            <w:r>
              <w:rPr>
                <w:webHidden/>
                <w:rStyle w:val="Style14"/>
                <w:iCs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0854476">
            <w:r>
              <w:rPr>
                <w:webHidden/>
                <w:rStyle w:val="Style14"/>
                <w:iCs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_Toc150854476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0854477">
            <w:r>
              <w:rPr>
                <w:webHidden/>
                <w:rStyle w:val="Style14"/>
                <w:iCs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_Toc150854477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0854478">
            <w:r>
              <w:rPr>
                <w:webHidden/>
                <w:rStyle w:val="Style14"/>
                <w:iCs/>
              </w:rPr>
              <w:t>1.4.</w:t>
            </w:r>
            <w:r>
              <w:rPr>
                <w:rStyle w:val="Style14"/>
              </w:rPr>
              <w:t xml:space="preserve">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_Toc150854478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0854483">
            <w:r>
              <w:rPr>
                <w:webHidden/>
                <w:rStyle w:val="Style14"/>
                <w:iCs/>
              </w:rPr>
              <w:t>1.5.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Иные требования и сведения общего характера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_Toc150854483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0854484">
            <w:r>
              <w:rPr>
                <w:webHidden/>
                <w:rStyle w:val="Style14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_Toc150854484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0854485">
            <w:r>
              <w:rPr>
                <w:webHidden/>
                <w:rStyle w:val="Style14"/>
                <w:iCs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_Toc150854485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0854486">
            <w:r>
              <w:rPr>
                <w:webHidden/>
                <w:rStyle w:val="Style14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_Toc150854486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0854487">
            <w:r>
              <w:rPr>
                <w:webHidden/>
                <w:rStyle w:val="Style14"/>
              </w:rPr>
              <w:t>Таблица 1.1 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_Toc150854487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0854488">
            <w:r>
              <w:rPr>
                <w:webHidden/>
                <w:rStyle w:val="Style14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_Toc150854488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0854489">
            <w:r>
              <w:rPr>
                <w:webHidden/>
                <w:rStyle w:val="Style14"/>
              </w:rPr>
              <w:t>Таблица 2.1 Требования по срокам поставки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_Toc150854489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0854490">
            <w:r>
              <w:rPr>
                <w:webHidden/>
                <w:rStyle w:val="Style14"/>
                <w:iCs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_Toc150854490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0854491">
            <w:r>
              <w:rPr>
                <w:webHidden/>
                <w:rStyle w:val="Style14"/>
              </w:rPr>
              <w:t>Таблица 3. 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_Toc150854491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0854492">
            <w:r>
              <w:rPr>
                <w:webHidden/>
                <w:rStyle w:val="Style14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vanish w:val="false"/>
            </w:rPr>
            <w:fldChar w:fldCharType="end"/>
          </w:r>
        </w:p>
      </w:sdtContent>
    </w:sdt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bookmarkStart w:id="0" w:name="_GoBack"/>
      <w:bookmarkStart w:id="1" w:name="_GoBack"/>
      <w:bookmarkEnd w:id="1"/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2" w:name="_Toc51339692"/>
      <w:bookmarkStart w:id="3" w:name="_Toc75446566"/>
      <w:r>
        <w:rPr>
          <w:lang w:val="ru-RU"/>
        </w:rPr>
        <w:t>Общие сведения</w:t>
      </w:r>
      <w:bookmarkEnd w:id="2"/>
      <w:bookmarkEnd w:id="3"/>
    </w:p>
    <w:p>
      <w:pPr>
        <w:pStyle w:val="Heading4"/>
        <w:numPr>
          <w:ilvl w:val="1"/>
          <w:numId w:val="3"/>
        </w:numPr>
        <w:rPr/>
      </w:pPr>
      <w:bookmarkStart w:id="4" w:name="_Toc75446567"/>
      <w:bookmarkStart w:id="5" w:name="_Toc46743505"/>
      <w:r>
        <w:rPr/>
        <w:t>Обозначения и сокращения</w:t>
      </w:r>
      <w:bookmarkEnd w:id="4"/>
      <w:bookmarkEnd w:id="5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/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/>
              <w:t>Универсальный передаточный документ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bookmarkStart w:id="6" w:name="_Toc46743506"/>
      <w:bookmarkStart w:id="7" w:name="_Toc46743506"/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8" w:name="_Toc46743506"/>
      <w:bookmarkStart w:id="9" w:name="_Toc75446568"/>
      <w:r>
        <w:rPr/>
        <w:t>Наименование закупаемой продукции</w:t>
      </w:r>
      <w:bookmarkEnd w:id="8"/>
      <w:bookmarkEnd w:id="9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rStyle w:val="Style8"/>
          <w:b w:val="false"/>
          <w:bCs/>
          <w:sz w:val="24"/>
          <w:szCs w:val="24"/>
        </w:rPr>
      </w:pPr>
      <w:r>
        <w:rPr>
          <w:sz w:val="24"/>
          <w:szCs w:val="24"/>
        </w:rPr>
        <w:t>ОКПД 2: 28.22.13.120 Поставка электрогидравлического четырёхстоечного подъемника для нужд Камчатского филиала АО «ТК РусГидро».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/>
      </w:pPr>
      <w:bookmarkStart w:id="10" w:name="_Toc75446569"/>
      <w:bookmarkStart w:id="11" w:name="_Toc46743507"/>
      <w:r>
        <w:rPr/>
        <w:t xml:space="preserve">Цель </w:t>
      </w:r>
      <w:bookmarkEnd w:id="11"/>
      <w:r>
        <w:rPr>
          <w:lang w:val="ru-RU"/>
        </w:rPr>
        <w:t>использования закупаемой продукции</w:t>
      </w:r>
      <w:bookmarkEnd w:id="10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rStyle w:val="Style8"/>
          <w:b w:val="false"/>
          <w:bCs/>
          <w:sz w:val="24"/>
          <w:szCs w:val="24"/>
        </w:rPr>
      </w:pPr>
      <w:r>
        <w:rPr>
          <w:sz w:val="24"/>
          <w:szCs w:val="24"/>
        </w:rPr>
        <w:t>Обеспечение производственного помещения транспортного участка «Елизовский» электрогидравлическим подъемником в целях обеспечения условий проведения ремонта транспортных средств Камчатского филиала АО «ТК РусГидро».</w:t>
      </w:r>
    </w:p>
    <w:p>
      <w:pPr>
        <w:pStyle w:val="Heading4"/>
        <w:numPr>
          <w:ilvl w:val="1"/>
          <w:numId w:val="3"/>
        </w:numPr>
        <w:rPr/>
      </w:pPr>
      <w:bookmarkStart w:id="12" w:name="_Toc75446571"/>
      <w:bookmarkStart w:id="13" w:name="_Hlk49857604"/>
      <w:bookmarkStart w:id="14" w:name="_Toc46743509"/>
      <w:r>
        <w:rPr/>
        <w:t xml:space="preserve">Информация в отношении исполнения договора, </w:t>
      </w:r>
      <w:bookmarkStart w:id="15" w:name="_Hlk46492347"/>
      <w:r>
        <w:rPr/>
        <w:t xml:space="preserve">которая должна быть учтена при подготовке заявки </w:t>
      </w:r>
      <w:bookmarkEnd w:id="15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договора)</w:t>
      </w:r>
      <w:bookmarkEnd w:id="12"/>
      <w:bookmarkEnd w:id="13"/>
      <w:bookmarkEnd w:id="14"/>
    </w:p>
    <w:p>
      <w:pPr>
        <w:pStyle w:val="Heading3"/>
        <w:numPr>
          <w:ilvl w:val="2"/>
          <w:numId w:val="3"/>
        </w:numPr>
        <w:ind w:firstLine="709" w:left="0"/>
        <w:jc w:val="both"/>
        <w:rPr>
          <w:rFonts w:eastAsia="Times New Roman"/>
          <w:b w:val="false"/>
          <w:lang w:val="ru-RU" w:eastAsia="ru-RU"/>
        </w:rPr>
      </w:pPr>
      <w:bookmarkStart w:id="16" w:name="_Hlk48209761"/>
      <w:bookmarkStart w:id="17" w:name="_Toc150854479"/>
      <w:bookmarkEnd w:id="16"/>
      <w:r>
        <w:rPr>
          <w:rFonts w:eastAsia="Times New Roman"/>
          <w:b w:val="false"/>
          <w:lang w:val="ru-RU" w:eastAsia="ru-RU"/>
        </w:rPr>
        <w:t>Продукция должна быть новой, не ранее 2025 года выпуска, оригинальной (от производителя) или эквивалент продукции, ранее не находившаяся в использовании у Поставщика и (или) третьих лиц, не допускается поставка выставочных образцов.</w:t>
      </w:r>
      <w:bookmarkEnd w:id="17"/>
    </w:p>
    <w:p>
      <w:pPr>
        <w:pStyle w:val="Heading3"/>
        <w:numPr>
          <w:ilvl w:val="2"/>
          <w:numId w:val="3"/>
        </w:numPr>
        <w:ind w:firstLine="709" w:left="0"/>
        <w:jc w:val="both"/>
        <w:rPr>
          <w:rFonts w:eastAsia="Times New Roman"/>
          <w:b w:val="false"/>
          <w:lang w:val="ru-RU" w:eastAsia="ru-RU"/>
        </w:rPr>
      </w:pPr>
      <w:bookmarkStart w:id="18" w:name="_Toc133497145"/>
      <w:bookmarkStart w:id="19" w:name="_Toc150854480"/>
      <w:r>
        <w:rPr>
          <w:rFonts w:eastAsia="Times New Roman"/>
          <w:b w:val="false"/>
          <w:lang w:val="ru-RU" w:eastAsia="ru-RU"/>
        </w:rPr>
        <w:t>На продукцию устанавливается гарантийный срок не менее 12 месяцев со дня продажи.</w:t>
      </w:r>
      <w:bookmarkEnd w:id="18"/>
      <w:bookmarkEnd w:id="19"/>
    </w:p>
    <w:p>
      <w:pPr>
        <w:pStyle w:val="Heading3"/>
        <w:numPr>
          <w:ilvl w:val="2"/>
          <w:numId w:val="3"/>
        </w:numPr>
        <w:ind w:firstLine="709" w:left="0"/>
        <w:jc w:val="both"/>
        <w:rPr>
          <w:rFonts w:eastAsia="Times New Roman"/>
          <w:b w:val="false"/>
          <w:lang w:val="ru-RU" w:eastAsia="ru-RU"/>
        </w:rPr>
      </w:pPr>
      <w:bookmarkStart w:id="20" w:name="_Toc150854481"/>
      <w:bookmarkStart w:id="21" w:name="_Toc133497146"/>
      <w:r>
        <w:rPr>
          <w:rFonts w:eastAsia="Times New Roman"/>
          <w:b w:val="false"/>
          <w:lang w:val="ru-RU" w:eastAsia="ru-RU"/>
        </w:rPr>
        <w:t>Поставщик вправе предложить эквивалент к заявленной в настоящем Техническом требовании продукции по позиционно, с указанием марки, модели и технических показателей предлагаемого эквивалента.</w:t>
      </w:r>
      <w:bookmarkEnd w:id="20"/>
      <w:bookmarkEnd w:id="21"/>
      <w:r>
        <w:rPr>
          <w:rFonts w:eastAsia="Times New Roman"/>
          <w:b w:val="false"/>
          <w:lang w:val="ru-RU" w:eastAsia="ru-RU"/>
        </w:rPr>
        <w:t xml:space="preserve"> </w:t>
      </w:r>
    </w:p>
    <w:p>
      <w:pPr>
        <w:pStyle w:val="Heading3"/>
        <w:numPr>
          <w:ilvl w:val="2"/>
          <w:numId w:val="3"/>
        </w:numPr>
        <w:ind w:firstLine="709" w:left="0"/>
        <w:jc w:val="both"/>
        <w:rPr>
          <w:rFonts w:eastAsia="Times New Roman"/>
          <w:b w:val="false"/>
          <w:lang w:val="ru-RU" w:eastAsia="ru-RU"/>
        </w:rPr>
      </w:pPr>
      <w:bookmarkStart w:id="22" w:name="_Toc150854482"/>
      <w:bookmarkStart w:id="23" w:name="_Toc133497147"/>
      <w:r>
        <w:rPr>
          <w:rFonts w:eastAsia="Times New Roman"/>
          <w:b w:val="false"/>
          <w:lang w:val="ru-RU" w:eastAsia="ru-RU"/>
        </w:rPr>
        <w:t>Технические характеристики предлагаемых эквивалентов не должны быть ниже, чем у  указанных Покупателем в настоящих Технических требованиях.</w:t>
      </w:r>
      <w:bookmarkEnd w:id="22"/>
      <w:bookmarkEnd w:id="23"/>
    </w:p>
    <w:p>
      <w:pPr>
        <w:pStyle w:val="Heading3"/>
        <w:numPr>
          <w:ilvl w:val="2"/>
          <w:numId w:val="3"/>
        </w:numPr>
        <w:ind w:firstLine="709" w:left="0"/>
        <w:jc w:val="both"/>
        <w:rPr>
          <w:rFonts w:eastAsia="Times New Roman"/>
          <w:b w:val="false"/>
          <w:lang w:val="ru-RU" w:eastAsia="ru-RU"/>
        </w:rPr>
      </w:pPr>
      <w:r>
        <w:rPr>
          <w:rFonts w:eastAsia="Times New Roman"/>
          <w:b w:val="false"/>
          <w:lang w:val="ru-RU" w:eastAsia="ru-RU"/>
        </w:rPr>
        <w:t>Комплектность поставки должна обеспечить возможность использования продукции по прямому назначению.</w:t>
      </w:r>
    </w:p>
    <w:p>
      <w:pPr>
        <w:pStyle w:val="Heading3"/>
        <w:numPr>
          <w:ilvl w:val="2"/>
          <w:numId w:val="3"/>
        </w:numPr>
        <w:ind w:firstLine="709" w:left="0"/>
        <w:jc w:val="both"/>
        <w:rPr>
          <w:rFonts w:eastAsia="Times New Roman"/>
          <w:b w:val="false"/>
          <w:lang w:val="ru-RU" w:eastAsia="ru-RU"/>
        </w:rPr>
      </w:pPr>
      <w:r>
        <w:rPr>
          <w:rFonts w:eastAsia="Times New Roman"/>
          <w:b w:val="false"/>
          <w:lang w:val="ru-RU" w:eastAsia="ru-RU"/>
        </w:rPr>
        <w:t>Качество и безопасность поставляемой продукции должно соответствовать действующим стандартам и условиям, утвержденными на данный вид продукции, оформленным в соответствии с законодательством Российской Федерации.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jc w:val="both"/>
        <w:rPr>
          <w:rStyle w:val="Style8"/>
          <w:b w:val="false"/>
          <w:iCs/>
          <w:lang w:val="x-none"/>
        </w:rPr>
      </w:pPr>
      <w:r>
        <w:rPr>
          <w:b w:val="false"/>
          <w:iCs/>
          <w:lang w:val="x-none"/>
        </w:rPr>
      </w:r>
    </w:p>
    <w:p>
      <w:pPr>
        <w:pStyle w:val="Heading4"/>
        <w:numPr>
          <w:ilvl w:val="1"/>
          <w:numId w:val="3"/>
        </w:numPr>
        <w:rPr/>
      </w:pPr>
      <w:bookmarkStart w:id="24" w:name="_Hlk48209761"/>
      <w:bookmarkStart w:id="25" w:name="_Toc46743510"/>
      <w:bookmarkStart w:id="26" w:name="_Toc50125126"/>
      <w:bookmarkStart w:id="27" w:name="_Toc75446572"/>
      <w:bookmarkEnd w:id="24"/>
      <w:bookmarkEnd w:id="25"/>
      <w:bookmarkEnd w:id="26"/>
      <w:r>
        <w:rPr/>
        <w:t>Иные требования и сведения общего характера</w:t>
      </w:r>
      <w:bookmarkEnd w:id="27"/>
    </w:p>
    <w:p>
      <w:pPr>
        <w:pStyle w:val="Heading3"/>
        <w:numPr>
          <w:ilvl w:val="2"/>
          <w:numId w:val="3"/>
        </w:numPr>
        <w:ind w:firstLine="709" w:left="0"/>
        <w:jc w:val="both"/>
        <w:rPr>
          <w:rFonts w:eastAsia="Times New Roman"/>
          <w:b w:val="false"/>
          <w:lang w:val="ru-RU" w:eastAsia="ru-RU"/>
        </w:rPr>
      </w:pPr>
      <w:r>
        <w:rPr>
          <w:rFonts w:eastAsia="Times New Roman"/>
          <w:b w:val="false"/>
          <w:lang w:val="ru-RU" w:eastAsia="ru-RU"/>
        </w:rPr>
        <w:t>Перед поставкой, Поставщик предоставляет копии документов, подтверждающие качество поставляемой продукции (сертификаты соответствия/акт проверки пригодности к эксплуатации).</w:t>
      </w:r>
    </w:p>
    <w:p>
      <w:pPr>
        <w:pStyle w:val="Heading3"/>
        <w:numPr>
          <w:ilvl w:val="2"/>
          <w:numId w:val="3"/>
        </w:numPr>
        <w:ind w:firstLine="709" w:left="0"/>
        <w:jc w:val="both"/>
        <w:rPr>
          <w:rFonts w:eastAsia="Times New Roman"/>
          <w:b w:val="false"/>
          <w:lang w:val="ru-RU" w:eastAsia="ru-RU"/>
        </w:rPr>
      </w:pPr>
      <w:r>
        <w:rPr>
          <w:rFonts w:eastAsia="Times New Roman"/>
          <w:b w:val="false"/>
          <w:lang w:val="ru-RU" w:eastAsia="ru-RU"/>
        </w:rPr>
        <w:t>Приемка продукции осуществляется на основании отгрузочных документов Поставщика. Покупатель обязан принять продукцию путем её проверки на соответствие сопроводительным документам, в момент передачи продукции. При обнаружении несоответствия продукции сопроводительным документам, а также в случае несоблюдения Поставщиком условия о количестве/качестве продукции, сторонами составляется Акт рекламации.</w:t>
      </w:r>
    </w:p>
    <w:p>
      <w:pPr>
        <w:pStyle w:val="Heading3"/>
        <w:numPr>
          <w:ilvl w:val="2"/>
          <w:numId w:val="3"/>
        </w:numPr>
        <w:ind w:firstLine="709" w:left="0"/>
        <w:jc w:val="both"/>
        <w:rPr>
          <w:rFonts w:eastAsia="Times New Roman"/>
          <w:b w:val="false"/>
          <w:lang w:val="ru-RU" w:eastAsia="ru-RU"/>
        </w:rPr>
      </w:pPr>
      <w:r>
        <w:rPr>
          <w:rFonts w:eastAsia="Times New Roman"/>
          <w:b w:val="false"/>
          <w:lang w:val="ru-RU" w:eastAsia="ru-RU"/>
        </w:rPr>
        <w:t>В случае получения продукции в дефектной упаковке Покупатель имеет право не принимать такую продукцию.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240"/>
        <w:ind w:firstLine="709"/>
        <w:jc w:val="both"/>
        <w:rPr>
          <w:i/>
          <w:i/>
        </w:rPr>
      </w:pPr>
      <w:r>
        <w:rPr>
          <w:sz w:val="24"/>
          <w:szCs w:val="24"/>
        </w:rPr>
        <w:t>В случае получения продукции с недостатками, которые выявлены в процессе установки на транспортное средство (скрытые недостатки) Покупатель имеет право направить Продавцу претензию и требовать возврат денежных средств за некачественную продукцию.</w:t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28" w:name="_Toc75446573"/>
      <w:bookmarkStart w:id="29" w:name="_Toc51339693"/>
      <w:r>
        <w:rPr>
          <w:iCs/>
        </w:rPr>
        <w:t>Требования к продукции</w:t>
      </w:r>
      <w:bookmarkEnd w:id="28"/>
      <w:bookmarkEnd w:id="29"/>
    </w:p>
    <w:p>
      <w:pPr>
        <w:pStyle w:val="Heading4"/>
        <w:numPr>
          <w:ilvl w:val="1"/>
          <w:numId w:val="3"/>
        </w:numPr>
        <w:rPr/>
      </w:pPr>
      <w:bookmarkStart w:id="30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30"/>
    </w:p>
    <w:p>
      <w:pPr>
        <w:pStyle w:val="Heading3"/>
        <w:numPr>
          <w:ilvl w:val="2"/>
          <w:numId w:val="3"/>
        </w:numPr>
        <w:rPr/>
      </w:pPr>
      <w:bookmarkStart w:id="31" w:name="_Toc75446575"/>
      <w:r>
        <w:rPr>
          <w:lang w:val="ru-RU"/>
        </w:rPr>
        <w:t>Перечень и объем закупаемой продукции</w:t>
      </w:r>
      <w:bookmarkEnd w:id="31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32" w:name="_Toc75446576"/>
      <w:bookmarkStart w:id="33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33"/>
      <w:r>
        <w:rPr>
          <w:sz w:val="24"/>
          <w:szCs w:val="24"/>
          <w:lang w:val="ru-RU"/>
        </w:rPr>
        <w:t>и объем закупаемой продукции</w:t>
      </w:r>
      <w:bookmarkEnd w:id="32"/>
    </w:p>
    <w:tbl>
      <w:tblPr>
        <w:tblW w:w="98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8"/>
        <w:gridCol w:w="6127"/>
        <w:gridCol w:w="1418"/>
        <w:gridCol w:w="1418"/>
      </w:tblGrid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7"/>
              </w:numPr>
              <w:suppressAutoHyphens w:val="true"/>
              <w:rPr/>
            </w:pPr>
            <w:r>
              <w:rPr/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rPr>
                <w:i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2: 28.22.13.120 Поставка электрогидравлического четырёхстоечного подъемника для нужд Камчатского филиала АО «ТК РусГидро»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Heading3"/>
        <w:numPr>
          <w:ilvl w:val="2"/>
          <w:numId w:val="3"/>
        </w:numPr>
        <w:rPr>
          <w:lang w:val="ru-RU"/>
        </w:rPr>
      </w:pPr>
      <w:bookmarkStart w:id="34" w:name="_Toc75446578"/>
      <w:bookmarkStart w:id="35" w:name="_Toc51339696"/>
      <w:r>
        <w:rPr>
          <w:lang w:val="ru-RU"/>
        </w:rPr>
        <w:t xml:space="preserve">Требования </w:t>
      </w:r>
      <w:bookmarkEnd w:id="35"/>
      <w:r>
        <w:rPr>
          <w:lang w:val="ru-RU"/>
        </w:rPr>
        <w:t>к срокам поставки продукции и оказания сопутствующих услуг</w:t>
      </w:r>
      <w:bookmarkEnd w:id="34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36" w:name="_Toc50125126"/>
      <w:bookmarkStart w:id="37" w:name="_Toc75446579"/>
      <w:bookmarkStart w:id="38" w:name="_Toc51339697"/>
      <w:bookmarkStart w:id="39" w:name="_Toc50125127"/>
      <w:bookmarkEnd w:id="36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40" w:name="_Hlk50465284"/>
      <w:r>
        <w:rPr>
          <w:sz w:val="24"/>
          <w:szCs w:val="24"/>
        </w:rPr>
        <w:t xml:space="preserve">Требования по срокам </w:t>
      </w:r>
      <w:bookmarkEnd w:id="38"/>
      <w:bookmarkEnd w:id="39"/>
      <w:bookmarkEnd w:id="40"/>
      <w:r>
        <w:rPr>
          <w:sz w:val="24"/>
          <w:szCs w:val="24"/>
          <w:lang w:val="ru-RU"/>
        </w:rPr>
        <w:t>поставки продукции</w:t>
      </w:r>
      <w:bookmarkEnd w:id="37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8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2: 28.22.13.120 Поставка электрогидравлического четырёхстоечного подъемника для нужд Камчатского филиала АО «ТК РусГидро»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60 календарных дней с даты заключения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r>
        <w:rPr>
          <w:sz w:val="24"/>
          <w:szCs w:val="24"/>
        </w:rPr>
      </w:r>
      <w:bookmarkStart w:id="41" w:name="_Toc46743510"/>
      <w:bookmarkStart w:id="42" w:name="_Toc46743510"/>
      <w:bookmarkEnd w:id="42"/>
    </w:p>
    <w:p>
      <w:pPr>
        <w:pStyle w:val="Heading4"/>
        <w:numPr>
          <w:ilvl w:val="1"/>
          <w:numId w:val="3"/>
        </w:numPr>
        <w:rPr/>
      </w:pPr>
      <w:bookmarkStart w:id="43" w:name="_Toc51339698"/>
      <w:bookmarkStart w:id="44" w:name="_Toc75446581"/>
      <w:bookmarkStart w:id="45" w:name="_Toc46743511"/>
      <w:r>
        <w:rPr/>
        <w:t xml:space="preserve">Требования к </w:t>
      </w:r>
      <w:bookmarkEnd w:id="45"/>
      <w:r>
        <w:rPr>
          <w:lang w:val="ru-RU"/>
        </w:rPr>
        <w:t>качеству продукции</w:t>
      </w:r>
      <w:bookmarkEnd w:id="44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46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продукции</w:t>
      </w:r>
      <w:bookmarkEnd w:id="46"/>
      <w:r>
        <w:rPr>
          <w:sz w:val="24"/>
          <w:szCs w:val="24"/>
        </w:rPr>
        <w:t xml:space="preserve"> </w:t>
      </w:r>
      <w:bookmarkEnd w:id="43"/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Наименование продукции (позиция №1 Таблицы 1.1): </w:t>
      </w:r>
      <w:r>
        <w:rPr>
          <w:sz w:val="24"/>
          <w:szCs w:val="24"/>
        </w:rPr>
        <w:t>ОКПД 2: 28.22.13.120 Поставка электрогидравлического четырёхстоечного подъемника для нужд Камчатского филиала АО «ТК РусГидро»</w:t>
      </w:r>
    </w:p>
    <w:tbl>
      <w:tblPr>
        <w:tblStyle w:val="af"/>
        <w:tblW w:w="15592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3"/>
        <w:gridCol w:w="1770"/>
        <w:gridCol w:w="499"/>
        <w:gridCol w:w="2530"/>
        <w:gridCol w:w="2991"/>
        <w:gridCol w:w="3260"/>
        <w:gridCol w:w="3408"/>
      </w:tblGrid>
      <w:tr>
        <w:trPr/>
        <w:tc>
          <w:tcPr>
            <w:tcW w:w="1133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69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530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6251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408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1133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269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530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408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69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53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991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326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408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9" w:type="dxa"/>
            <w:gridSpan w:val="3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Грузоподъёмность, тн</w:t>
            </w:r>
          </w:p>
        </w:tc>
        <w:tc>
          <w:tcPr>
            <w:tcW w:w="253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5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Высота подъёма, см</w:t>
            </w:r>
          </w:p>
        </w:tc>
        <w:tc>
          <w:tcPr>
            <w:tcW w:w="253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175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Объём бака гидронасоса, л.</w:t>
            </w:r>
          </w:p>
        </w:tc>
        <w:tc>
          <w:tcPr>
            <w:tcW w:w="253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10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Напряжение питания, вольт</w:t>
            </w:r>
          </w:p>
        </w:tc>
        <w:tc>
          <w:tcPr>
            <w:tcW w:w="253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380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Расстояние между колоннами, см</w:t>
            </w:r>
          </w:p>
        </w:tc>
        <w:tc>
          <w:tcPr>
            <w:tcW w:w="253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300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Тип управления стопорным механизмом</w:t>
            </w:r>
          </w:p>
        </w:tc>
        <w:tc>
          <w:tcPr>
            <w:tcW w:w="253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Механический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Расстояние между платформами, см</w:t>
            </w:r>
          </w:p>
        </w:tc>
        <w:tc>
          <w:tcPr>
            <w:tcW w:w="253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Регулируемое от 80 до минимум 100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Ширина платформ, см</w:t>
            </w:r>
          </w:p>
        </w:tc>
        <w:tc>
          <w:tcPr>
            <w:tcW w:w="253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45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Длина платформ, см</w:t>
            </w:r>
          </w:p>
        </w:tc>
        <w:tc>
          <w:tcPr>
            <w:tcW w:w="253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500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Дополнительное оснащение</w:t>
            </w:r>
          </w:p>
        </w:tc>
        <w:tc>
          <w:tcPr>
            <w:tcW w:w="253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Траверса с ручным приводом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Характеристики траверсы:</w:t>
            </w:r>
          </w:p>
        </w:tc>
        <w:tc>
          <w:tcPr>
            <w:tcW w:w="253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ind w:left="37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1.12.1.</w:t>
            </w:r>
          </w:p>
        </w:tc>
        <w:tc>
          <w:tcPr>
            <w:tcW w:w="2269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Грузоподъёмность, тн</w:t>
            </w:r>
          </w:p>
        </w:tc>
        <w:tc>
          <w:tcPr>
            <w:tcW w:w="253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2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1.12.2.</w:t>
            </w:r>
          </w:p>
        </w:tc>
        <w:tc>
          <w:tcPr>
            <w:tcW w:w="2269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Высота подъёма, см</w:t>
            </w:r>
          </w:p>
        </w:tc>
        <w:tc>
          <w:tcPr>
            <w:tcW w:w="253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45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1.12.3.</w:t>
            </w:r>
          </w:p>
        </w:tc>
        <w:tc>
          <w:tcPr>
            <w:tcW w:w="2269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Длина платформы, см</w:t>
            </w:r>
          </w:p>
        </w:tc>
        <w:tc>
          <w:tcPr>
            <w:tcW w:w="253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Регулируемая от 75 до минимум 150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1.12.4.</w:t>
            </w:r>
          </w:p>
        </w:tc>
        <w:tc>
          <w:tcPr>
            <w:tcW w:w="2269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Ширина платформы, см</w:t>
            </w:r>
          </w:p>
        </w:tc>
        <w:tc>
          <w:tcPr>
            <w:tcW w:w="253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35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1.12.5.</w:t>
            </w:r>
          </w:p>
        </w:tc>
        <w:tc>
          <w:tcPr>
            <w:tcW w:w="2269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Привод насоса</w:t>
            </w:r>
          </w:p>
        </w:tc>
        <w:tc>
          <w:tcPr>
            <w:tcW w:w="253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Ручной</w:t>
            </w:r>
          </w:p>
        </w:tc>
        <w:tc>
          <w:tcPr>
            <w:tcW w:w="2991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8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9" w:type="dxa"/>
            <w:gridSpan w:val="3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77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Толщина металла колонн, мм</w:t>
            </w:r>
          </w:p>
        </w:tc>
        <w:tc>
          <w:tcPr>
            <w:tcW w:w="3029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5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9" w:type="dxa"/>
            <w:gridSpan w:val="3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доставке</w:t>
            </w:r>
          </w:p>
        </w:tc>
        <w:tc>
          <w:tcPr>
            <w:tcW w:w="253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Доставка продукции осуществляется до места поставки силами, средствами и за счет Поставщика. Место поставки: Россия, Камчатский край, город Елизово, ул. Мурманская, 19а.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pacing w:before="0" w:after="6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9" w:type="dxa"/>
            <w:gridSpan w:val="3"/>
            <w:tcBorders/>
            <w:vAlign w:val="center"/>
          </w:tcPr>
          <w:p>
            <w:pPr>
              <w:pStyle w:val="Normal"/>
              <w:widowControl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/>
              <w:spacing w:before="2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гарантиям</w:t>
            </w:r>
          </w:p>
        </w:tc>
        <w:tc>
          <w:tcPr>
            <w:tcW w:w="2530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продукцию устанавливается гарантийный срок не менее 12 месяцев со дня продажи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8" w:type="dxa"/>
            <w:tcBorders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pacing w:before="0" w:after="6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4799" w:type="dxa"/>
            <w:gridSpan w:val="3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33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ind w:firstLine="142" w:left="-117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2269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530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Вместе с продукцией поставщик обязан предоставить оригиналы следующих документов: Счёт, Счёт-фактура + Товарная накладная или УПД.</w:t>
            </w:r>
          </w:p>
        </w:tc>
        <w:tc>
          <w:tcPr>
            <w:tcW w:w="2991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260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40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pStyle w:val="Normal"/>
        <w:jc w:val="center"/>
        <w:rPr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</w:rPr>
      </w:pPr>
      <w:r>
        <w:rPr>
          <w:b w:val="false"/>
          <w:bCs/>
          <w:iCs/>
          <w:sz w:val="24"/>
          <w:szCs w:val="24"/>
        </w:rPr>
      </w:r>
      <w:bookmarkStart w:id="47" w:name="_Hlk140587872"/>
      <w:bookmarkStart w:id="48" w:name="_Hlk140587872"/>
      <w:bookmarkEnd w:id="48"/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tabs>
          <w:tab w:val="clear" w:pos="708"/>
          <w:tab w:val="left" w:pos="1267" w:leader="none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lang w:val="ru-RU"/>
        </w:rPr>
      </w:pPr>
      <w:bookmarkStart w:id="49" w:name="_Toc51339699"/>
      <w:bookmarkStart w:id="50" w:name="_Toc46743519"/>
      <w:bookmarkStart w:id="51" w:name="_Toc75446583"/>
      <w:bookmarkStart w:id="52" w:name="_Toc53393312"/>
      <w:bookmarkEnd w:id="49"/>
      <w:bookmarkEnd w:id="50"/>
      <w:r>
        <w:rPr>
          <w:lang w:val="ru-RU"/>
        </w:rPr>
        <w:t>Требования к документации по ценообразованию</w:t>
      </w:r>
      <w:bookmarkEnd w:id="52"/>
      <w:r>
        <w:rPr>
          <w:lang w:val="ru-RU"/>
        </w:rPr>
        <w:t xml:space="preserve"> на этапе закупки</w:t>
      </w:r>
      <w:bookmarkEnd w:id="51"/>
    </w:p>
    <w:p>
      <w:pPr>
        <w:pStyle w:val="Heading1"/>
        <w:numPr>
          <w:ilvl w:val="0"/>
          <w:numId w:val="0"/>
        </w:numPr>
        <w:ind w:hanging="0" w:left="709"/>
        <w:rPr>
          <w:rFonts w:eastAsia="Times New Roman"/>
          <w:b w:val="false"/>
          <w:sz w:val="24"/>
          <w:szCs w:val="24"/>
          <w:lang w:val="ru-RU" w:eastAsia="ru-RU"/>
        </w:rPr>
      </w:pPr>
      <w:r>
        <w:rPr>
          <w:rFonts w:eastAsia="Times New Roman"/>
          <w:b w:val="false"/>
          <w:sz w:val="24"/>
          <w:szCs w:val="24"/>
          <w:lang w:val="ru-RU" w:eastAsia="ru-RU"/>
        </w:rPr>
        <w:t>3.1.</w:t>
        <w:tab/>
        <w:t>В обоснование стоимости своей заявки Участник предоставляет Коммерческое предложение.</w:t>
      </w:r>
    </w:p>
    <w:p>
      <w:pPr>
        <w:pStyle w:val="Heading1"/>
        <w:numPr>
          <w:ilvl w:val="0"/>
          <w:numId w:val="0"/>
        </w:numPr>
        <w:ind w:hanging="0" w:left="709"/>
        <w:rPr>
          <w:rFonts w:eastAsia="Times New Roman"/>
          <w:b w:val="false"/>
          <w:sz w:val="24"/>
          <w:szCs w:val="24"/>
          <w:lang w:val="ru-RU" w:eastAsia="ru-RU"/>
        </w:rPr>
      </w:pPr>
      <w:r>
        <w:rPr>
          <w:rFonts w:eastAsia="Times New Roman"/>
          <w:b w:val="false"/>
          <w:sz w:val="24"/>
          <w:szCs w:val="24"/>
          <w:lang w:val="ru-RU" w:eastAsia="ru-RU"/>
        </w:rPr>
        <w:t>3.2.</w:t>
        <w:tab/>
        <w:t>Дополнительные документы по ценообразованию (сметная документация) в состав заявки Участника не включаются.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60" w:after="0"/>
        <w:jc w:val="both"/>
        <w:rPr>
          <w:rStyle w:val="Style8"/>
          <w:b w:val="false"/>
          <w:bCs/>
          <w:iCs/>
          <w:sz w:val="24"/>
          <w:szCs w:val="24"/>
          <w:lang w:val="x-none"/>
        </w:rPr>
      </w:pPr>
      <w:r>
        <w:rPr>
          <w:b w:val="false"/>
          <w:bCs/>
          <w:iCs/>
          <w:sz w:val="24"/>
          <w:szCs w:val="24"/>
          <w:lang w:val="x-none"/>
        </w:rPr>
      </w:r>
      <w:bookmarkStart w:id="53" w:name="_Toc51339699"/>
      <w:bookmarkStart w:id="54" w:name="_Toc46743519"/>
      <w:bookmarkStart w:id="55" w:name="_Toc51339699"/>
      <w:bookmarkStart w:id="56" w:name="_Toc46743519"/>
      <w:bookmarkEnd w:id="55"/>
      <w:bookmarkEnd w:id="56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i/>
          <w:i/>
          <w:iCs/>
          <w:sz w:val="24"/>
          <w:szCs w:val="24"/>
          <w:shd w:fill="FFFF99" w:val="clear"/>
        </w:rPr>
      </w:pPr>
      <w:r>
        <w:rPr>
          <w:i/>
          <w:iCs/>
          <w:sz w:val="24"/>
          <w:szCs w:val="24"/>
          <w:shd w:fill="FFFF99" w:val="clear"/>
        </w:rPr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PT Sans">
    <w:charset w:val="01"/>
    <w:family w:val="swiss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46daa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basedOn w:val="DefaultParagraphFont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3" w:customStyle="1">
    <w:name w:val="List 3"/>
    <w:basedOn w:val="Normal"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<Relationship Id="rId14" Type="http://schemas.openxmlformats.org/officeDocument/2006/relationships/customXml" Target="../customXml/item2.xml"/><Relationship Id="rId15" Type="http://schemas.openxmlformats.org/officeDocument/2006/relationships/customXml" Target="../customXml/item3.xml"/><Relationship Id="rId16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E6183A76AE1B9479D13E692560BA3A1" ma:contentTypeVersion="1" ma:contentTypeDescription="Создание документа." ma:contentTypeScope="" ma:versionID="fe9656d68f00400e483b82b86049f42a">
  <xsd:schema xmlns:xsd="http://www.w3.org/2001/XMLSchema" xmlns:xs="http://www.w3.org/2001/XMLSchema" xmlns:p="http://schemas.microsoft.com/office/2006/metadata/properties" xmlns:ns2="e20b8c0d-372d-4424-b649-01a7cb84bca0" targetNamespace="http://schemas.microsoft.com/office/2006/metadata/properties" ma:root="true" ma:fieldsID="6ef416ee02a1e34638b763bf9babf4c8" ns2:_="">
    <xsd:import namespace="e20b8c0d-372d-4424-b649-01a7cb84bca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0b8c0d-372d-4424-b649-01a7cb84bca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30907-B5C2-460F-9008-880C6B7AB7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DE5C302-3A04-4DDA-A661-E5E2C6D671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03CA7C-84AF-4DA4-A133-D2193755E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0b8c0d-372d-4424-b649-01a7cb84bc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0F6181-9FFB-4EF9-A406-AB9F3E8F8F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Application>AlterOffice/2026.2.0.0$Linux_X86_64 LibreOffice_project/bc4ef1adf80b36c7a6365f8ed6cbf29021361edd</Application>
  <AppVersion>15.0000</AppVersion>
  <Pages>9</Pages>
  <Words>978</Words>
  <Characters>6661</Characters>
  <CharactersWithSpaces>7429</CharactersWithSpaces>
  <Paragraphs>197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>oleinikovadv@corp.gidroogk.com</cp:lastModifiedBy>
  <cp:lastPrinted>2006-07-26T14:04:00Z</cp:lastPrinted>
  <dcterms:modified xsi:type="dcterms:W3CDTF">2026-10-21T16:45:19Z</dcterms:modified>
  <cp:revision>28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0x0101002E6183A76AE1B9479D13E692560BA3A1</vt:lpwstr>
  </property>
</Properties>
</file>