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"/>
        <w:tblW w:w="9921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672"/>
        <w:gridCol w:w="715"/>
        <w:gridCol w:w="4534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«ПОДГОТОВИЛ»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«УТВЕРЖДАЮ»</w:t>
            </w:r>
          </w:p>
        </w:tc>
      </w:tr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Технический куратор договора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Инициатор договора</w:t>
            </w:r>
          </w:p>
        </w:tc>
      </w:tr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Ведущий специалист отдела комплексного обслуживания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Начальник управления обслуживания объектов</w:t>
            </w:r>
          </w:p>
        </w:tc>
      </w:tr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______________/ Стрелец В.А.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______________/ Решетникова А.А.</w:t>
            </w:r>
          </w:p>
        </w:tc>
      </w:tr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«   »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октября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202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года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«    »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октября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202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года</w:t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Технические требования на оказание услуг</w:t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  <w:b/>
          <w:bCs/>
          <w:highlight w:val="yellow"/>
        </w:rPr>
      </w:pPr>
      <w:r>
        <w:rPr>
          <w:rFonts w:eastAsia="Calibri"/>
          <w:b/>
          <w:bCs/>
        </w:rPr>
        <w:t xml:space="preserve">«ОКПД2 49.39.13.000 </w:t>
      </w:r>
      <w:bookmarkStart w:id="0" w:name="_Hlk167781735"/>
      <w:r>
        <w:rPr>
          <w:rFonts w:eastAsia="Calibri"/>
          <w:b/>
          <w:bCs/>
        </w:rPr>
        <w:t xml:space="preserve">Оказание транспортных услуг по доставке сотрудников на объект </w:t>
      </w:r>
      <w:bookmarkEnd w:id="0"/>
      <w:r>
        <w:rPr>
          <w:rFonts w:eastAsia="Calibri"/>
          <w:b/>
          <w:bCs/>
        </w:rPr>
        <w:t>филиала ПАО «РусГидро»-«Жигулевская ГЭС»</w:t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Лот №</w:t>
      </w:r>
      <w:r>
        <w:br w:type="page"/>
      </w:r>
    </w:p>
    <w:p>
      <w:pPr>
        <w:pStyle w:val="Normal"/>
        <w:keepNext w:val="true"/>
        <w:keepLines/>
        <w:jc w:val="both"/>
        <w:rPr>
          <w:rFonts w:eastAsia="Calibri"/>
          <w:b/>
          <w:bCs/>
          <w:i/>
          <w:i/>
          <w:sz w:val="24"/>
          <w:szCs w:val="24"/>
        </w:rPr>
      </w:pPr>
      <w:r>
        <w:rPr>
          <w:rFonts w:eastAsia="Calibri"/>
          <w:b/>
          <w:bCs/>
          <w:i/>
          <w:sz w:val="24"/>
          <w:szCs w:val="24"/>
        </w:rPr>
      </w:r>
      <w:bookmarkStart w:id="1" w:name="_Toc54643694"/>
      <w:bookmarkStart w:id="2" w:name="_Toc54643694"/>
      <w:bookmarkEnd w:id="2"/>
    </w:p>
    <w:p>
      <w:pPr>
        <w:pStyle w:val="Normal"/>
        <w:keepNext w:val="true"/>
        <w:numPr>
          <w:ilvl w:val="0"/>
          <w:numId w:val="3"/>
        </w:numPr>
        <w:ind w:left="5038" w:hanging="360"/>
        <w:outlineLvl w:val="0"/>
        <w:rPr>
          <w:b/>
          <w:bCs/>
        </w:rPr>
      </w:pPr>
      <w:r>
        <w:rPr>
          <w:rFonts w:eastAsia="Calibri"/>
          <w:b/>
          <w:bCs/>
          <w:lang w:val="x-none" w:eastAsia="x-none"/>
        </w:rPr>
        <w:t>Общие сведения</w:t>
      </w:r>
    </w:p>
    <w:p>
      <w:pPr>
        <w:pStyle w:val="Normal"/>
        <w:keepNext w:val="true"/>
        <w:numPr>
          <w:ilvl w:val="1"/>
          <w:numId w:val="3"/>
        </w:numPr>
        <w:ind w:left="0" w:firstLine="709"/>
        <w:outlineLvl w:val="3"/>
        <w:rPr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  <w:t>Обозначения и 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964"/>
        <w:gridCol w:w="5818"/>
      </w:tblGrid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Технические требования (ТТ)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Настоящие Технические требования</w:t>
            </w:r>
          </w:p>
        </w:tc>
      </w:tr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Заказчик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АО «СК РусГидро»</w:t>
            </w:r>
          </w:p>
        </w:tc>
      </w:tr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Филиалы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филиал ПАО «РусГидро»-«Жигулевская ГЭС»</w:t>
            </w:r>
          </w:p>
        </w:tc>
      </w:tr>
      <w:tr>
        <w:trPr>
          <w:trHeight w:val="209" w:hRule="atLeast"/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Объекты (Объект воздействия)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 xml:space="preserve">Перевозка пассажиров (сотрудников) к месту работы в филиалы и обратно </w:t>
            </w:r>
          </w:p>
        </w:tc>
      </w:tr>
      <w:tr>
        <w:trPr>
          <w:cantSplit w:val="true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Исполнитель</w:t>
            </w:r>
          </w:p>
        </w:tc>
        <w:tc>
          <w:tcPr>
            <w:tcW w:w="5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rFonts w:eastAsia="Calibri"/>
                <w:sz w:val="22"/>
                <w:szCs w:val="22"/>
              </w:rPr>
              <w:t>Исполнителем по договору может быть юридическое / физическое лицо, в том числе индивидуальный предприниматель, или несколько юридических / физических лиц, в том числе несколько индивидуальных предпринимателей, выступающих на стороне одного участника закупки, независимо от их организационно-правовой формы, формы собственности, места нахождения и места происхождения капитала, за исключением юридического /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ListParagraph"/>
        <w:numPr>
          <w:ilvl w:val="1"/>
          <w:numId w:val="3"/>
        </w:numPr>
        <w:ind w:left="0" w:firstLine="426"/>
        <w:rPr/>
      </w:pPr>
      <w:bookmarkStart w:id="3" w:name="_Toc54643696"/>
      <w:bookmarkStart w:id="4" w:name="_Toc46743506"/>
      <w:bookmarkStart w:id="5" w:name="_Toc54643694_Копия_1"/>
      <w:bookmarkEnd w:id="5"/>
      <w:r>
        <w:rPr>
          <w:b/>
          <w:bCs/>
        </w:rPr>
        <w:t>Наименование</w:t>
      </w:r>
      <w:r>
        <w:rPr/>
        <w:t xml:space="preserve"> </w:t>
      </w:r>
      <w:r>
        <w:rPr>
          <w:b/>
          <w:bCs/>
        </w:rPr>
        <w:t>закупаемой продукции</w:t>
      </w:r>
      <w:bookmarkEnd w:id="3"/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6"/>
        <w:jc w:val="both"/>
        <w:rPr>
          <w:rFonts w:eastAsia="Calibri"/>
          <w:iCs/>
          <w:sz w:val="24"/>
          <w:szCs w:val="24"/>
          <w:lang w:eastAsia="x-none"/>
        </w:rPr>
      </w:pPr>
      <w:r>
        <w:rPr>
          <w:rFonts w:eastAsia="Calibri"/>
          <w:iCs/>
          <w:sz w:val="24"/>
          <w:szCs w:val="24"/>
          <w:lang w:eastAsia="x-none"/>
        </w:rPr>
        <w:t>ОКПД2 49.39.13.000 Оказание транспортных услуг по доставке сотрудников на объект филиала ПАО «РусГидро»-«Жигулевская ГЭС»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6"/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ListParagraph"/>
        <w:numPr>
          <w:ilvl w:val="1"/>
          <w:numId w:val="3"/>
        </w:numPr>
        <w:ind w:left="0" w:firstLine="426"/>
        <w:rPr>
          <w:b/>
          <w:bCs/>
        </w:rPr>
      </w:pPr>
      <w:bookmarkStart w:id="6" w:name="_Toc54643697"/>
      <w:bookmarkStart w:id="7" w:name="_Toc46743507"/>
      <w:r>
        <w:rPr>
          <w:b/>
          <w:bCs/>
        </w:rPr>
        <w:t xml:space="preserve">Цель </w:t>
      </w:r>
      <w:bookmarkEnd w:id="7"/>
      <w:r>
        <w:rPr>
          <w:b/>
          <w:bCs/>
        </w:rPr>
        <w:t>оказания услуг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6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Предоставление транспортных средств с водителем для перевозки сотрудников филиала, осуществление перевозки сотрудников, задействованных в обслуживании задний и помещений филиала ПАО «РусГидро»-«Жигулевская ГЭС», находящегося по адресу 445350, Россия, Самарская обл., г. Жигулевск, Московское шоссе, 2.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6"/>
        <w:jc w:val="both"/>
        <w:rPr>
          <w:rStyle w:val="Style8"/>
          <w:rFonts w:eastAsia="Calibri"/>
          <w:b w:val="false"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rFonts w:eastAsia="Calibri"/>
          <w:b w:val="false"/>
          <w:i w:val="false"/>
          <w:sz w:val="24"/>
          <w:szCs w:val="24"/>
          <w:shd w:fill="auto" w:val="clear"/>
          <w:lang w:eastAsia="x-none"/>
        </w:rPr>
      </w:r>
    </w:p>
    <w:p>
      <w:pPr>
        <w:pStyle w:val="ListParagraph"/>
        <w:numPr>
          <w:ilvl w:val="1"/>
          <w:numId w:val="3"/>
        </w:numPr>
        <w:ind w:left="0" w:firstLine="426"/>
        <w:rPr>
          <w:bCs/>
          <w:i/>
          <w:i/>
          <w:shd w:fill="FFFF99" w:val="clear"/>
        </w:rPr>
      </w:pPr>
      <w:bookmarkStart w:id="8" w:name="_Toc54643698"/>
      <w:bookmarkStart w:id="9" w:name="_Toc46743508"/>
      <w:r>
        <w:rPr>
          <w:b/>
          <w:bCs/>
        </w:rPr>
        <w:t>Существующее положение</w:t>
      </w:r>
      <w:bookmarkEnd w:id="9"/>
      <w:r>
        <w:rPr>
          <w:b/>
          <w:bCs/>
        </w:rPr>
        <w:t xml:space="preserve"> 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6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Перевозка пассажиров (сотрудников филиала) осуществляется по маршрутам, согласно таблице № 1, №2. Максимальное количество перевозимых пассажиров указано в таблице №1.</w:t>
      </w:r>
    </w:p>
    <w:p>
      <w:pPr>
        <w:pStyle w:val="ListParagraph"/>
        <w:ind w:left="0" w:hanging="0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1. Перечень маршрутов для</w:t>
      </w:r>
      <w:r>
        <w:rPr/>
        <w:t xml:space="preserve"> </w:t>
      </w:r>
      <w:r>
        <w:rPr>
          <w:b/>
          <w:bCs/>
          <w:sz w:val="24"/>
          <w:szCs w:val="24"/>
        </w:rPr>
        <w:t>филиала ПАО «РусГидро»-«Жигулевская ГЭС»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 w:noVBand="0" w:noHBand="0" w:lastColumn="0" w:firstColumn="0" w:lastRow="0" w:firstRow="0"/>
      </w:tblPr>
      <w:tblGrid>
        <w:gridCol w:w="642"/>
        <w:gridCol w:w="4150"/>
        <w:gridCol w:w="5129"/>
      </w:tblGrid>
      <w:tr>
        <w:trPr/>
        <w:tc>
          <w:tcPr>
            <w:tcW w:w="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ind w:firstLine="426"/>
              <w:jc w:val="center"/>
              <w:rPr>
                <w:rFonts w:eastAsia="SimSun" w:cs="Mangal"/>
                <w:b/>
                <w:kern w:val="2"/>
                <w:sz w:val="20"/>
                <w:szCs w:val="20"/>
                <w:lang w:eastAsia="zh-CN" w:bidi="hi-IN"/>
              </w:rPr>
            </w:pPr>
            <w:r>
              <w:rPr>
                <w:b/>
                <w:kern w:val="2"/>
                <w:sz w:val="20"/>
                <w:szCs w:val="20"/>
                <w:lang w:eastAsia="zh-CN" w:bidi="hi-IN"/>
              </w:rPr>
              <w:t>№</w:t>
            </w:r>
          </w:p>
        </w:tc>
        <w:tc>
          <w:tcPr>
            <w:tcW w:w="4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ind w:firstLine="426"/>
              <w:jc w:val="center"/>
              <w:rPr>
                <w:rFonts w:eastAsia="SimSun" w:cs="Mangal"/>
                <w:b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b/>
                <w:kern w:val="2"/>
                <w:sz w:val="20"/>
                <w:szCs w:val="20"/>
                <w:lang w:eastAsia="zh-CN" w:bidi="hi-IN"/>
              </w:rPr>
              <w:t>Номер маршрута</w:t>
            </w:r>
          </w:p>
        </w:tc>
        <w:tc>
          <w:tcPr>
            <w:tcW w:w="5129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b/>
                <w:kern w:val="2"/>
                <w:sz w:val="20"/>
                <w:szCs w:val="20"/>
                <w:lang w:eastAsia="zh-CN" w:bidi="hi-IN"/>
              </w:rPr>
              <w:t>Максимальное количество пассажиров, которое необходимо перевезти ежедневно по каждому маршруту (не более)</w:t>
            </w:r>
          </w:p>
        </w:tc>
      </w:tr>
      <w:tr>
        <w:trPr/>
        <w:tc>
          <w:tcPr>
            <w:tcW w:w="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4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Маршрут № 1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25</w:t>
            </w:r>
          </w:p>
        </w:tc>
      </w:tr>
      <w:tr>
        <w:trPr/>
        <w:tc>
          <w:tcPr>
            <w:tcW w:w="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4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Маршрут № 2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ind w:firstLine="426"/>
              <w:jc w:val="center"/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/>
                <w:kern w:val="2"/>
                <w:sz w:val="20"/>
                <w:szCs w:val="20"/>
                <w:lang w:eastAsia="zh-CN" w:bidi="hi-IN"/>
              </w:rPr>
              <w:t>25</w:t>
            </w:r>
          </w:p>
        </w:tc>
      </w:tr>
    </w:tbl>
    <w:p>
      <w:pPr>
        <w:pStyle w:val="ListParagraph"/>
        <w:ind w:left="0" w:hanging="0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snapToGrid w:val="false"/>
        <w:spacing w:before="0" w:after="0"/>
        <w:ind w:left="0" w:hanging="0"/>
        <w:contextualSpacing/>
        <w:jc w:val="both"/>
        <w:outlineLvl w:val="2"/>
        <w:rPr>
          <w:b/>
          <w:bCs/>
        </w:rPr>
      </w:pPr>
      <w:r>
        <w:rPr>
          <w:b/>
          <w:bCs/>
        </w:rPr>
      </w:r>
    </w:p>
    <w:p>
      <w:pPr>
        <w:pStyle w:val="ListParagraph"/>
        <w:widowControl/>
        <w:numPr>
          <w:ilvl w:val="1"/>
          <w:numId w:val="3"/>
        </w:numPr>
        <w:suppressAutoHyphens w:val="true"/>
        <w:bidi w:val="0"/>
        <w:spacing w:before="0" w:after="0"/>
        <w:ind w:left="1134" w:right="0" w:hanging="567"/>
        <w:contextualSpacing/>
        <w:jc w:val="both"/>
        <w:rPr/>
      </w:pPr>
      <w:bookmarkStart w:id="10" w:name="_Toc54643700"/>
      <w:bookmarkStart w:id="11" w:name="_Hlk49857604"/>
      <w:bookmarkStart w:id="12" w:name="_Toc46743509"/>
      <w:r>
        <w:rPr>
          <w:b/>
          <w:bCs/>
        </w:rPr>
        <w:t xml:space="preserve">  </w:t>
      </w:r>
      <w:r>
        <w:rPr>
          <w:b/>
          <w:bCs/>
        </w:rPr>
        <w:t xml:space="preserve">Информация в отношении исполнения договора, </w:t>
      </w:r>
      <w:bookmarkStart w:id="13" w:name="_Hlk46492347"/>
      <w:r>
        <w:rPr>
          <w:b/>
          <w:bCs/>
        </w:rPr>
        <w:t xml:space="preserve">которая должна быть учтена при подготовке заявки </w:t>
      </w:r>
      <w:bookmarkEnd w:id="13"/>
      <w:r>
        <w:rPr>
          <w:b/>
          <w:bCs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11"/>
      <w:bookmarkEnd w:id="12"/>
      <w:r>
        <w:rPr/>
        <w:t xml:space="preserve"> </w:t>
      </w:r>
      <w:bookmarkEnd w:id="10"/>
    </w:p>
    <w:p>
      <w:pPr>
        <w:pStyle w:val="ListParagraph"/>
        <w:widowControl/>
        <w:numPr>
          <w:ilvl w:val="2"/>
          <w:numId w:val="3"/>
        </w:numPr>
        <w:suppressAutoHyphens w:val="true"/>
        <w:bidi w:val="0"/>
        <w:spacing w:before="0" w:after="0"/>
        <w:ind w:left="1134" w:right="0" w:hanging="454"/>
        <w:contextualSpacing/>
        <w:jc w:val="both"/>
        <w:rPr/>
      </w:pPr>
      <w:bookmarkStart w:id="14" w:name="_Toc54643701"/>
      <w:bookmarkStart w:id="15" w:name="_Toc46743510"/>
      <w:bookmarkStart w:id="16" w:name="_Toc50125126"/>
      <w:bookmarkEnd w:id="15"/>
      <w:bookmarkEnd w:id="16"/>
      <w:r>
        <w:rPr/>
        <w:t>Опыт работы автотранспортного предприятия по перевозке пассажиров.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b w:val="false"/>
          <w:bCs w:val="false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Наличие 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лицензии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 на осуществление деятельности по перевозки людей автомобильным транспортом (в соответствии с требованиями Федерального закона о лицензировании отдельных видов деятельности от 04.05.2011 N 99-ФЗ (ред. от 29.12.2022), п. 2 ст. 4, ст. 6 Федерального закона от 30.10.2018 № 386-ФЗ.).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Исполнитель, при заключении договора, должен иметь в наличии следующие документы:</w:t>
      </w:r>
    </w:p>
    <w:p>
      <w:pPr>
        <w:pStyle w:val="ListParagraph"/>
        <w:tabs>
          <w:tab w:val="clear" w:pos="708"/>
          <w:tab w:val="left" w:pos="1560" w:leader="none"/>
        </w:tabs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-  Паспорт транспортного средства (ПТС) </w:t>
      </w:r>
    </w:p>
    <w:p>
      <w:pPr>
        <w:pStyle w:val="ListParagraph"/>
        <w:tabs>
          <w:tab w:val="clear" w:pos="708"/>
          <w:tab w:val="left" w:pos="1560" w:leader="none"/>
        </w:tabs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-  Копия договора аренды (в случае владения по договору аренды)</w:t>
      </w:r>
    </w:p>
    <w:p>
      <w:pPr>
        <w:pStyle w:val="ListParagraph"/>
        <w:tabs>
          <w:tab w:val="clear" w:pos="708"/>
          <w:tab w:val="left" w:pos="1560" w:leader="none"/>
        </w:tabs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-  Копия договора лизинга (в случае владения по договору лизинга)</w:t>
      </w:r>
    </w:p>
    <w:p>
      <w:pPr>
        <w:pStyle w:val="ListParagraph"/>
        <w:tabs>
          <w:tab w:val="clear" w:pos="708"/>
          <w:tab w:val="left" w:pos="1560" w:leader="none"/>
        </w:tabs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-  Копия иного документа, подтверждающего законное право владения (в случае владения на ином основании).</w:t>
      </w:r>
    </w:p>
    <w:p>
      <w:pPr>
        <w:pStyle w:val="ListParagraph"/>
        <w:tabs>
          <w:tab w:val="clear" w:pos="708"/>
          <w:tab w:val="left" w:pos="1560" w:leader="none"/>
        </w:tabs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- Копия полиса ОСАГО на транспортное средство</w:t>
      </w:r>
    </w:p>
    <w:p>
      <w:pPr>
        <w:pStyle w:val="ListParagraph"/>
        <w:widowControl/>
        <w:tabs>
          <w:tab w:val="clear" w:pos="708"/>
          <w:tab w:val="left" w:pos="1560" w:leader="none"/>
        </w:tabs>
        <w:bidi w:val="0"/>
        <w:spacing w:before="0" w:after="0"/>
        <w:contextualSpacing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- Копия договора с медицинской организацией на проведение медосмотров для водителей автобусов</w:t>
      </w:r>
    </w:p>
    <w:p>
      <w:pPr>
        <w:pStyle w:val="ListParagraph"/>
        <w:tabs>
          <w:tab w:val="clear" w:pos="708"/>
          <w:tab w:val="left" w:pos="1560" w:leader="none"/>
        </w:tabs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- Копия полиса ОСГОП</w:t>
      </w:r>
    </w:p>
    <w:p>
      <w:pPr>
        <w:pStyle w:val="ListParagraph"/>
        <w:tabs>
          <w:tab w:val="clear" w:pos="708"/>
          <w:tab w:val="left" w:pos="1560" w:leader="none"/>
        </w:tabs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- Наличие у водителей соответствующей категории на право управления транспортным средством, стаж работы на соответствующем транспортном средстве не менее 3 лет,           водительских удостоверений, </w:t>
      </w:r>
    </w:p>
    <w:p>
      <w:pPr>
        <w:pStyle w:val="ListParagraph"/>
        <w:tabs>
          <w:tab w:val="clear" w:pos="708"/>
          <w:tab w:val="left" w:pos="1560" w:leader="none"/>
        </w:tabs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- копии удостоверений о проверке знаний требований охраны труда, копии медицинских осмотров.</w:t>
      </w:r>
    </w:p>
    <w:p>
      <w:pPr>
        <w:pStyle w:val="ListParagraph"/>
        <w:numPr>
          <w:ilvl w:val="2"/>
          <w:numId w:val="3"/>
        </w:numPr>
        <w:tabs>
          <w:tab w:val="clear" w:pos="708"/>
          <w:tab w:val="left" w:pos="1560" w:leader="none"/>
        </w:tabs>
        <w:ind w:left="0" w:firstLine="851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Вышеперечисленные документы подтверждаются предоставлением в адрес Заказчика по запросу Заказчика.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1"/>
          <w:numId w:val="3"/>
        </w:numPr>
        <w:ind w:left="0" w:firstLine="709"/>
        <w:jc w:val="both"/>
        <w:rPr/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Требования</w:t>
      </w:r>
      <w:r>
        <w:rPr>
          <w:b/>
          <w:bCs/>
        </w:rPr>
        <w:t xml:space="preserve"> к автотранспортному средству: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/>
      </w:pPr>
      <w:r>
        <w:rPr/>
        <w:t>Наличие автотранспорта с учетом обязательного ежедневного резерва на праве собственности или ином законном основании, прошедшего технический осмотр, оснащенного аппаратурой спутниковой навигации ГЛОНАСС или ГЛОНАСС/GPS, оснащенных техническими средствами контроля за соблюдением водителем режимов движения, труда и отдыха.</w:t>
      </w:r>
      <w:r>
        <w:rPr>
          <w:b/>
          <w:bCs/>
        </w:rPr>
        <w:t xml:space="preserve"> 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Автобусы должны быть оснащены тахографами и спутниковой навигацией ГЛОНАСС или ГЛОНАСС/GPS и допущены к участию в дорожном движении (позиция 5 Приложения N 1 к Постановлению Правительства РФ от 04.02.2015 N 99).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Предоставляемые для оказания услуг транспортные средства должны быть зарегистрированы в территориальных органах ГИБДД Российской Федерации.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Транспортные средства должны проходить в установленном порядке годовой технический осмотр с получением диагностических карт, плановое техническое обслуживание (в том числе сезонная замена автошин) и текущий ремонт на авторизированных станциях технического обслуживания. 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Транспортные средства, подлежащие обязательному страхованию, должны иметь полисы обязательного страхования гражданской ответственности владельцев транспортных средств (ОСАГО).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Все транспортные средства должны быть оснащены автомобильной аптечкой и средствами пожаротушения с действующими сроками использования, исправными домкратами, противооткатными средствами и запасными колесами.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Техника предоставляется в технически исправном состоянии. Осуществление ежедневного предрейсового и послерейсового инструментального контроля техники.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Наличие и предоставление подменных единиц техники в случае неисправности основных единиц техники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Салон: обивка - ткань, пол - пластик (резина), не скользящий.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Комплектация: Система обогрева и вентиляции с противопылевым фильтром и режимом рециркуляции. 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Минимальное количество мест для сидения: 25 мест;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Обеспечение доступности всех транспортных средств для перевозки пассажиров из числа инвалидов: да.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 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При использовании состояние транспортного средства должно быть технически исправным, что должно подтверждаться проверкой Исполнителем до выполнения рейса.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 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При перевозке представителем Исполнителя заполняется путевой лист. Путевой лист должен содержать разрешение на осуществление дорожного движения.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Транспортные средства должны иметься два огнетушителя, один из которых находится около водителя, а второй – в пассажирском салоне; в наличии должны иметься противооткатный упор и устройство для открытия доступа к аварийному выходу; наличие знака аварийной остановки;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Транспортные средства снаружи должны иметь знаки о том, что совершаются рейсовые пассажирские перевозки.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Правила перевозки должны быть размечены на видном месте в транспортном средстве. Внутри салона должна иметься хорошо различимая надпись «Запасной выход»;</w:t>
      </w:r>
    </w:p>
    <w:p>
      <w:pPr>
        <w:pStyle w:val="Normal"/>
        <w:numPr>
          <w:ilvl w:val="2"/>
          <w:numId w:val="3"/>
        </w:numPr>
        <w:ind w:firstLine="709"/>
        <w:jc w:val="both"/>
        <w:rPr>
          <w:sz w:val="24"/>
          <w:szCs w:val="24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Согласно требованиям з</w:t>
      </w:r>
      <w:r>
        <w:rPr>
          <w:sz w:val="24"/>
          <w:szCs w:val="24"/>
        </w:rPr>
        <w:t>аконодательства, у водителя в салоне автобуса должен находиться пакет документов, содержащий:</w:t>
      </w:r>
    </w:p>
    <w:p>
      <w:pPr>
        <w:pStyle w:val="Normal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лицензию юридического лица, предоставляющую право на осуществление деятельности по перевозке пассажиров;</w:t>
      </w:r>
    </w:p>
    <w:p>
      <w:pPr>
        <w:pStyle w:val="Normal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удостоверение водителя категории D;</w:t>
      </w:r>
    </w:p>
    <w:p>
      <w:pPr>
        <w:pStyle w:val="Normal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полис неограниченного страхования ОСАГО;</w:t>
      </w:r>
    </w:p>
    <w:p>
      <w:pPr>
        <w:pStyle w:val="Normal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путевой лист;</w:t>
      </w:r>
    </w:p>
    <w:p>
      <w:pPr>
        <w:pStyle w:val="Normal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справка, свидетельствующая о прохождении водителем медкомиссии;</w:t>
      </w:r>
    </w:p>
    <w:p>
      <w:pPr>
        <w:pStyle w:val="Normal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диагностическая карта технического осмотра автобуса;</w:t>
      </w:r>
    </w:p>
    <w:p>
      <w:pPr>
        <w:pStyle w:val="Normal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свидетельство о регистрации транспортного средства с присвоением ему государственных номеров;</w:t>
      </w:r>
    </w:p>
    <w:p>
      <w:pPr>
        <w:pStyle w:val="Normal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технический паспорт пассажирского автобуса.</w:t>
      </w:r>
    </w:p>
    <w:p>
      <w:pPr>
        <w:pStyle w:val="Normal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1"/>
          <w:numId w:val="3"/>
        </w:numPr>
        <w:jc w:val="both"/>
        <w:rPr>
          <w:bCs/>
          <w:i/>
          <w:i/>
          <w:shd w:fill="FFFF99" w:val="clear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Иные</w:t>
      </w:r>
      <w:r>
        <w:rPr>
          <w:b/>
          <w:bCs/>
        </w:rPr>
        <w:t xml:space="preserve"> требования и сведения общего характера</w:t>
      </w:r>
      <w:r>
        <w:rPr/>
        <w:t xml:space="preserve"> </w:t>
      </w:r>
      <w:bookmarkEnd w:id="14"/>
    </w:p>
    <w:p>
      <w:pPr>
        <w:pStyle w:val="ListParagraph"/>
        <w:widowControl/>
        <w:numPr>
          <w:ilvl w:val="2"/>
          <w:numId w:val="3"/>
        </w:numPr>
        <w:suppressAutoHyphens w:val="true"/>
        <w:bidi w:val="0"/>
        <w:spacing w:before="0" w:after="0"/>
        <w:ind w:left="0" w:right="0" w:firstLine="680"/>
        <w:contextualSpacing/>
        <w:jc w:val="both"/>
        <w:rPr>
          <w:bCs/>
          <w:i/>
          <w:i/>
          <w:shd w:fill="FFFF99" w:val="clear"/>
        </w:rPr>
      </w:pPr>
      <w:r>
        <w:rPr>
          <w:sz w:val="24"/>
          <w:szCs w:val="24"/>
        </w:rPr>
        <w:t>Исполнитель обязан выполнить услуги в соответствии с требованиями заказчика и нести все расходы, связанные с выполнением данных услуг.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/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Наличие у водителей предварительного и периодического медицинских осмотров, с оформлением заключения о медицинской пригодности с учетом выполняемой ими работы и профессии, проводимого в соответствии с Приказом Минздрава РФ от 28.01.2021 N 29Н. Прохождение водителями ежесменного предрейсового и послерейсового медицинских осмотров в соответствии с Приказом от Минздрава России от 15.12.2014 N 835н «Об утверждении Порядка проведения предсменных, предрейсовых и послесменных, послерейсовых медицинских осмотров».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При невозможности осуществления основным экипажем своих обязанностей, Исполнитель обязан своевременно предоставить замену персонала, квалификация которых должна отвечать требованиям эксплуатации транспортного средства данного вида.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Соблюдение правил дорожного движения.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Своевременное и надлежащее ведение путевой документации;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Соблюдение требований внутриобъектового и контрольно-пропускного режимов, установленных на территории Заказчика.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Соблюдение требований и правила охраны труда, технической, промышленной, пожарной, экологической безопасности и иные установленные на территории Заказчика требования.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Исполнитель принимает все обоснованные меры предосторожности, направленные на охрану окружающей среды в процессе выполнения работ. Обязанности Исполнителя включают в себя, помимо прочего, предотвращение загрязнения окружающей среды оборудованием и материалами Исполнителя и т.д.;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Исполнитель должен обеспечить при необходимости выезд на места дорожно-транспортных происшествий собственного штатного представителя для участия в надлежащем оформлении материалов, являющихся основанием для последующего возмещения ущерба (в том числе с причинением вреда жизни, здоровью и имуществу).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Исполнитель обязан обеспечивать стоянку своих транспортных средств во внерабочее время только на специальных парковках. Такие автостоянки должны соответствовать требованиям, установленным Минтрансом России.</w:t>
      </w:r>
    </w:p>
    <w:p>
      <w:pPr>
        <w:pStyle w:val="ListParagraph"/>
        <w:numPr>
          <w:ilvl w:val="2"/>
          <w:numId w:val="3"/>
        </w:numPr>
        <w:ind w:left="12" w:firstLine="709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Водитель автобуса должен обладать способностью концентрации внимания и быстрого принятия решений при наступлении нестандартных ситуаций. Помимо профессиональных качеств предъявляются требования к его самочувствию в день поездки.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Исполнитель, осуществляющий эксплуатацию транспортных средств, обязан соблюдать нормативы допустимых выбросов и сбросов веществ и микроорганизмов, а также принимать меры по обезвреживанию загрязняющих веществ, в том числе их нейтрализации, снижению уровня шума и иного негативного воздействия на окружающую среду.</w:t>
      </w:r>
    </w:p>
    <w:p>
      <w:pPr>
        <w:pStyle w:val="ListParagraph"/>
        <w:numPr>
          <w:ilvl w:val="2"/>
          <w:numId w:val="3"/>
        </w:numPr>
        <w:ind w:left="0" w:firstLine="709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Наличие у водителей соответствующей категории на право управления транспортным средством, стаж работы на соответствующем транспортном средстве не менее 3 лет. </w:t>
      </w:r>
    </w:p>
    <w:p>
      <w:pPr>
        <w:pStyle w:val="ListParagraph"/>
        <w:numPr>
          <w:ilvl w:val="2"/>
          <w:numId w:val="3"/>
        </w:numPr>
        <w:ind w:left="0" w:firstLine="709"/>
        <w:jc w:val="both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Исполнитель несет расходы, возникающие с эксплуатацией транспортных средств: оплата полиса ОСАГО, отплата медосмотра водителей, оплата топлива, оплата планового ТО, текущего и капитального ремонта, горюче-смазочных и иных используемых эксплуатационных материалов. Расходы на услуги по мойке и иному текущему эксплуатационному обслуживанию.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обеспечивает ведение фактического учёта работы транспортных средств с выдачей и ведением соответствующих путевых листов (прочих документов в соответствии с законодательством РФ), использования по каждой единице транспорта топлива, расходных материалов и прочих эксплуатационных расходов. Исполнитель, по требованию Заказчика, обязан ознакомить его с документами по учету работы транспортных средств и эксплуатационных расходов.</w:t>
      </w:r>
    </w:p>
    <w:p>
      <w:pPr>
        <w:pStyle w:val="Normal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         </w:t>
      </w:r>
    </w:p>
    <w:p>
      <w:pPr>
        <w:pStyle w:val="ListParagraph"/>
        <w:numPr>
          <w:ilvl w:val="0"/>
          <w:numId w:val="3"/>
        </w:numPr>
        <w:ind w:left="284" w:firstLine="142"/>
        <w:jc w:val="center"/>
        <w:rPr>
          <w:sz w:val="28"/>
          <w:szCs w:val="28"/>
        </w:rPr>
      </w:pPr>
      <w:bookmarkStart w:id="17" w:name="_Toc54643702"/>
      <w:bookmarkStart w:id="18" w:name="_Toc51339693"/>
      <w:r>
        <w:rPr>
          <w:b/>
          <w:bCs/>
          <w:sz w:val="28"/>
          <w:szCs w:val="28"/>
        </w:rPr>
        <w:t>Требования к продукции</w:t>
      </w:r>
      <w:bookmarkEnd w:id="17"/>
      <w:bookmarkEnd w:id="18"/>
    </w:p>
    <w:p>
      <w:pPr>
        <w:pStyle w:val="ListParagraph"/>
        <w:ind w:left="0" w:hang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ListParagraph"/>
        <w:numPr>
          <w:ilvl w:val="1"/>
          <w:numId w:val="3"/>
        </w:numPr>
        <w:ind w:left="0" w:firstLine="851"/>
        <w:rPr>
          <w:b/>
          <w:bCs/>
        </w:rPr>
      </w:pPr>
      <w:bookmarkStart w:id="19" w:name="_Toc54643703"/>
      <w:r>
        <w:rPr>
          <w:b/>
          <w:bCs/>
        </w:rPr>
        <w:t>Требования к объемам и срокам оказания услуг</w:t>
      </w:r>
      <w:bookmarkEnd w:id="19"/>
    </w:p>
    <w:p>
      <w:pPr>
        <w:pStyle w:val="ListParagraph"/>
        <w:numPr>
          <w:ilvl w:val="2"/>
          <w:numId w:val="3"/>
        </w:numPr>
        <w:ind w:left="0" w:firstLine="851"/>
        <w:jc w:val="both"/>
        <w:rPr>
          <w:b/>
          <w:bCs/>
        </w:rPr>
      </w:pPr>
      <w:bookmarkStart w:id="20" w:name="_Toc54643704"/>
      <w:r>
        <w:rPr>
          <w:b/>
          <w:bCs/>
        </w:rPr>
        <w:t xml:space="preserve"> </w:t>
      </w:r>
      <w:r>
        <w:rPr>
          <w:b/>
          <w:bCs/>
        </w:rPr>
        <w:t>Требования к перечню и объему услуг</w:t>
      </w:r>
      <w:bookmarkEnd w:id="2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bookmarkStart w:id="21" w:name="_Toc54643706"/>
      <w:r>
        <w:rPr>
          <w:b/>
          <w:bCs/>
          <w:sz w:val="24"/>
          <w:szCs w:val="24"/>
        </w:rPr>
        <w:t>Таблица 2. Маршруты и расписание движения транспорта</w:t>
      </w:r>
      <w:r>
        <w:rPr>
          <w:rStyle w:val="Style8"/>
          <w:bCs/>
          <w:i w:val="false"/>
          <w:sz w:val="24"/>
          <w:szCs w:val="24"/>
          <w:shd w:fill="auto" w:val="clear"/>
        </w:rPr>
        <w:t xml:space="preserve"> для филиала ПАО «РусГидро»-«Жигулевская ГЭС»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/>
        <w:t xml:space="preserve"> </w:t>
      </w:r>
      <w:r>
        <w:rPr/>
        <w:t xml:space="preserve">Маршрут 1 </w:t>
      </w:r>
    </w:p>
    <w:tbl>
      <w:tblPr>
        <w:tblStyle w:val="af"/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48"/>
        <w:gridCol w:w="5158"/>
        <w:gridCol w:w="3975"/>
      </w:tblGrid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51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Пункт начала движения</w:t>
            </w:r>
          </w:p>
        </w:tc>
        <w:tc>
          <w:tcPr>
            <w:tcW w:w="39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Время движения по маршруту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«Моркваши»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07:12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«Пищекомбинат»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07:15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«Энерготехмаш»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07:17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«Микрорайон В-1»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07:19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«Школа №3»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07:25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 «ТЦ Березка»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07:27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«Микрорайон Г-1»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07:33</w:t>
            </w:r>
          </w:p>
        </w:tc>
      </w:tr>
      <w:tr>
        <w:trPr/>
        <w:tc>
          <w:tcPr>
            <w:tcW w:w="6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51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Филиал ПАО «РусГидро»-«Жигулевская ГЭС»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07:35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276"/>
        <w:jc w:val="center"/>
        <w:rPr/>
      </w:pPr>
      <w:r>
        <w:rPr/>
        <w:t xml:space="preserve">  </w:t>
      </w:r>
      <w:r>
        <w:rPr/>
        <w:t xml:space="preserve">Маршрут 2 </w:t>
      </w:r>
    </w:p>
    <w:tbl>
      <w:tblPr>
        <w:tblStyle w:val="af"/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69"/>
        <w:gridCol w:w="5137"/>
        <w:gridCol w:w="3975"/>
      </w:tblGrid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51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Пункт начала движения</w:t>
            </w:r>
          </w:p>
        </w:tc>
        <w:tc>
          <w:tcPr>
            <w:tcW w:w="39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Время движения по маршруту *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Филиал ПАО «РусГидро»-«Жигулевская ГЭС»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16:40 (15:40)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Остановка «Микрорайон Г-1» 5 школа 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16:44 (15:44)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«Рынок магазин Волгарь)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16:46 (15:46)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Остановка «Могутовая» 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16:48 (15:48)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Остановка «ДК Жигулевский» 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16:50 (15:50)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Остановка «Жилгородок» 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16:53 (15:53)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«Школа №3»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16:56 (15:56)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Остановка «Горгаз» 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16:58 (15:58)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Остановка «Микрорайон В-1» 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17:02 (16:02)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Остановка «Энерготехмаш» 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17:04 (16:04)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Остановка «Пищекомбинат» 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17:06 (16:06)</w:t>
            </w:r>
          </w:p>
        </w:tc>
      </w:tr>
      <w:tr>
        <w:trPr/>
        <w:tc>
          <w:tcPr>
            <w:tcW w:w="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Остановка «Моркваши» конечная</w:t>
            </w:r>
          </w:p>
        </w:tc>
        <w:tc>
          <w:tcPr>
            <w:tcW w:w="39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17:09 (16:09)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/>
        <w:tab/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*Услуги оказываются по будням, за исключением праздничных выходных, пятница сокращенный день.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/>
          <w:bCs/>
          <w:sz w:val="24"/>
          <w:szCs w:val="24"/>
        </w:rPr>
        <w:t>Таблица 3. Объем оказываемых услуг</w:t>
      </w:r>
      <w:r>
        <w:rPr>
          <w:rStyle w:val="Style8"/>
          <w:bCs/>
          <w:i w:val="false"/>
          <w:sz w:val="24"/>
          <w:szCs w:val="24"/>
          <w:shd w:fill="auto" w:val="clear"/>
        </w:rPr>
        <w:t xml:space="preserve"> </w:t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4"/>
        <w:gridCol w:w="5558"/>
        <w:gridCol w:w="856"/>
        <w:gridCol w:w="993"/>
        <w:gridCol w:w="1559"/>
      </w:tblGrid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услуг / этапа услуг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День недели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>
        <w:trPr>
          <w:trHeight w:val="924" w:hRule="atLeast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ind w:lef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uppressAutoHyphens w:val="true"/>
              <w:rPr>
                <w:iCs/>
                <w:sz w:val="20"/>
                <w:szCs w:val="20"/>
                <w:highlight w:val="yellow"/>
              </w:rPr>
            </w:pPr>
            <w:r>
              <w:rPr>
                <w:iCs/>
                <w:sz w:val="20"/>
                <w:szCs w:val="20"/>
              </w:rPr>
              <w:t>«ОКПД 2 49.39.13.000 Оказание транспортных услуг по доставке сотрудников на объект филиала ПАО «РусГидро»-«Жигулевская ГЭС»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мес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Понедельник – пятница (будни, за исключением праздничных дней</w:t>
            </w:r>
          </w:p>
        </w:tc>
      </w:tr>
    </w:tbl>
    <w:p>
      <w:pPr>
        <w:pStyle w:val="Normal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*Количество рабочих дней для оказания услуг составляет 247 дней , Понедельник – пятница (будни, за исключением праздничных дней).</w:t>
      </w:r>
    </w:p>
    <w:p>
      <w:pPr>
        <w:pStyle w:val="Normal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p>
      <w:pPr>
        <w:pStyle w:val="ListParagraph"/>
        <w:numPr>
          <w:ilvl w:val="2"/>
          <w:numId w:val="3"/>
        </w:numPr>
        <w:ind w:left="284" w:firstLine="425"/>
        <w:jc w:val="both"/>
        <w:rPr>
          <w:b/>
          <w:bCs/>
        </w:rPr>
      </w:pPr>
      <w:bookmarkStart w:id="22" w:name="_Toc51339696"/>
      <w:r>
        <w:rPr>
          <w:b/>
          <w:bCs/>
        </w:rPr>
        <w:t xml:space="preserve">Требования </w:t>
      </w:r>
      <w:bookmarkEnd w:id="22"/>
      <w:r>
        <w:rPr>
          <w:b/>
          <w:bCs/>
        </w:rPr>
        <w:t>к срокам оказания услуг</w:t>
      </w:r>
      <w:bookmarkEnd w:id="21"/>
    </w:p>
    <w:p>
      <w:pPr>
        <w:pStyle w:val="Normal"/>
        <w:rPr>
          <w:b/>
          <w:bCs/>
          <w:sz w:val="24"/>
          <w:szCs w:val="24"/>
        </w:rPr>
      </w:pPr>
      <w:bookmarkStart w:id="23" w:name="_Toc54643707"/>
      <w:bookmarkStart w:id="24" w:name="_Toc51339697"/>
      <w:bookmarkStart w:id="25" w:name="_Toc50125127"/>
      <w:bookmarkStart w:id="26" w:name="_Toc50125126_Копия_1"/>
      <w:bookmarkEnd w:id="26"/>
      <w:r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Таблица 4. </w:t>
      </w:r>
      <w:bookmarkStart w:id="27" w:name="_Hlk50465284"/>
      <w:r>
        <w:rPr>
          <w:b/>
          <w:bCs/>
          <w:sz w:val="24"/>
          <w:szCs w:val="24"/>
        </w:rPr>
        <w:t xml:space="preserve">Требования к срокам </w:t>
      </w:r>
      <w:bookmarkEnd w:id="24"/>
      <w:bookmarkEnd w:id="25"/>
      <w:bookmarkEnd w:id="27"/>
      <w:r>
        <w:rPr>
          <w:b/>
          <w:bCs/>
          <w:sz w:val="24"/>
          <w:szCs w:val="24"/>
        </w:rPr>
        <w:t>оказания услуг</w:t>
      </w:r>
      <w:bookmarkEnd w:id="23"/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8"/>
        <w:gridCol w:w="3830"/>
        <w:gridCol w:w="2479"/>
        <w:gridCol w:w="2623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услуг/ этапа услуг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началу срока оказания услуг/ этапа услуг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bookmarkStart w:id="28" w:name="_Toc46743510_Копия_1"/>
            <w:bookmarkStart w:id="29" w:name="_Toc46743510_Копия_1"/>
            <w:bookmarkEnd w:id="29"/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«ОКПД 2 49.39.13.000 Оказание транспортных услуг по доставке сотрудников на объект филиала ПАО «РусГидро»-«Жигулевская ГЭС»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</w:t>
            </w:r>
            <w:r>
              <w:rPr>
                <w:sz w:val="20"/>
                <w:szCs w:val="20"/>
              </w:rPr>
              <w:t>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ListParagraph"/>
        <w:numPr>
          <w:ilvl w:val="1"/>
          <w:numId w:val="3"/>
        </w:numPr>
        <w:ind w:left="0" w:firstLine="709"/>
        <w:rPr>
          <w:b/>
          <w:bCs/>
        </w:rPr>
      </w:pPr>
      <w:bookmarkStart w:id="30" w:name="_Toc54643709"/>
      <w:bookmarkStart w:id="31" w:name="_Toc54643708"/>
      <w:bookmarkStart w:id="32" w:name="_Toc46743511"/>
      <w:r>
        <w:rPr>
          <w:b/>
          <w:bCs/>
        </w:rPr>
        <w:t xml:space="preserve">Требования к </w:t>
      </w:r>
      <w:bookmarkEnd w:id="32"/>
      <w:r>
        <w:rPr>
          <w:b/>
          <w:bCs/>
        </w:rPr>
        <w:t>качеству услуг</w:t>
      </w:r>
      <w:bookmarkEnd w:id="31"/>
    </w:p>
    <w:p>
      <w:pPr>
        <w:pStyle w:val="Normal"/>
        <w:rPr>
          <w:b/>
          <w:bCs/>
          <w:sz w:val="24"/>
          <w:szCs w:val="24"/>
        </w:rPr>
      </w:pPr>
      <w:bookmarkStart w:id="33" w:name="_Toc51339698"/>
      <w:r>
        <w:rPr>
          <w:b/>
          <w:bCs/>
          <w:sz w:val="24"/>
          <w:szCs w:val="24"/>
        </w:rPr>
        <w:t xml:space="preserve">Таблица 5. Требования к </w:t>
      </w:r>
      <w:bookmarkEnd w:id="33"/>
      <w:r>
        <w:rPr>
          <w:b/>
          <w:bCs/>
          <w:sz w:val="24"/>
          <w:szCs w:val="24"/>
        </w:rPr>
        <w:t>качеству услуг</w:t>
      </w:r>
      <w:bookmarkEnd w:id="30"/>
      <w:r>
        <w:rPr>
          <w:b/>
          <w:bCs/>
          <w:sz w:val="24"/>
          <w:szCs w:val="24"/>
        </w:rPr>
        <w:t xml:space="preserve"> </w:t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услуг/этапа услуг: </w:t>
      </w:r>
      <w:r>
        <w:rPr>
          <w:b w:val="false"/>
          <w:bCs w:val="false"/>
          <w:sz w:val="24"/>
          <w:szCs w:val="24"/>
        </w:rPr>
        <w:t>«ОКПД 2 49.39.13.000 Оказание транспортных услуг по доставке сотрудников на объект филиала ПАО «РусГидро»-«Жигулевская ГЭС»</w:t>
      </w:r>
    </w:p>
    <w:tbl>
      <w:tblPr>
        <w:tblStyle w:val="af"/>
        <w:tblW w:w="1505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7"/>
        <w:gridCol w:w="2243"/>
        <w:gridCol w:w="3853"/>
        <w:gridCol w:w="2652"/>
        <w:gridCol w:w="2887"/>
        <w:gridCol w:w="2709"/>
      </w:tblGrid>
      <w:tr>
        <w:trPr/>
        <w:tc>
          <w:tcPr>
            <w:tcW w:w="7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2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85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553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85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6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bookmarkStart w:id="34" w:name="_Toc53499667"/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</w:t>
            </w:r>
            <w:bookmarkEnd w:id="34"/>
          </w:p>
        </w:tc>
        <w:tc>
          <w:tcPr>
            <w:tcW w:w="22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38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6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8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лицензии на осуществление деятельности по перевозки людей автомобильным транспортом.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Предоставления Заказчику автомобилей в технически исправном состоянии, заправленных горюче-смазочными материалами и другими необходимыми эксплуатационными жидкостями в объемах оказания услуги.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Транспортные средства должны иметь шины, соответствующие погодным условиям, соответствовать требованиям безопасности, техническому состоянию и методам проверок, установленных ГОСТом Р 51709-2001. «ТРЕБОВАНИЯ БЕЗОПАСНОСТИ К ТЕХНИЧЕСКОМУ СОСТОЯНИЮ И МЕТОДЫ ПРОВЕРКИ»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Салон автомобиля должен быть чистым, отапливаемым, сиденья обеспечены ремнями безопасности.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Обеспечивать ежедневный контроль технического состояния автомобиля перед выездом к Заказчику.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Проведение технического обслуживание и ремонт автомобилей.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Проведение водительским составом ежедневного предрейсового медицинского осмотра перед выездом к Заказчику, согласно рекомендациям Минздрава РФ и Минтранса РФ от 29.01.2002г.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проведения планового технического обслуживания (ремонта) Исполнитель обязан предоставить другое транспортное средство.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оказании услуг Исполнитель должен соблюдать требования локальных нормативных документов, действующих в РФ, в части безопасности пассажиров.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оказании услуг Исполнитель обеспечивает возможность выезда собственного представителя на место дорожно-транспортного происшествия и участия в надлежащем оформлении материалов, являющихся основанием для последующего возмещения возможного ущерба (в том числе в связи с причинением вреда жизни, здоровью, имуществу пассажиров);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оказании услуг исполнитель обеспечивает возможность выбора оптимального маршрута движения до пункта назначения, определяемого Заказчиком, с учетом особенностей организации дорожного движения (наличие «пробок», заторов, ремонтов дорог, организации реверсивного движения на отдельных участках магистралей и т.п.)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 управлению транспортным средством допускаются лица, имеющие удостоверение на право управления данной категорией транспортных средств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слуг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6" w:right="0"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Своевременная доставка сотрудников к месту работы и обратно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Оказание транспортных услуг по перевозке групп людей осуществляется легковыми транспортными средствами, автобусами или аналогичным транспортом (маршрутное такси)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Исполнитель своевременно предоставляет Заказчику все необходимые (в том числе запрашиваемые) отчетные документы, связанные с оказанием услуг.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Наличие полиса ОСАГО на автотранспорт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Предоставляемые транспортные средства должны быть технически исправны и укомплектованы согласно правилам дорожного движения, правилам перевозки пассажиров.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Исполнитель обеспечивает: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соответствие оказываемых услуг требованиям качества, безопасности жизни и здоровья, иным требованиям безопасности (санитарным нормам и правилам, государственным стандартам и т.п.), лицензирования, установленным действующим законодательством РФ;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техническую исправность автомобиля, проведение предрейсового или предсменного осмотра и контроля технического состояния автомобиля;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проведение предрейсового медицинского осмотра водителей;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полиса страхования гражданской ответственности перевозчика за причинение вреда жизни, здоровью, имуществу пассажиров;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на праве собственности и предоставление резервного аналогичного транспортного средства, в случае поломки или задержки основного транспортного средства;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действующей лицензии на перевозку пассажиров и багажа автомобильным транспортом;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действующей лицензии на проведение предрейсовых медицинских осмотров водителей либо наличие договора с медицинским учреждением для проведения предрейсовых медицинских осмотров водителей;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в штате должностного лица, ответственного за безопасность дорожного движения, прошедшего аттестацию на право занимать соответствующую должность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- наличие в штате должностного лица, ответственного за выпуск транспортных средств на линию, прошедшего аттестацию на право занимать соответствующую должность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производственного помещения на праве собственности или аренды для проведения предрейсового контроля технического состояния, технического обслуживания и ремонта техники;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соблюдение всех требований и рекомендаций Роспотребнадзора по проведению профилактических мероприятий и дезинфекции автотранспортных средств для перевозки пассажиров;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содержание автомобиля в надлежащем санитарном состоянии (регулярная мойка кузова и чистка салона, отсутствие в салоне и багажнике пахнущих и пачкающих жидкостей и веществ, горюче-смазочных материалов);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оснащение автомобиля зимними автошинами (при оказании услуг в зимний период, а также при отрицательных уличных температурах);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в автомобиле всех штатных систем безопасности, в том числе ремней безопасности на всех пассажирских сидениях;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наличие в автомобиле средств пожаротушения (огнетушителей) и аптечки для оказания первой медицинской помощи.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65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88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70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9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Соответствие требованиям Правил дорожного движения, утвержденных Постановлением Правительства РФ от 23.10.1993 № 1090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08.11.2007 № 259-ФЗ «Устав автомобильного транспорта и городского наземного электрического транспорта»;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10.12.1995 № 196-ФЗ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25.04.2002 № 40-ФЗ «Об обязательном страховании гражданской ответственности владельцев транспортных средств»;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14.06.2012 № 67-ФЗ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09.02.2007 № 16-ФЗ «О транспортной безопасности»;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Федеральный закон от 24.11.1995 № 181-ФЗ «О социальной защите инвалидов в Российской Федерации»;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27.02.2019 № 195 «О лицензировании деятельности по перевозкам пассажиров и иных лиц автобусами»;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07.10.2020 N 1616 (ред. от 23.12.2021) "О лицензировании деятельности по перевозкам пассажиров и иных лиц автобусами" (вместе с "Положением о лицензировании деятельности по перевозкам пассажиров и иных лиц автобусами") (с изм. и доп., вступ. в силу с 01.03.2022);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01.10.2020 № 1586 «Об утверждении Правил перевозок пассажиров и багажа автомобильным транспортом и городским наземным электрическим транспортом»;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приказ Минтранса России от 30.04.2021 № 145 «Об утверждении Правил обеспечения безопасности перевозок автомобильным транспортом и городским наземным электрическим транспортом»;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приказ Минтранса России от 16.10.2020 № 424 «Об утверждении Особенностей режима рабочего времени и времени отдыха, условий труда водителей автомобилей»;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приказ Минтранса России от 31.07.2020 № 282 «Об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Правила дорожного движения Российской Федерации, утвержденные постановлением Совета Министров - Правительством Российской Федерации от 23.10.1993 № 1090;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08.10.2020 № 1640 «Об утверждении требований по обеспечению транспортной безопасности, учитывающих уровни безопасности для транспортных средств автомобильного транспорта и городского наземного электрического транспорта»;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Национальный стандарт Российской Федерации ГОСТ Р 51090-2017 «Средства общественного пассажирского транспорта. Общие технические требования доступности и безопасности для инвалидов»;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Приказ Минтранса России от 20.09.2021 № 321 «Об утверждении Порядка 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транспорта, а также оказания им при этом необходимой помощи»;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распоряжение Минтранса России от 31.01.2017 № НА-19-р «Об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РФ от 3 декабря 2020 г. N 1998 "О категориях оснащаемых тахографами транспортных средств, осуществляющих регулярные перевозки пассажиров, а также видах сообщения, в которых осуществляются такие перевозки транспортными средствами указанных категорий" (с изменениями и дополнениями от 31.03.2022 г.)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887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9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2"/>
        <w:spacing w:lineRule="atLeast" w:line="17" w:before="0" w:after="0"/>
        <w:jc w:val="center"/>
        <w:rPr>
          <w:rFonts w:ascii="Times New Roman" w:hAnsi="Times New Roman"/>
          <w:sz w:val="28"/>
          <w:szCs w:val="28"/>
        </w:rPr>
      </w:pPr>
      <w:bookmarkStart w:id="35" w:name="_Toc123112179"/>
      <w:r>
        <w:rPr>
          <w:rFonts w:eastAsia="Tempora LGC Uni"/>
          <w:sz w:val="28"/>
          <w:szCs w:val="28"/>
          <w:lang w:val="ru-RU"/>
        </w:rPr>
        <w:t>3</w:t>
      </w:r>
      <w:bookmarkEnd w:id="35"/>
      <w:r>
        <w:rPr>
          <w:rFonts w:eastAsia="Tempora LGC Uni"/>
          <w:sz w:val="28"/>
          <w:szCs w:val="28"/>
          <w:lang w:val="ru-RU"/>
        </w:rPr>
        <w:t>.     Требования к документации по ценообразованию на этапе закупки.</w:t>
      </w:r>
    </w:p>
    <w:p>
      <w:pPr>
        <w:pStyle w:val="Normal"/>
        <w:spacing w:lineRule="atLeast" w:line="17" w:before="0" w:after="0"/>
        <w:jc w:val="both"/>
        <w:rPr>
          <w:rFonts w:ascii="Times New Roman" w:hAnsi="Times New Roman" w:eastAsia="Tempora LGC Uni"/>
          <w:sz w:val="24"/>
          <w:szCs w:val="24"/>
          <w:lang w:val="ru-RU"/>
        </w:rPr>
      </w:pPr>
      <w:r>
        <w:rPr>
          <w:rFonts w:eastAsia="Tempora LGC Uni"/>
          <w:sz w:val="24"/>
          <w:szCs w:val="24"/>
          <w:lang w:val="ru-RU"/>
        </w:rPr>
        <w:t xml:space="preserve">     </w:t>
      </w:r>
      <w:r>
        <w:rPr>
          <w:rFonts w:eastAsia="Tempora LGC Uni"/>
          <w:sz w:val="24"/>
          <w:szCs w:val="24"/>
          <w:lang w:val="ru-RU"/>
        </w:rPr>
        <w:t>3.1. В обоснование стоимости своей заявки Участник предоставляет Коммерческое предложение, по установленным в Документации о закупке формам (с учетом прилагаемых к ним инструкций по заполнению).</w:t>
      </w:r>
    </w:p>
    <w:p>
      <w:pPr>
        <w:pStyle w:val="Normal"/>
        <w:widowControl/>
        <w:suppressAutoHyphens w:val="true"/>
        <w:bidi w:val="0"/>
        <w:spacing w:lineRule="atLeast" w:line="17" w:before="0" w:after="0"/>
        <w:ind w:left="0" w:right="0" w:firstLine="680"/>
        <w:jc w:val="both"/>
        <w:rPr>
          <w:rFonts w:ascii="Times New Roman" w:hAnsi="Times New Roman" w:eastAsia="Tempora LGC Uni"/>
          <w:sz w:val="24"/>
          <w:szCs w:val="24"/>
          <w:lang w:val="ru-RU"/>
        </w:rPr>
      </w:pPr>
      <w:r>
        <w:rPr>
          <w:rFonts w:eastAsia="Tempora LGC Uni"/>
          <w:sz w:val="24"/>
          <w:szCs w:val="24"/>
          <w:lang w:val="ru-RU"/>
        </w:rPr>
        <w:t>3.2.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договора.</w:t>
      </w:r>
    </w:p>
    <w:p>
      <w:pPr>
        <w:pStyle w:val="Normal"/>
        <w:spacing w:lineRule="atLeast" w:line="17" w:before="0" w:after="0"/>
        <w:jc w:val="both"/>
        <w:rPr>
          <w:rFonts w:ascii="Times New Roman" w:hAnsi="Times New Roman" w:eastAsia="Tempora LGC Uni"/>
          <w:sz w:val="24"/>
          <w:szCs w:val="24"/>
          <w:lang w:val="ru-RU"/>
        </w:rPr>
      </w:pPr>
      <w:r>
        <w:rPr>
          <w:rFonts w:eastAsia="Tempora LGC Uni"/>
          <w:sz w:val="24"/>
          <w:szCs w:val="24"/>
          <w:lang w:val="ru-RU"/>
        </w:rPr>
      </w:r>
    </w:p>
    <w:p>
      <w:pPr>
        <w:pStyle w:val="Normal"/>
        <w:spacing w:lineRule="atLeast" w:line="17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empora LGC Uni"/>
          <w:sz w:val="24"/>
          <w:szCs w:val="24"/>
          <w:lang w:val="ru-RU"/>
        </w:rPr>
        <w:t xml:space="preserve">   </w:t>
      </w:r>
      <w:r>
        <w:rPr>
          <w:rFonts w:eastAsia="Tempora LGC Uni"/>
          <w:b/>
          <w:bCs/>
          <w:sz w:val="28"/>
          <w:szCs w:val="28"/>
          <w:lang w:val="ru-RU"/>
        </w:rPr>
        <w:t xml:space="preserve"> </w:t>
      </w:r>
      <w:r>
        <w:rPr>
          <w:rFonts w:eastAsia="Tempora LGC Uni"/>
          <w:b/>
          <w:bCs/>
          <w:sz w:val="28"/>
          <w:szCs w:val="28"/>
          <w:lang w:val="ru-RU"/>
        </w:rPr>
        <w:t>4. Требования к документации по ценообразованию на этапе заключения (исполнения) договора.</w:t>
      </w:r>
    </w:p>
    <w:p>
      <w:pPr>
        <w:pStyle w:val="Normal"/>
        <w:spacing w:lineRule="atLeast" w:line="17" w:before="0" w:after="0"/>
        <w:jc w:val="both"/>
        <w:rPr>
          <w:rFonts w:ascii="Times New Roman" w:hAnsi="Times New Roman" w:eastAsia="Tempora LGC Uni"/>
          <w:sz w:val="24"/>
          <w:szCs w:val="24"/>
          <w:lang w:val="ru-RU"/>
        </w:rPr>
      </w:pPr>
      <w:r>
        <w:rPr>
          <w:rFonts w:eastAsia="Tempora LGC Uni"/>
          <w:sz w:val="24"/>
          <w:szCs w:val="24"/>
          <w:lang w:val="ru-RU"/>
        </w:rPr>
        <w:t xml:space="preserve">        </w:t>
      </w:r>
      <w:r>
        <w:rPr>
          <w:rFonts w:eastAsia="Tempora LGC Uni"/>
          <w:sz w:val="24"/>
          <w:szCs w:val="24"/>
          <w:lang w:val="ru-RU"/>
        </w:rPr>
        <w:t>4.1. По результатам настоящей закупки заключается договор с предельной ценой, предложенной Участником закупки, который был признан Победителем, заявка которого соответствовала требованиям ТТ и содержала наиболее низкую цену.</w:t>
      </w:r>
    </w:p>
    <w:p>
      <w:pPr>
        <w:pStyle w:val="Heading2"/>
        <w:spacing w:lineRule="atLeast" w:line="17" w:before="0" w:after="0"/>
        <w:jc w:val="center"/>
        <w:rPr>
          <w:b/>
          <w:bCs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false"/>
        <w:i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>
    <w:name w:val="Содержимое врезки"/>
    <w:basedOn w:val="Normal"/>
    <w:qFormat/>
    <w:pPr/>
    <w:rPr/>
  </w:style>
  <w:style w:type="paragraph" w:styleId="Style33">
    <w:name w:val="Содержимое таблицы"/>
    <w:basedOn w:val="Normal"/>
    <w:qFormat/>
    <w:pPr>
      <w:widowControl w:val="false"/>
      <w:suppressLineNumbers/>
    </w:pPr>
    <w:rPr/>
  </w:style>
  <w:style w:type="paragraph" w:styleId="Style34">
    <w:name w:val="Заголовок таблицы"/>
    <w:basedOn w:val="Style3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D8BB-A1FF-4CD5-A115-408287A5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Application>AlterOffice/3.4.0.9$Linux_X86_64 LibreOffice_project/b8daf9e823b1a5463a2f48435ddc2e8696e7d4fc</Application>
  <AppVersion>15.0000</AppVersion>
  <Pages>13</Pages>
  <Words>2944</Words>
  <Characters>21330</Characters>
  <CharactersWithSpaces>23970</CharactersWithSpaces>
  <Paragraphs>354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2023-10-02T03:41:00Z</dcterms:created>
  <dc:creator>Быстров Олег Геннадьевич</dc:creator>
  <dc:description/>
  <dc:language>ru-RU</dc:language>
  <cp:lastModifiedBy>streletsva@corp.gidroogk.com</cp:lastModifiedBy>
  <cp:lastPrinted>2006-07-26T14:04:00Z</cp:lastPrinted>
  <dcterms:modified xsi:type="dcterms:W3CDTF">2026-10-21T15:33:32Z</dcterms:modified>
  <cp:revision>103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