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overflowPunct w:val="true"/>
        <w:ind w:hanging="141" w:left="5670" w:righ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УТВЕРЖДАЮ</w:t>
      </w:r>
    </w:p>
    <w:p>
      <w:pPr>
        <w:pStyle w:val="Normal"/>
        <w:keepNext w:val="true"/>
        <w:keepLines/>
        <w:overflowPunct w:val="true"/>
        <w:ind w:hanging="141" w:left="5670" w:righ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Первый заместитель директора-</w:t>
      </w:r>
    </w:p>
    <w:p>
      <w:pPr>
        <w:pStyle w:val="Normal"/>
        <w:keepNext w:val="true"/>
        <w:keepLines/>
        <w:overflowPunct w:val="true"/>
        <w:ind w:hanging="141" w:left="5670" w:righ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Главный инженер</w:t>
      </w:r>
    </w:p>
    <w:p>
      <w:pPr>
        <w:pStyle w:val="Normal"/>
        <w:keepNext w:val="true"/>
        <w:keepLines/>
        <w:overflowPunct w:val="true"/>
        <w:ind w:hanging="0" w:left="5529" w:righ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Филиала ПАО «РусГидро» - «Жигулевская ГЭС» </w:t>
      </w:r>
    </w:p>
    <w:p>
      <w:pPr>
        <w:pStyle w:val="Normal"/>
        <w:keepNext w:val="true"/>
        <w:keepLines/>
        <w:overflowPunct w:val="true"/>
        <w:ind w:hanging="141" w:left="5670" w:righ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 А.И. Богданов</w:t>
      </w:r>
    </w:p>
    <w:p>
      <w:pPr>
        <w:pStyle w:val="Normal"/>
        <w:keepNext w:val="true"/>
        <w:keepLines/>
        <w:overflowPunct w:val="true"/>
        <w:ind w:hanging="141" w:left="5670" w:right="0"/>
        <w:rPr/>
      </w:pPr>
      <w:r>
        <w:rPr>
          <w:color w:val="000000"/>
          <w:sz w:val="26"/>
          <w:szCs w:val="26"/>
        </w:rPr>
        <w:t>«___»________________2026 г.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8"/>
          <w:szCs w:val="28"/>
        </w:rPr>
        <w:t xml:space="preserve">ОКПД2 </w:t>
      </w:r>
      <w:r>
        <w:rPr>
          <w:rFonts w:eastAsia="Calibri"/>
          <w:b/>
          <w:bCs/>
          <w:i w:val="false"/>
          <w:caps w:val="false"/>
          <w:smallCaps w:val="false"/>
          <w:color w:val="333333"/>
          <w:spacing w:val="0"/>
          <w:sz w:val="28"/>
          <w:szCs w:val="28"/>
        </w:rPr>
        <w:t>13.94.12.110</w:t>
      </w: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Поставка сетей маскировочных</w:t>
      </w:r>
      <w:r>
        <w:rPr>
          <w:rFonts w:eastAsia="Calibri"/>
          <w:b/>
          <w:sz w:val="26"/>
          <w:szCs w:val="26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75446567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75446568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75446569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 xml:space="preserve">Цель использования закупаемой продукции 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75446570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 xml:space="preserve">Существующее положение 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r>
            <w:rPr>
              <w:rFonts w:eastAsia="" w:cs="" w:cstheme="minorBidi" w:eastAsiaTheme="minorEastAsia" w:ascii="Calibri" w:hAnsi="Calibri"/>
              <w:sz w:val="22"/>
              <w:szCs w:val="22"/>
            </w:rPr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3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75446574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поставки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hyperlink w:anchor="_Toc75446575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ind w:hanging="0" w:left="567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vanish w:val="false"/>
                <w:sz w:val="20"/>
                <w:szCs w:val="20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7544657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ind w:hanging="0" w:left="567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vanish w:val="false"/>
                <w:sz w:val="20"/>
                <w:szCs w:val="20"/>
              </w:rPr>
              <w:t>Таблица 2.1 Требования по срокам поставки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75446581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  <w:tab/>
            </w:r>
          </w:hyperlink>
          <w:r>
            <w:rPr>
              <w:rFonts w:eastAsia="" w:cs="" w:cstheme="minorBidi" w:eastAsiaTheme="minorEastAsia"/>
              <w:sz w:val="20"/>
              <w:szCs w:val="20"/>
            </w:rPr>
            <w:t>5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ind w:hanging="0" w:left="567"/>
            <w:rPr>
              <w:b w:val="false"/>
            </w:rPr>
          </w:pPr>
          <w:hyperlink w:anchor="_Toc75446582">
            <w:r>
              <w:rPr>
                <w:webHidden/>
                <w:rStyle w:val="Style14"/>
                <w:b w:val="false"/>
                <w:vanish w:val="false"/>
                <w:sz w:val="20"/>
                <w:szCs w:val="20"/>
              </w:rPr>
              <w:t>Таблица 3 Требования к продукции</w:t>
              <w:tab/>
            </w:r>
          </w:hyperlink>
          <w:r>
            <w:rPr>
              <w:b w:val="false"/>
              <w:vanish w:val="false"/>
              <w:sz w:val="20"/>
              <w:szCs w:val="20"/>
            </w:rPr>
            <w:t>5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rPr/>
            <w:t>3</w:t>
          </w:r>
          <w:hyperlink w:anchor="_Toc75446585">
            <w:r>
              <w:rPr>
                <w:webHidden/>
                <w:rStyle w:val="Style14"/>
                <w:vanish w:val="false"/>
              </w:rPr>
              <w:t>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  <w:bCs w:val="false"/>
              </w:rPr>
              <w:t>Приложения</w:t>
            </w:r>
            <w:r>
              <w:rPr>
                <w:rStyle w:val="Style14"/>
              </w:rPr>
              <w:tab/>
            </w:r>
          </w:hyperlink>
          <w:r>
            <w:rPr/>
            <w:t>6</w:t>
          </w:r>
        </w:p>
        <w:p>
          <w:pPr>
            <w:pStyle w:val="Normal"/>
            <w:ind w:hanging="0" w:left="567"/>
            <w:rPr>
              <w:sz w:val="12"/>
              <w:szCs w:val="12"/>
            </w:rPr>
          </w:pPr>
          <w:r>
            <w:rPr>
              <w:sz w:val="12"/>
              <w:szCs w:val="12"/>
            </w:rPr>
          </w:r>
        </w:p>
        <w:p>
          <w:pPr>
            <w:pStyle w:val="Normal"/>
            <w:ind w:hanging="0" w:left="567"/>
            <w:rPr>
              <w:rFonts w:eastAsia="" w:eastAsiaTheme="minorEastAsia"/>
            </w:rPr>
          </w:pPr>
          <w:r>
            <w:rPr>
              <w:rFonts w:eastAsia="Calibri" w:cs="Calibri Light (Заголовки)"/>
              <w:b/>
              <w:sz w:val="24"/>
              <w:szCs w:val="24"/>
            </w:rPr>
            <w:t>Приложение к ТТ.</w:t>
          </w:r>
          <w:r>
            <w:rPr>
              <w:rFonts w:eastAsia="" w:eastAsiaTheme="minorEastAsia"/>
            </w:rPr>
            <w:t xml:space="preserve"> </w:t>
          </w:r>
          <w:r>
            <w:rPr>
              <w:rFonts w:eastAsia="" w:eastAsiaTheme="minorEastAsia"/>
              <w:b/>
              <w:sz w:val="24"/>
              <w:szCs w:val="24"/>
            </w:rPr>
            <w:t>Форма спецификации………………………...…………………………7</w:t>
          </w:r>
          <w:r>
            <w:rPr>
              <w:sz w:val="24"/>
              <w:b/>
              <w:szCs w:val="24"/>
              <w:rFonts w:eastAsia="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 w:right="0"/>
        <w:rPr>
          <w:rFonts w:eastAsia="Times New Roman" w:cs="Calibri Light" w:cstheme="majorHAnsi"/>
          <w:b w:val="false"/>
          <w:i/>
          <w:i/>
          <w:lang w:val="ru-RU" w:eastAsia="ru-RU"/>
        </w:rPr>
      </w:pPr>
      <w:r>
        <w:rPr>
          <w:rFonts w:eastAsia="Times New Roman" w:cs="Calibri Light" w:cstheme="majorHAnsi"/>
          <w:b w:val="false"/>
          <w:i/>
          <w:lang w:val="ru-RU" w:eastAsia="ru-RU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caps/>
          <w:lang w:val="ru-RU"/>
        </w:rPr>
      </w:pPr>
      <w:bookmarkStart w:id="0" w:name="_Toc7544656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i/>
                <w:i/>
              </w:rPr>
            </w:pPr>
            <w:r>
              <w:rPr>
                <w:i/>
                <w:sz w:val="24"/>
                <w:szCs w:val="24"/>
              </w:rPr>
              <w:t>БПЛА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sz w:val="24"/>
                <w:szCs w:val="24"/>
              </w:rPr>
              <w:t>Беспилотный летательный аппарат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i/>
                <w:i/>
              </w:rPr>
            </w:pPr>
            <w:r>
              <w:rPr>
                <w:i/>
                <w:sz w:val="24"/>
                <w:szCs w:val="24"/>
              </w:rPr>
              <w:t>АТЗ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sz w:val="24"/>
                <w:szCs w:val="24"/>
              </w:rPr>
              <w:t>Антитеррористическая защищенность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1428" w:leader="none"/>
              </w:tabs>
              <w:spacing w:before="120" w:after="120"/>
              <w:jc w:val="center"/>
              <w:rPr>
                <w:i/>
                <w:i/>
              </w:rPr>
            </w:pPr>
            <w:r>
              <w:rPr>
                <w:i/>
                <w:sz w:val="24"/>
                <w:szCs w:val="24"/>
              </w:rPr>
              <w:t>ТЭК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sz w:val="24"/>
                <w:szCs w:val="24"/>
              </w:rPr>
              <w:t>Топливно – энергетический комплекс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1428" w:leader="none"/>
              </w:tabs>
              <w:spacing w:before="120" w:after="1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АНВ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незаконного вмешательства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1428" w:leader="none"/>
              </w:tabs>
              <w:spacing w:before="120" w:after="1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 ПАО «РусГидро» - «Жигулевская ГЭС»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Normal"/>
        <w:keepNext w:val="true"/>
        <w:keepLines/>
        <w:jc w:val="left"/>
        <w:rPr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  <w:tab/>
        <w:t xml:space="preserve">ОКПД2 13.94.12.110 </w:t>
      </w:r>
      <w:r>
        <w:rPr>
          <w:rFonts w:eastAsia="Calibri"/>
          <w:b w:val="false"/>
          <w:bCs w:val="false"/>
          <w:sz w:val="24"/>
          <w:szCs w:val="24"/>
        </w:rPr>
        <w:t>Поставка с</w:t>
      </w:r>
      <w:r>
        <w:rPr>
          <w:rFonts w:eastAsia="Calibri"/>
          <w:b w:val="false"/>
          <w:bCs w:val="false"/>
          <w:sz w:val="24"/>
          <w:szCs w:val="24"/>
        </w:rPr>
        <w:t>ет</w:t>
      </w:r>
      <w:r>
        <w:rPr>
          <w:rFonts w:eastAsia="Calibri"/>
          <w:b w:val="false"/>
          <w:bCs w:val="false"/>
          <w:sz w:val="24"/>
          <w:szCs w:val="24"/>
        </w:rPr>
        <w:t>ей</w:t>
      </w:r>
      <w:r>
        <w:rPr>
          <w:rFonts w:eastAsia="Calibri"/>
          <w:b w:val="false"/>
          <w:bCs w:val="false"/>
          <w:sz w:val="24"/>
          <w:szCs w:val="24"/>
        </w:rPr>
        <w:t xml:space="preserve"> маскировочны</w:t>
      </w:r>
      <w:r>
        <w:rPr>
          <w:rFonts w:eastAsia="Calibri"/>
          <w:b w:val="false"/>
          <w:bCs w:val="false"/>
          <w:sz w:val="24"/>
          <w:szCs w:val="24"/>
        </w:rPr>
        <w:t>х</w:t>
      </w:r>
      <w:r>
        <w:rPr>
          <w:rFonts w:eastAsia="Calibri"/>
          <w:b w:val="false"/>
          <w:bCs w:val="false"/>
          <w:sz w:val="24"/>
          <w:szCs w:val="24"/>
        </w:rPr>
        <w:t xml:space="preserve">. 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 w:right="0"/>
        <w:rPr/>
      </w:pPr>
      <w:r>
        <w:rPr/>
        <w:t>Ц</w:t>
      </w:r>
      <w:bookmarkStart w:id="6" w:name="_Toc75446569"/>
      <w:bookmarkStart w:id="7" w:name="_Toc46743507"/>
      <w:r>
        <w:rPr/>
        <w:t xml:space="preserve">ель, задачи </w:t>
      </w:r>
      <w:bookmarkEnd w:id="7"/>
      <w:r>
        <w:rPr>
          <w:lang w:val="ru-RU"/>
        </w:rPr>
        <w:t>использования закупаемой продукции</w:t>
      </w:r>
      <w:bookmarkEnd w:id="6"/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  <w:lang w:eastAsia="ru-RU"/>
        </w:rPr>
        <w:t>Реализация</w:t>
      </w:r>
      <w:r>
        <w:rPr>
          <w:sz w:val="24"/>
          <w:szCs w:val="24"/>
        </w:rPr>
        <w:t xml:space="preserve"> мер защиты Филиала от АНВ с использованием БПЛА.</w:t>
      </w:r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rFonts w:eastAsia="Times New Roman"/>
          <w:b w:val="false"/>
          <w:sz w:val="24"/>
          <w:szCs w:val="24"/>
          <w:lang w:val="ru-RU" w:eastAsia="ru-RU"/>
        </w:rPr>
        <w:t>Маскировочные сети как средства пассивной маскировки, которые помогают скрыть объекты, технику или личный состав от визуального наблюдения, разведки и тд. </w:t>
      </w:r>
      <w:r>
        <w:rPr>
          <w:rStyle w:val="Strong"/>
          <w:rFonts w:eastAsia="Times New Roman"/>
          <w:b w:val="false"/>
          <w:bCs w:val="false"/>
          <w:sz w:val="24"/>
          <w:szCs w:val="24"/>
          <w:lang w:val="ru-RU" w:eastAsia="ru-RU"/>
        </w:rPr>
        <w:t>С</w:t>
      </w:r>
      <w:r>
        <w:rPr>
          <w:rFonts w:eastAsia="Times New Roman"/>
          <w:b w:val="false"/>
          <w:sz w:val="24"/>
          <w:szCs w:val="24"/>
          <w:lang w:val="ru-RU" w:eastAsia="ru-RU"/>
        </w:rPr>
        <w:t>нижение заметности в ИК/РЛ-диапазонах, защита от ультрафиолета. Задача «</w:t>
      </w:r>
      <w:r>
        <w:rPr>
          <w:rFonts w:eastAsia="Times New Roman"/>
          <w:b w:val="false"/>
          <w:sz w:val="24"/>
          <w:szCs w:val="24"/>
          <w:lang w:val="ru-RU" w:eastAsia="ru-RU"/>
        </w:rPr>
        <w:t>ск</w:t>
      </w:r>
      <w:r>
        <w:rPr>
          <w:rFonts w:eastAsia="Times New Roman"/>
          <w:b w:val="false"/>
          <w:sz w:val="24"/>
          <w:szCs w:val="24"/>
          <w:lang w:val="ru-RU" w:eastAsia="ru-RU"/>
        </w:rPr>
        <w:t xml:space="preserve">рыть» объект, </w:t>
      </w:r>
      <w:r>
        <w:rPr>
          <w:rFonts w:eastAsia="Times New Roman"/>
          <w:b w:val="false"/>
          <w:sz w:val="24"/>
          <w:szCs w:val="24"/>
          <w:lang w:val="ru-RU" w:eastAsia="ru-RU"/>
        </w:rPr>
        <w:t xml:space="preserve">исказить </w:t>
      </w:r>
      <w:r>
        <w:rPr>
          <w:rStyle w:val="Strong"/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силуэт, убрать блики, снизить контраст и слиться с фоном. </w:t>
      </w:r>
    </w:p>
    <w:p>
      <w:pPr>
        <w:pStyle w:val="Heading1"/>
        <w:keepLines/>
        <w:numPr>
          <w:ilvl w:val="0"/>
          <w:numId w:val="0"/>
        </w:numPr>
        <w:ind w:hanging="0" w:left="357" w:right="0"/>
        <w:jc w:val="center"/>
        <w:rPr>
          <w:iCs/>
          <w:caps/>
          <w:lang w:val="ru-RU"/>
        </w:rPr>
      </w:pPr>
      <w:bookmarkStart w:id="8" w:name="_Hlk48209761_Копия_1"/>
      <w:bookmarkStart w:id="9" w:name="_Toc50125126"/>
      <w:bookmarkEnd w:id="8"/>
      <w:bookmarkEnd w:id="9"/>
      <w:r>
        <w:rPr>
          <w:iCs/>
        </w:rPr>
        <w:t>2.</w:t>
      </w:r>
      <w:bookmarkStart w:id="10" w:name="_Toc75446573"/>
      <w:bookmarkStart w:id="11" w:name="_Toc51339693"/>
      <w:r>
        <w:rPr>
          <w:iCs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9"/>
        </w:numPr>
        <w:ind w:hanging="360" w:left="1080" w:right="0"/>
        <w:rPr/>
      </w:pPr>
      <w:bookmarkStart w:id="1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>
      <w:pPr>
        <w:pStyle w:val="Heading3"/>
        <w:numPr>
          <w:ilvl w:val="2"/>
          <w:numId w:val="9"/>
        </w:numPr>
        <w:ind w:hanging="720" w:left="1418" w:right="0"/>
        <w:rPr/>
      </w:pPr>
      <w:bookmarkStart w:id="13" w:name="_Toc75446575"/>
      <w:r>
        <w:rPr>
          <w:lang w:val="ru-RU"/>
        </w:rPr>
        <w:t>Перечень и объем закупаемой продукции</w:t>
      </w:r>
      <w:bookmarkEnd w:id="1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  <w:lang w:val="ru-RU"/>
        </w:rPr>
      </w:pPr>
      <w:bookmarkStart w:id="14" w:name="_Toc75446576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9863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5"/>
        <w:gridCol w:w="6141"/>
        <w:gridCol w:w="1426"/>
        <w:gridCol w:w="1460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43" w:hRule="atLeast"/>
        </w:trPr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</w:rPr>
              <w:t>Сеть маскировочная, 3*6 м, с затенением 80 %, цвет светло-серый, темно-серый («Асфальт»)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шт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343" w:hRule="atLeast"/>
        </w:trPr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</w:rPr>
              <w:t>Сеть маскировочная, 3*6 м, с затенением 80 %, цвет светло-зеленый, темно-зеленый («Лес»)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шт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>
      <w:pPr>
        <w:pStyle w:val="Heading3"/>
        <w:numPr>
          <w:ilvl w:val="2"/>
          <w:numId w:val="9"/>
        </w:numPr>
        <w:ind w:hanging="720" w:left="1418" w:right="0"/>
        <w:rPr>
          <w:lang w:val="ru-RU"/>
        </w:rPr>
      </w:pPr>
      <w:bookmarkStart w:id="16" w:name="_Toc75446578"/>
      <w:bookmarkStart w:id="17" w:name="_Toc51339696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>к срокам поставки продукции и оказания сопутствующих услуг</w:t>
      </w:r>
      <w:bookmarkEnd w:id="16"/>
    </w:p>
    <w:p>
      <w:pPr>
        <w:pStyle w:val="Normal"/>
        <w:rPr>
          <w:sz w:val="24"/>
          <w:szCs w:val="24"/>
          <w:lang w:val="en-US" w:eastAsia="x-none"/>
        </w:rPr>
      </w:pPr>
      <w:r>
        <w:rPr>
          <w:sz w:val="24"/>
          <w:szCs w:val="24"/>
          <w:lang w:val="en-US" w:eastAsia="x-none"/>
        </w:rPr>
        <w:t>Поставка товара осуществляется одной партией.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  <w:lang w:val="ru-RU"/>
        </w:rPr>
      </w:pPr>
      <w:bookmarkStart w:id="18" w:name="_Toc75446579"/>
      <w:bookmarkStart w:id="19" w:name="_Toc51339697"/>
      <w:bookmarkStart w:id="20" w:name="_Toc50125127"/>
      <w:bookmarkStart w:id="21" w:name="_Toc50125126_Копия_1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3070"/>
        <w:gridCol w:w="245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3" w:name="_Toc46743510"/>
            <w:r>
              <w:rPr>
                <w:b/>
                <w:sz w:val="24"/>
                <w:szCs w:val="24"/>
              </w:rPr>
              <w:t>4</w:t>
            </w:r>
            <w:bookmarkEnd w:id="23"/>
          </w:p>
        </w:tc>
      </w:tr>
      <w:tr>
        <w:trPr/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</w:rPr>
              <w:t>Сеть маскировочная, 3*6 м, с затенением 80 %, цвет светло-серый, темно-серый («Асфальт»)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(тридцать) календарных дней</w:t>
            </w:r>
          </w:p>
        </w:tc>
      </w:tr>
      <w:tr>
        <w:trPr/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</w:rPr>
              <w:t>Сеть маскировочная, 3*6 м, с затенением 80 %, цвет светло-зеленый, темно-зеленый («Лес»)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(тридцать) календарных дней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start="1"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9"/>
        </w:numPr>
        <w:ind w:hanging="360" w:left="1080" w:right="0"/>
        <w:rPr/>
      </w:pPr>
      <w:bookmarkStart w:id="24" w:name="_Toc51339698"/>
      <w:bookmarkStart w:id="25" w:name="_Toc75446581"/>
      <w:bookmarkStart w:id="26" w:name="_Toc46743511"/>
      <w:r>
        <w:rPr/>
        <w:t xml:space="preserve">Требования к </w:t>
      </w:r>
      <w:bookmarkEnd w:id="26"/>
      <w:r>
        <w:rPr>
          <w:lang w:val="ru-RU"/>
        </w:rPr>
        <w:t>качеству продукции</w:t>
      </w:r>
      <w:bookmarkEnd w:id="25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</w:t>
      </w:r>
      <w:bookmarkStart w:id="27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4"/>
    </w:p>
    <w:p>
      <w:pPr>
        <w:pStyle w:val="Normal"/>
        <w:rPr>
          <w:rStyle w:val="Style8"/>
          <w:b w:val="false"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продукции: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Сети маскировочные </w:t>
      </w:r>
      <w:r>
        <w:rPr>
          <w:rStyle w:val="Style8"/>
          <w:rFonts w:eastAsia="Calibri"/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</w:t>
      </w:r>
    </w:p>
    <w:p>
      <w:pPr>
        <w:pStyle w:val="Normal"/>
        <w:rPr>
          <w:b w:val="false"/>
          <w:sz w:val="12"/>
          <w:szCs w:val="12"/>
        </w:rPr>
      </w:pPr>
      <w:r>
        <w:rPr>
          <w:b w:val="false"/>
          <w:sz w:val="12"/>
          <w:szCs w:val="12"/>
        </w:rPr>
      </w:r>
    </w:p>
    <w:tbl>
      <w:tblPr>
        <w:tblStyle w:val="affff5"/>
        <w:tblW w:w="148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4678"/>
        <w:gridCol w:w="9355"/>
      </w:tblGrid>
      <w:tr>
        <w:trPr>
          <w:trHeight w:val="276" w:hRule="atLeast"/>
        </w:trPr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67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93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67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93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9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03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Размер сети 3*6 м, с окантовкой по краям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крепким шнуром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и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петлями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 углах для крепления.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Размер ячеек 50*50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 затенением 80 %.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sz w:val="24"/>
                <w:szCs w:val="24"/>
                <w:highlight w:val="none"/>
                <w:shd w:fill="auto" w:val="clear"/>
                <w:lang w:eastAsia="en-US" w:bidi="ar-SA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Рисунок окраски покрытий – многоцветный несимметричный.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 w:eastAsia="ru-RU"/>
              </w:rPr>
              <w:t xml:space="preserve">Сеть должна выдерживать ветер, дождь, снег, механические нагрузки (например, от движения техники), быть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устойчивой к воздействию влаги (воды), горюче-смазочных материалов (бензин, дизтопливо, масла) и моющих средств.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033" w:type="dxa"/>
            <w:gridSpan w:val="2"/>
            <w:tcBorders/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Основа сети -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капроновая нить толщиной не менее 1,2 мм.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Внешнее покрытие — ткань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оксфорд 210D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 либо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спанбонд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 с УФ-стабилизацией.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Материалы не бликующие, в матовом исполнении, бесшумн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ые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и огнестойк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ие, не выгорающие на солнце. 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Климатическое исполнение поставляемого оборудования</w:t>
            </w:r>
          </w:p>
        </w:tc>
        <w:tc>
          <w:tcPr>
            <w:tcW w:w="9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Рабочая температура: от - 40С </w:t>
            </w:r>
            <w:r>
              <w:rPr>
                <w:rFonts w:eastAsia="Times New Roman" w:cs="Times New Roman"/>
                <w:iCs/>
                <w:spacing w:val="-20"/>
                <w:kern w:val="0"/>
                <w:sz w:val="24"/>
                <w:szCs w:val="24"/>
                <w:lang w:val="ru-RU" w:eastAsia="ru-RU" w:bidi="ar-SA"/>
              </w:rPr>
              <w:t>до  + 50 С.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93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Продукция должна быть доставлена Поставщиком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без сопутствующего груза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 адресу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: Самарская область, г. Жигулевск, Московское шоссе, 2, филиал ПАО «РусГидро» - «Жигулевская ГЭС»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Продукция должна пройти все, предусмотренные законодательством Российской Федерации (и применимым законодательством других государств), процедуры таможенной очистки.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Условия транспортировки</w:t>
            </w:r>
          </w:p>
        </w:tc>
        <w:tc>
          <w:tcPr>
            <w:tcW w:w="9355" w:type="dxa"/>
            <w:tcBorders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 xml:space="preserve">Транспортировка продукции должна выполняться в соответствии с требованиями производителей продукции. 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Погрузка, доставка, разгрузка и перемещение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(в том числе по территории Заказчика) осуществляется подрядчиком. Стоимость погрузки, доставки, разгрузки и перемещения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должна быть включена в стоимость оборудования.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Требования к упаковке</w:t>
            </w:r>
          </w:p>
        </w:tc>
        <w:tc>
          <w:tcPr>
            <w:tcW w:w="9355" w:type="dxa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Упаковка должна исключать возможность механических повреждений и воздействий климатических факторов внешней среды на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 xml:space="preserve">продукцию </w:t>
            </w:r>
            <w:r>
              <w:rPr>
                <w:sz w:val="24"/>
                <w:szCs w:val="24"/>
              </w:rPr>
              <w:t>.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Требования к приемке</w:t>
            </w:r>
          </w:p>
        </w:tc>
        <w:tc>
          <w:tcPr>
            <w:tcW w:w="9355" w:type="dxa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Приемка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 xml:space="preserve">продукции  </w:t>
            </w:r>
            <w:r>
              <w:rPr>
                <w:sz w:val="24"/>
                <w:szCs w:val="24"/>
              </w:rPr>
              <w:t>осуществляется на склад Заказчика при подписании товарной накладной ТОРГ-12.</w:t>
            </w:r>
          </w:p>
        </w:tc>
      </w:tr>
      <w:tr>
        <w:trPr>
          <w:trHeight w:val="427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93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1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Гарантийный срок службы закупаемой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не менее 12 мес. с даты подписания ТОРГ-12.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 течение гарантийного срока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должна надежно и правильно функционировать без осуществления дополнительных затрат или работ со стороны Заказчика. </w:t>
            </w:r>
            <w:r>
              <w:rPr>
                <w:rFonts w:eastAsia="Times New Roman" w:cs="Times New Roman"/>
                <w:color w:val="000000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На протяжении всего гарантийного срока подрядчик обязан обеспечить за счет собственных средств и сил восстановление вышедшей из строя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  <w:r>
              <w:rPr>
                <w:rFonts w:eastAsia="Times New Roman" w:cs="Times New Roman"/>
                <w:color w:val="000000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(в случае, если причина дефекта не связана с неправильной эксплуатацией). </w:t>
            </w:r>
            <w:r>
              <w:rPr>
                <w:rFonts w:eastAsia="Times New Roman" w:cs="Times New Roman"/>
                <w:color w:val="000000"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Гарантийный срок увеличивается на время простоя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  <w:r>
              <w:rPr>
                <w:rFonts w:eastAsia="Times New Roman" w:cs="Times New Roman"/>
                <w:color w:val="000000"/>
                <w:spacing w:val="-8"/>
                <w:kern w:val="0"/>
                <w:sz w:val="24"/>
                <w:szCs w:val="24"/>
                <w:lang w:val="ru-RU" w:eastAsia="ru-RU" w:bidi="ar-SA"/>
              </w:rPr>
              <w:t>, необходимое на устранение гарантийного дефекта.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Документы, передаваемые вместе с 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продукцией</w:t>
            </w:r>
          </w:p>
        </w:tc>
        <w:tc>
          <w:tcPr>
            <w:tcW w:w="9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Поставщик обязан одновременно с передачей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передать Покупателю относящиеся к нему документы: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технические паспорта, руководства по эксплуатации, ремонту, описание, сертификаты соответствия, (предоставляются Заказчику вместе с поставляемой продукцией в электронном виде и на бумажном носителе на русском языке).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- товарную накладную унифицированной формы ТОРГ-12.</w:t>
            </w:r>
          </w:p>
          <w:p>
            <w:pPr>
              <w:pStyle w:val="Normal"/>
              <w:widowControl w:val="false"/>
              <w:jc w:val="left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При некомплектности, недопоставке, отсутствии необходимых принадлежностей или документов, относящихся к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  <w:r>
              <w:rPr>
                <w:rFonts w:eastAsia="Times New Roman" w:cs="Times New Roman"/>
                <w:iCs/>
                <w:color w:val="000000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, Заказчик вправе с одновременным направлением письменного уведомления Поставщику прекратить приемку </w:t>
            </w:r>
            <w:r>
              <w:rPr>
                <w:rFonts w:eastAsia="Times New Roman" w:cs="Times New Roman"/>
                <w:iCs/>
                <w:color w:val="000000"/>
                <w:spacing w:val="-14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  <w:r>
              <w:rPr>
                <w:rFonts w:eastAsia="Times New Roman" w:cs="Times New Roman"/>
                <w:iCs/>
                <w:color w:val="000000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до устранения нарушений. Поставщик обязан в течение 3 (трех) календарных дней с указанной даты представить необходимые комплектующие, документы или принадлежности, что не освобождает Поставщика от ответственности за убытки, причиненные нарушением срока поставки.</w:t>
            </w:r>
          </w:p>
        </w:tc>
      </w:tr>
    </w:tbl>
    <w:p>
      <w:pPr>
        <w:pStyle w:val="Heading1"/>
        <w:numPr>
          <w:ilvl w:val="0"/>
          <w:numId w:val="9"/>
        </w:numPr>
        <w:ind w:hanging="0" w:left="357" w:right="0"/>
        <w:jc w:val="center"/>
        <w:rPr>
          <w:sz w:val="24"/>
          <w:szCs w:val="24"/>
          <w:lang w:val="ru-RU"/>
        </w:rPr>
      </w:pPr>
      <w:bookmarkStart w:id="28" w:name="__RefHeading___Toc172817189"/>
      <w:bookmarkEnd w:id="28"/>
      <w:r>
        <w:rPr>
          <w:sz w:val="24"/>
          <w:szCs w:val="24"/>
          <w:lang w:val="ru-RU"/>
        </w:rPr>
        <w:t>Требования к документации по ценообразованию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120"/>
        <w:ind w:hanging="0" w:left="0" w:right="0"/>
        <w:jc w:val="both"/>
        <w:rPr>
          <w:i w:val="false"/>
          <w:i w:val="false"/>
          <w:iCs w:val="false"/>
        </w:rPr>
      </w:pPr>
      <w:r>
        <w:rPr>
          <w:rFonts w:eastAsia="Calibri"/>
          <w:bCs/>
          <w:i w:val="false"/>
          <w:iCs w:val="false"/>
          <w:sz w:val="24"/>
          <w:szCs w:val="24"/>
          <w:lang w:val="ru-RU" w:eastAsia="x-none"/>
        </w:rPr>
        <w:t>3.1. Вместе с Коммерческим предложением Участник должен предоставить в составе заявки</w:t>
      </w:r>
      <w:r>
        <w:rPr>
          <w:rFonts w:eastAsia="Calibri"/>
          <w:bCs/>
          <w:i w:val="false"/>
          <w:iCs w:val="false"/>
          <w:sz w:val="24"/>
          <w:szCs w:val="24"/>
          <w:lang w:val="ru-RU"/>
        </w:rPr>
        <w:t xml:space="preserve"> спецификацию поставляемой </w:t>
      </w:r>
      <w:r>
        <w:rPr>
          <w:rFonts w:eastAsia="Times New Roman" w:cs="Times New Roman"/>
          <w:bCs/>
          <w:i w:val="false"/>
          <w:iCs/>
          <w:color w:val="000000"/>
          <w:spacing w:val="-14"/>
          <w:kern w:val="0"/>
          <w:sz w:val="24"/>
          <w:szCs w:val="24"/>
          <w:lang w:val="ru-RU" w:eastAsia="ru-RU" w:bidi="ar-SA"/>
        </w:rPr>
        <w:t>продукции</w:t>
      </w:r>
      <w:r>
        <w:rPr>
          <w:rFonts w:eastAsia="Calibri"/>
          <w:bCs/>
          <w:i w:val="false"/>
          <w:iCs w:val="false"/>
          <w:sz w:val="24"/>
          <w:szCs w:val="24"/>
          <w:lang w:val="ru-RU"/>
        </w:rPr>
        <w:t xml:space="preserve"> по форме, приведенной в Приложении № 1 к настоящим ТТ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</w:p>
    <w:p>
      <w:pPr>
        <w:pStyle w:val="Heading1"/>
        <w:numPr>
          <w:ilvl w:val="0"/>
          <w:numId w:val="9"/>
        </w:numPr>
        <w:ind w:hanging="357" w:left="357" w:right="0"/>
        <w:jc w:val="center"/>
        <w:rPr/>
      </w:pPr>
      <w:r>
        <w:rPr>
          <w:sz w:val="24"/>
          <w:szCs w:val="24"/>
          <w:lang w:val="ru-RU"/>
        </w:rPr>
        <w:t>Приложения</w:t>
      </w:r>
    </w:p>
    <w:p>
      <w:pPr>
        <w:pStyle w:val="Normal"/>
        <w:rPr>
          <w:lang w:eastAsia="x-none"/>
        </w:rPr>
      </w:pPr>
      <w:r>
        <w:rPr>
          <w:bCs/>
          <w:iCs/>
          <w:sz w:val="24"/>
          <w:szCs w:val="24"/>
        </w:rPr>
        <w:t xml:space="preserve">Приложение: </w:t>
      </w:r>
      <w:bookmarkStart w:id="29" w:name="_Hlk87532473"/>
      <w:r>
        <w:rPr>
          <w:bCs/>
          <w:iCs/>
          <w:sz w:val="24"/>
          <w:szCs w:val="24"/>
        </w:rPr>
        <w:t>Форма спецификации к поставляемому оборудованию</w:t>
      </w:r>
      <w:bookmarkEnd w:id="29"/>
      <w:r>
        <w:rPr>
          <w:bCs/>
          <w:iCs/>
          <w:sz w:val="24"/>
          <w:szCs w:val="24"/>
        </w:rPr>
        <w:t>.</w:t>
      </w:r>
    </w:p>
    <w:p>
      <w:pPr>
        <w:pStyle w:val="Normal"/>
        <w:spacing w:before="0" w:after="120"/>
        <w:jc w:val="right"/>
        <w:rPr>
          <w:rFonts w:eastAsia="Calibri"/>
          <w:sz w:val="24"/>
          <w:szCs w:val="24"/>
        </w:rPr>
      </w:pPr>
      <w:r>
        <w:rPr/>
      </w:r>
    </w:p>
    <w:p>
      <w:pPr>
        <w:pStyle w:val="Normal"/>
        <w:spacing w:before="0"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Приложение к Техническим требованиям</w:t>
      </w:r>
    </w:p>
    <w:p>
      <w:pPr>
        <w:pStyle w:val="Normal"/>
        <w:spacing w:before="240" w:after="120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</w:r>
    </w:p>
    <w:p>
      <w:pPr>
        <w:pStyle w:val="Normal"/>
        <w:keepNext w:val="true"/>
        <w:keepLines/>
        <w:spacing w:before="0" w:after="120"/>
        <w:jc w:val="center"/>
        <w:rPr>
          <w:sz w:val="24"/>
          <w:szCs w:val="24"/>
        </w:rPr>
      </w:pPr>
      <w:bookmarkStart w:id="30" w:name="_Hlk48224758"/>
      <w:bookmarkStart w:id="31" w:name="_Ref40301253"/>
      <w:r>
        <w:rPr>
          <w:b/>
          <w:bCs/>
          <w:caps/>
          <w:sz w:val="24"/>
          <w:szCs w:val="24"/>
        </w:rPr>
        <w:t>Форма спецификации к поставляемому оборудованию</w:t>
      </w:r>
      <w:bookmarkEnd w:id="30"/>
      <w:bookmarkEnd w:id="31"/>
    </w:p>
    <w:p>
      <w:pPr>
        <w:pStyle w:val="Normal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Поставщик должен предоставить технико-коммерческое предложение, которое включает соответствующую форму:</w:t>
      </w:r>
    </w:p>
    <w:p>
      <w:pPr>
        <w:pStyle w:val="Normal"/>
        <w:jc w:val="both"/>
        <w:rPr>
          <w:sz w:val="10"/>
        </w:rPr>
      </w:pPr>
      <w:r>
        <w:rPr>
          <w:sz w:val="10"/>
        </w:rPr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6"/>
        <w:gridCol w:w="1022"/>
        <w:gridCol w:w="1016"/>
        <w:gridCol w:w="1007"/>
        <w:gridCol w:w="1293"/>
        <w:gridCol w:w="1210"/>
        <w:gridCol w:w="1016"/>
        <w:gridCol w:w="1236"/>
        <w:gridCol w:w="1149"/>
        <w:gridCol w:w="854"/>
        <w:gridCol w:w="1053"/>
        <w:gridCol w:w="915"/>
        <w:gridCol w:w="874"/>
        <w:gridCol w:w="1192"/>
        <w:gridCol w:w="816"/>
      </w:tblGrid>
      <w:tr>
        <w:trPr>
          <w:trHeight w:val="526" w:hRule="atLeast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№ </w:t>
            </w:r>
            <w:r>
              <w:rPr>
                <w:bCs/>
                <w:sz w:val="20"/>
                <w:szCs w:val="20"/>
              </w:rPr>
              <w:t>поз.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Артикул, тип, марка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Завод изготовитель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Страна происхождения Товара</w:t>
            </w:r>
            <w:r>
              <w:rPr>
                <w:rStyle w:val="FootnoteReference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регистрации производителя Товара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Код ОКПД 2 (с наименованием)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lightGray"/>
              </w:rPr>
              <w:t>Порядковый номер(а) реестровой(ых) записи(ей)</w:t>
            </w:r>
            <w:r>
              <w:rPr>
                <w:rStyle w:val="FootnoteReference"/>
                <w:bCs/>
                <w:sz w:val="20"/>
                <w:szCs w:val="20"/>
                <w:highlight w:val="lightGray"/>
              </w:rPr>
              <w:footnoteReference w:id="3"/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Количество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Цена за единицу, руб. без НДС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Цена, руб. без НДС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НДС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(___%) руб.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Стоимость, руб., с НДС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Перечень сопроводительных документов (в том числе подтверждающих качество Товара)</w:t>
            </w:r>
          </w:p>
        </w:tc>
      </w:tr>
      <w:tr>
        <w:trPr>
          <w:trHeight w:val="538" w:hRule="atLeast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</w:r>
          </w:p>
        </w:tc>
      </w:tr>
    </w:tbl>
    <w:p>
      <w:pPr>
        <w:pStyle w:val="Normal"/>
        <w:spacing w:before="0" w:after="240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spacing w:before="0" w:after="240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Примечание</w:t>
      </w:r>
      <w:r>
        <w:rPr>
          <w:sz w:val="22"/>
          <w:szCs w:val="22"/>
        </w:rPr>
        <w:t>: в случае закупки оборудования (материалов) комплектом, в спецификации 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В случае включения в спецификацию стоимости за единицу оборудования, МТР с учетом доставки, указать данное условие</w:t>
      </w:r>
    </w:p>
    <w:sectPr>
      <w:headerReference w:type="default" r:id="rId5"/>
      <w:headerReference w:type="first" r:id="rId6"/>
      <w:footnotePr>
        <w:numFmt w:val="decimal"/>
      </w:footnotePr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В соответствии с Общероссийским классификатором стран мира (утв. Постановлением Госстандарта России от 14.12.2001 N 529-ст.).</w:t>
      </w:r>
    </w:p>
  </w:footnote>
  <w:footnote w:id="3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>
          <w:highlight w:val="lightGray"/>
        </w:rPr>
        <w:t xml:space="preserve"> </w:t>
      </w:r>
      <w:r>
        <w:rPr>
          <w:highlight w:val="lightGray"/>
        </w:rPr>
        <w:t>Порядковый номер (номера) реестровой записи (реестровых записей), под которой (которыми) Товар включен в реестры, предусмотренные пунктом 2 Постановления Правительства РФ от 03.12.2020 № 2013</w:t>
      </w:r>
      <w:r>
        <w:rPr>
          <w:rFonts w:eastAsia="Calibri"/>
          <w:highlight w:val="lightGray"/>
          <w:lang w:eastAsia="en-US"/>
        </w:rPr>
        <w:t xml:space="preserve"> «О минимальной доле закупок товаров российского происхождения»</w:t>
      </w:r>
      <w:r>
        <w:rPr>
          <w:rFonts w:eastAsia="Calibri"/>
          <w:lang w:eastAsia="en-US"/>
        </w:rPr>
        <w:t>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6229561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5631005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ind w:firstLine="454" w:left="0" w:righ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A11yhidden" w:customStyle="1">
    <w:name w:val="a11yhidden"/>
    <w:basedOn w:val="DefaultParagraphFont"/>
    <w:qFormat/>
    <w:rsid w:val="00f32fda"/>
    <w:rPr/>
  </w:style>
  <w:style w:type="character" w:styleId="Organictitlecontentspan" w:customStyle="1">
    <w:name w:val="organictitlecontentspan"/>
    <w:basedOn w:val="DefaultParagraphFont"/>
    <w:qFormat/>
    <w:rsid w:val="00f32fda"/>
    <w:rPr/>
  </w:style>
  <w:style w:type="character" w:styleId="Style14" w:customStyle="1">
    <w:name w:val="Ссылка указателя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10f8c"/>
    <w:pPr>
      <w:tabs>
        <w:tab w:val="clear" w:pos="708"/>
        <w:tab w:val="left" w:pos="1120" w:leader="none"/>
        <w:tab w:val="right" w:pos="9911" w:leader="dot"/>
      </w:tabs>
      <w:ind w:hanging="0" w:left="567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headertext"/>
    <w:basedOn w:val="Normal"/>
    <w:qFormat/>
    <w:rsid w:val="002a79f6"/>
    <w:pPr>
      <w:spacing w:beforeAutospacing="1" w:afterAutospacing="1"/>
    </w:pPr>
    <w:rPr>
      <w:sz w:val="24"/>
      <w:szCs w:val="24"/>
    </w:rPr>
  </w:style>
  <w:style w:type="paragraph" w:styleId="110" w:customStyle="1">
    <w:name w:val="Верхний колонтитул1"/>
    <w:basedOn w:val="Normal"/>
    <w:qFormat/>
    <w:rsid w:val="0090730b"/>
    <w:pPr>
      <w:spacing w:beforeAutospacing="1" w:afterAutospacing="1"/>
    </w:pPr>
    <w:rPr>
      <w:sz w:val="24"/>
      <w:szCs w:val="24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05E2D-E098-49A7-A20F-D2A76EA35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Application>AlterOffice/2026.2.0.0$Linux_X86_64 LibreOffice_project/bc4ef1adf80b36c7a6365f8ed6cbf29021361edd</Application>
  <AppVersion>15.0000</AppVersion>
  <Pages>8</Pages>
  <Words>1077</Words>
  <Characters>7393</Characters>
  <CharactersWithSpaces>8309</CharactersWithSpaces>
  <Paragraphs>172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2025-10-09T14:26:00Z</dcterms:created>
  <dc:creator>Быстров Олег Геннадьевич</dc:creator>
  <dc:description/>
  <dc:language>ru-RU</dc:language>
  <cp:lastModifiedBy>brusnikinann@corp.gidroogk.com</cp:lastModifiedBy>
  <cp:lastPrinted>2006-07-26T14:04:00Z</cp:lastPrinted>
  <dcterms:modified xsi:type="dcterms:W3CDTF">2026-10-14T15:16:56Z</dcterms:modified>
  <cp:revision>82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