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упрощенной закупочной процедуры по лоту № ____________ и на основании протокола __________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fals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overflowPunct w:val="false"/>
        <w:ind w:firstLine="709" w:left="0"/>
        <w:jc w:val="both"/>
        <w:textAlignment w:val="baseline"/>
        <w:rPr>
          <w:b/>
          <w:sz w:val="24"/>
          <w:szCs w:val="24"/>
          <w:lang w:eastAsia="en-US"/>
        </w:rPr>
      </w:pPr>
      <w:r>
        <w:rPr>
          <w:b/>
          <w:sz w:val="24"/>
          <w:szCs w:val="24"/>
          <w:lang w:eastAsia="en-US"/>
        </w:rPr>
        <w:t xml:space="preserve">«УПД» (универсальный передаточный документ) — </w:t>
      </w:r>
      <w:r>
        <w:rPr>
          <w:b w:val="false"/>
          <w:bCs w:val="false"/>
          <w:sz w:val="24"/>
          <w:szCs w:val="24"/>
          <w:lang w:eastAsia="en-US"/>
        </w:rPr>
        <w:t>это унифицированная форма первичного документа, которая одновременно выполняет функции счёта-фактуры и товарной накладной (или акта оказанных услуг).</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sz w:val="24"/>
          <w:szCs w:val="24"/>
          <w:lang w:eastAsia="en-US"/>
        </w:rPr>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fals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widowControl w:val="false"/>
        <w:numPr>
          <w:ilvl w:val="1"/>
          <w:numId w:val="2"/>
        </w:numPr>
        <w:shd w:val="clear" w:color="auto" w:fill="FFFFFF"/>
        <w:tabs>
          <w:tab w:val="clear" w:pos="708"/>
          <w:tab w:val="left" w:pos="1134" w:leader="none"/>
        </w:tabs>
        <w:suppressAutoHyphens w:val="true"/>
        <w:bidi w:val="0"/>
        <w:spacing w:before="0" w:after="0"/>
        <w:ind w:firstLine="680" w:left="57" w:right="0"/>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sz w:val="26"/>
          <w:szCs w:val="26"/>
          <w:lang w:eastAsia="en-US"/>
        </w:rPr>
        <w:t xml:space="preserve">тмц </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 «Жигулевская ГЭС»</w:t>
      </w:r>
      <w:r>
        <w:rPr>
          <w:bCs/>
          <w:sz w:val="24"/>
          <w:szCs w:val="24"/>
          <w:highlight w:val="lightGray"/>
        </w:rPr>
        <w:t>.</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Место поставки Товара: филиал ПАО «РусГидро» - «Жигулевская ГЭС», Московское шоссе, д.2, офисные кабинеты г. Жигулевск, Самарская обл., Российская Федерация, 445350 </w:t>
      </w:r>
      <w:r>
        <w:rPr>
          <w:sz w:val="24"/>
          <w:szCs w:val="24"/>
        </w:rPr>
        <w:t xml:space="preserve"> (далее – «Место поставки»).</w:t>
      </w:r>
    </w:p>
    <w:p>
      <w:pPr>
        <w:pStyle w:val="Normal"/>
        <w:numPr>
          <w:ilvl w:val="1"/>
          <w:numId w:val="2"/>
        </w:numPr>
        <w:shd w:val="clear" w:color="auto" w:fill="FFFFFF"/>
        <w:tabs>
          <w:tab w:val="clear" w:pos="708"/>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Начало – С</w:t>
      </w:r>
      <w:r>
        <w:rPr>
          <w:bCs/>
          <w:sz w:val="24"/>
          <w:szCs w:val="24"/>
          <w:lang w:val="en-US"/>
        </w:rPr>
        <w:t xml:space="preserve"> даты</w:t>
      </w:r>
      <w:r>
        <w:rPr>
          <w:bCs/>
          <w:sz w:val="24"/>
          <w:szCs w:val="24"/>
        </w:rPr>
        <w:t xml:space="preserve"> подписания договора,</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Окончание – </w:t>
      </w:r>
      <w:r>
        <w:rPr>
          <w:bCs/>
          <w:sz w:val="24"/>
          <w:szCs w:val="24"/>
          <w:lang w:val="en-US"/>
        </w:rPr>
        <w:t xml:space="preserve">в течение </w:t>
      </w:r>
      <w:r>
        <w:rPr>
          <w:bCs/>
          <w:sz w:val="24"/>
          <w:szCs w:val="24"/>
          <w:lang w:val="en-US"/>
        </w:rPr>
        <w:t>3</w:t>
      </w:r>
      <w:r>
        <w:rPr>
          <w:bCs/>
          <w:sz w:val="24"/>
          <w:szCs w:val="24"/>
          <w:lang w:val="en-US"/>
        </w:rPr>
        <w:t>0 календарных дней с даты подписания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одноэтапная  в соответствии со сроком , указанным в п. 1.4</w:t>
      </w:r>
    </w:p>
    <w:p>
      <w:pPr>
        <w:pStyle w:val="Normal"/>
        <w:shd w:val="clear" w:color="auto" w:fill="FFFFFF"/>
        <w:tabs>
          <w:tab w:val="clear" w:pos="708"/>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является т</w:t>
      </w:r>
      <w:r>
        <w:rPr>
          <w:bCs/>
          <w:sz w:val="24"/>
          <w:szCs w:val="24"/>
          <w:highlight w:val="lightGray"/>
        </w:rPr>
        <w:t>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  </w:t>
      </w: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highlight w:val="lightGray"/>
        </w:rPr>
      </w:pPr>
      <w:r>
        <w:rPr>
          <w:bCs/>
          <w:sz w:val="24"/>
          <w:szCs w:val="24"/>
          <w:highlight w:val="lightGray"/>
        </w:rPr>
        <w:t>производство и / или приобретение Товара;</w:t>
      </w:r>
    </w:p>
    <w:p>
      <w:pPr>
        <w:pStyle w:val="Normal"/>
        <w:numPr>
          <w:ilvl w:val="2"/>
          <w:numId w:val="2"/>
        </w:numPr>
        <w:shd w:val="clear" w:color="auto" w:fill="FFFFFF"/>
        <w:tabs>
          <w:tab w:val="clear" w:pos="708"/>
          <w:tab w:val="left" w:pos="1418" w:leader="none"/>
        </w:tabs>
        <w:ind w:firstLine="709" w:left="0"/>
        <w:jc w:val="both"/>
        <w:rPr/>
      </w:pPr>
      <w:r>
        <w:rPr>
          <w:bCs/>
          <w:sz w:val="24"/>
          <w:szCs w:val="24"/>
          <w:highlight w:val="lightGray"/>
        </w:rPr>
        <w:t xml:space="preserve"> </w:t>
      </w:r>
      <w:r>
        <w:rPr>
          <w:bCs/>
          <w:sz w:val="24"/>
          <w:szCs w:val="24"/>
        </w:rPr>
        <w:t xml:space="preserve">транспортировку Товара до Места поставки, погрузку, разгрузку, </w:t>
      </w:r>
      <w:r>
        <w:rPr>
          <w:bCs/>
          <w:sz w:val="24"/>
          <w:szCs w:val="24"/>
          <w:highlight w:val="lightGray"/>
        </w:rPr>
        <w:t>установку в местах эксплуатации</w:t>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Normal"/>
        <w:shd w:val="clear" w:color="auto" w:fill="FFFFFF"/>
        <w:tabs>
          <w:tab w:val="clear" w:pos="708"/>
          <w:tab w:val="left" w:pos="0" w:leader="none"/>
          <w:tab w:val="left" w:pos="1134" w:leader="none"/>
        </w:tabs>
        <w:jc w:val="both"/>
        <w:rPr>
          <w:sz w:val="24"/>
          <w:szCs w:val="24"/>
        </w:rPr>
      </w:pPr>
      <w:r>
        <w:rPr>
          <w:sz w:val="24"/>
          <w:szCs w:val="24"/>
        </w:rPr>
        <w:t xml:space="preserve">        </w:t>
      </w:r>
      <w:r>
        <w:rPr>
          <w:sz w:val="24"/>
          <w:szCs w:val="24"/>
        </w:rPr>
        <w:t xml:space="preserve">2.4.1 </w:t>
      </w:r>
      <w:r>
        <w:rPr>
          <w:sz w:val="22"/>
          <w:szCs w:val="22"/>
        </w:rPr>
        <w:t>Авансовый платеж в размере 30 % (тридцати процентов) от стоимости товара осуществляется в течение 11 (одиннадцати) рабочих дней с даты подписания договора на основании оригинала/копии счета, выставленного Поставщиком, и с учетом пункта 2.4.3 Договора.</w:t>
      </w:r>
    </w:p>
    <w:p>
      <w:pPr>
        <w:pStyle w:val="Normal"/>
        <w:shd w:val="clear" w:color="auto" w:fill="FFFFFF"/>
        <w:tabs>
          <w:tab w:val="clear" w:pos="708"/>
          <w:tab w:val="left" w:pos="0" w:leader="none"/>
          <w:tab w:val="left" w:pos="1134" w:leader="none"/>
        </w:tabs>
        <w:jc w:val="both"/>
        <w:rPr>
          <w:sz w:val="24"/>
          <w:szCs w:val="24"/>
        </w:rPr>
      </w:pPr>
      <w:r>
        <w:rPr>
          <w:sz w:val="22"/>
          <w:szCs w:val="22"/>
        </w:rPr>
        <w:t xml:space="preserve">                </w:t>
      </w:r>
      <w:r>
        <w:rPr>
          <w:sz w:val="22"/>
          <w:szCs w:val="22"/>
        </w:rPr>
        <w:t>2.4.2. Окончательный платеж в размере 70 % (семидесяти процентов) от стоимости товара в целом по договору выплачивается Поставщику в течение 11 (одиннадцати рабочих дней с даты подписания Сторонами накладной ТОРГ-12, на основании оригинала/копии счета, выставленного Поставщиком, и с учетом пункта 2.4.3 Договора.</w:t>
      </w:r>
    </w:p>
    <w:p>
      <w:pPr>
        <w:pStyle w:val="ListParagraph"/>
        <w:widowControl/>
        <w:shd w:val="clear" w:color="auto" w:fill="FFFFFF"/>
        <w:tabs>
          <w:tab w:val="clear" w:pos="708"/>
          <w:tab w:val="left" w:pos="0" w:leader="none"/>
          <w:tab w:val="left" w:pos="1418" w:leader="none"/>
        </w:tabs>
        <w:ind w:hanging="0" w:left="0"/>
        <w:jc w:val="both"/>
        <w:rPr>
          <w:sz w:val="24"/>
          <w:szCs w:val="24"/>
        </w:rPr>
      </w:pPr>
      <w:r>
        <w:rPr>
          <w:sz w:val="24"/>
          <w:szCs w:val="24"/>
        </w:rPr>
        <w:t xml:space="preserve">     </w:t>
      </w:r>
      <w:r>
        <w:rPr>
          <w:sz w:val="24"/>
          <w:szCs w:val="24"/>
        </w:rPr>
        <w:t>2.4.3.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8"/>
          <w:tab w:val="left" w:pos="1276" w:leader="none"/>
        </w:tabs>
        <w:suppressAutoHyphens w:val="false"/>
        <w:ind w:firstLine="568"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851" w:leader="none"/>
          <w:tab w:val="left" w:pos="1134" w:leader="none"/>
        </w:tabs>
        <w:ind w:firstLine="567" w:left="0"/>
        <w:jc w:val="both"/>
        <w:rPr>
          <w:sz w:val="24"/>
          <w:szCs w:val="24"/>
        </w:rPr>
      </w:pPr>
      <w:r>
        <w:rPr>
          <w:sz w:val="24"/>
          <w:szCs w:val="24"/>
        </w:rPr>
        <w:t xml:space="preserve">  </w:t>
      </w: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r>
        <w:rPr>
          <w:sz w:val="24"/>
        </w:rPr>
        <w:t xml:space="preserve"> </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Normal"/>
        <w:widowControl/>
        <w:shd w:val="clear" w:color="auto" w:fill="FFFFFF"/>
        <w:tabs>
          <w:tab w:val="clear" w:pos="708"/>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8"/>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8"/>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8"/>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8"/>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 xml:space="preserve">накладная ТОРГ-12 / 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 </w:t>
      </w:r>
      <w:bookmarkStart w:id="0" w:name="_Ref361408232"/>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2"/>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2" w:name="_Ref361396594"/>
      <w:r>
        <w:rPr>
          <w:sz w:val="24"/>
          <w:szCs w:val="24"/>
        </w:rPr>
        <w:t>Датой поставки партии Товара является дата подписания Сторонами накладной ТОРГ-12.</w:t>
      </w:r>
      <w:bookmarkEnd w:id="2"/>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ListParagraph"/>
        <w:shd w:val="clear" w:color="auto" w:fill="FFFFFF"/>
        <w:tabs>
          <w:tab w:val="clear" w:pos="708"/>
          <w:tab w:val="left" w:pos="1418" w:leader="none"/>
        </w:tabs>
        <w:ind w:firstLine="709" w:left="0"/>
        <w:jc w:val="both"/>
        <w:rPr>
          <w:sz w:val="24"/>
          <w:szCs w:val="24"/>
        </w:rPr>
      </w:pPr>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0"/>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Приемка Товара со вскрытием тары и упаковки производится Покупателем в присутствии представителя Поставщика в течение 3</w:t>
      </w:r>
      <w:r>
        <w:rPr>
          <w:sz w:val="24"/>
          <w:szCs w:val="24"/>
          <w:highlight w:val="lightGray"/>
        </w:rPr>
        <w:t xml:space="preserve"> (трех)</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 / УПД.</w:t>
      </w:r>
    </w:p>
    <w:p>
      <w:pPr>
        <w:pStyle w:val="Normal"/>
        <w:numPr>
          <w:ilvl w:val="1"/>
          <w:numId w:val="2"/>
        </w:numPr>
        <w:shd w:val="clear" w:color="auto" w:fill="FFFFFF"/>
        <w:tabs>
          <w:tab w:val="clear" w:pos="708"/>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numPr>
          <w:ilvl w:val="1"/>
          <w:numId w:val="2"/>
        </w:numPr>
        <w:shd w:val="clear" w:color="auto" w:fill="FFFFFF"/>
        <w:tabs>
          <w:tab w:val="clear" w:pos="708"/>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w:t>
      </w:r>
      <w:r>
        <w:rPr>
          <w:sz w:val="24"/>
          <w:szCs w:val="24"/>
          <w:shd w:fill="FFFF00" w:val="clear"/>
        </w:rPr>
        <w:t xml:space="preserve"> </w:t>
      </w:r>
      <w:r>
        <w:rPr>
          <w:sz w:val="24"/>
          <w:szCs w:val="24"/>
        </w:rPr>
        <w:t>3.10,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 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 / 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ListParagraph"/>
        <w:numPr>
          <w:ilvl w:val="1"/>
          <w:numId w:val="10"/>
        </w:numPr>
        <w:shd w:val="clear" w:color="auto" w:fill="FFFFFF"/>
        <w:tabs>
          <w:tab w:val="clear" w:pos="708"/>
          <w:tab w:val="left" w:pos="1134" w:leader="none"/>
        </w:tabs>
        <w:suppressAutoHyphens w:val="false"/>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34" w:leader="none"/>
        </w:tabs>
        <w:ind w:firstLine="709"/>
        <w:jc w:val="both"/>
        <w:rPr>
          <w:sz w:val="24"/>
          <w:szCs w:val="24"/>
        </w:rPr>
      </w:pPr>
      <w:r>
        <w:rPr>
          <w:sz w:val="24"/>
          <w:szCs w:val="24"/>
        </w:rPr>
        <w:t xml:space="preserve"> </w:t>
      </w:r>
    </w:p>
    <w:p>
      <w:pPr>
        <w:pStyle w:val="Normal"/>
        <w:numPr>
          <w:ilvl w:val="0"/>
          <w:numId w:val="2"/>
        </w:numPr>
        <w:shd w:val="clear" w:color="auto" w:fill="FFFFFF"/>
        <w:tabs>
          <w:tab w:val="clear" w:pos="708"/>
          <w:tab w:val="left" w:pos="284" w:leader="none"/>
        </w:tabs>
        <w:ind w:hanging="0" w:left="0"/>
        <w:jc w:val="center"/>
        <w:rPr>
          <w:b/>
          <w:bCs/>
          <w:sz w:val="24"/>
          <w:szCs w:val="24"/>
        </w:rPr>
      </w:pPr>
      <w:r>
        <w:rPr/>
        <w:t xml:space="preserve"> </w:t>
      </w:r>
      <w:r>
        <w:rPr>
          <w:b/>
          <w:bCs/>
          <w:sz w:val="24"/>
          <w:szCs w:val="24"/>
        </w:rPr>
        <w:t>Ответственность Сторон</w:t>
      </w:r>
    </w:p>
    <w:p>
      <w:pPr>
        <w:pStyle w:val="ListParagraph"/>
        <w:numPr>
          <w:ilvl w:val="1"/>
          <w:numId w:val="2"/>
        </w:numPr>
        <w:tabs>
          <w:tab w:val="clear" w:pos="708"/>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Normal"/>
        <w:widowControl/>
        <w:tabs>
          <w:tab w:val="clear" w:pos="708"/>
          <w:tab w:val="left" w:pos="1276" w:leader="none"/>
        </w:tabs>
        <w:jc w:val="both"/>
        <w:rPr>
          <w:bCs/>
          <w:sz w:val="24"/>
          <w:szCs w:val="24"/>
        </w:rPr>
      </w:pPr>
      <w:r>
        <w:rPr>
          <w:bCs/>
          <w:sz w:val="24"/>
          <w:szCs w:val="24"/>
        </w:rPr>
        <w:t xml:space="preserve">               –</w:t>
      </w:r>
      <w:r>
        <w:rPr>
          <w:bCs/>
          <w:sz w:val="24"/>
          <w:szCs w:val="24"/>
        </w:rPr>
        <w:tab/>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tabs>
          <w:tab w:val="clear" w:pos="708"/>
          <w:tab w:val="left" w:pos="1276" w:leader="none"/>
        </w:tabs>
        <w:jc w:val="both"/>
        <w:rPr>
          <w:bCs/>
          <w:sz w:val="24"/>
          <w:szCs w:val="24"/>
        </w:rPr>
      </w:pPr>
      <w:r>
        <w:rPr>
          <w:bCs/>
          <w:sz w:val="24"/>
          <w:szCs w:val="24"/>
        </w:rPr>
        <w:t xml:space="preserve">                –</w:t>
      </w:r>
      <w:r>
        <w:rPr>
          <w:bCs/>
          <w:sz w:val="24"/>
          <w:szCs w:val="24"/>
        </w:rPr>
        <w:tab/>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2"/>
        </w:numPr>
        <w:tabs>
          <w:tab w:val="clear" w:pos="708"/>
          <w:tab w:val="left" w:pos="1276" w:leader="none"/>
          <w:tab w:val="left" w:pos="1701" w:leader="none"/>
        </w:tabs>
        <w:ind w:firstLine="709" w:left="0"/>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t xml:space="preserve"> </w:t>
      </w: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t xml:space="preserve"> </w:t>
      </w:r>
      <w:r>
        <w:rPr>
          <w:bCs/>
          <w:sz w:val="24"/>
          <w:szCs w:val="24"/>
          <w:highlight w:val="lightGray"/>
        </w:rPr>
        <w:t xml:space="preserve">В случае если неисполнение/ненадлежащее исполнение Поставщиком обязательств по Договору повлекло за собой нарушение Покупателем обязательств на оптовом и/или розничном рынке электроэнергии и мощности, Поставщик </w:t>
      </w:r>
      <w:r>
        <w:rPr>
          <w:sz w:val="24"/>
          <w:szCs w:val="24"/>
          <w:highlight w:val="lightGray"/>
        </w:rPr>
        <w:t>несет ответственность перед Покупателем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Покупателем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pPr>
        <w:pStyle w:val="Normal"/>
        <w:ind w:firstLine="709"/>
        <w:jc w:val="both"/>
        <w:rPr>
          <w:sz w:val="24"/>
          <w:szCs w:val="24"/>
          <w:highlight w:val="lightGray"/>
        </w:rPr>
      </w:pPr>
      <w:r>
        <w:rPr>
          <w:sz w:val="24"/>
          <w:szCs w:val="24"/>
          <w:highlight w:val="lightGray"/>
        </w:rPr>
        <w:t xml:space="preserve">Кроме суммы реального ущерба, Поставщик компенсирует </w:t>
      </w:r>
      <w:r>
        <w:rPr>
          <w:bCs/>
          <w:sz w:val="24"/>
          <w:szCs w:val="24"/>
          <w:highlight w:val="lightGray"/>
        </w:rPr>
        <w:t>Покупателем</w:t>
      </w:r>
      <w:r>
        <w:rPr>
          <w:sz w:val="24"/>
          <w:szCs w:val="24"/>
          <w:highlight w:val="lightGray"/>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ind w:firstLine="709"/>
        <w:jc w:val="both"/>
        <w:rPr>
          <w:sz w:val="24"/>
          <w:szCs w:val="24"/>
          <w:highlight w:val="lightGray"/>
        </w:rPr>
      </w:pPr>
      <w:r>
        <w:rPr>
          <w:sz w:val="24"/>
          <w:szCs w:val="24"/>
          <w:highlight w:val="lightGray"/>
        </w:rPr>
        <w:t xml:space="preserve">Размер упущенной выгоды (выручки) подтверждается (по выбору </w:t>
      </w:r>
      <w:r>
        <w:rPr>
          <w:bCs/>
          <w:sz w:val="24"/>
          <w:szCs w:val="24"/>
          <w:highlight w:val="lightGray"/>
        </w:rPr>
        <w:t>Покупателя</w:t>
      </w:r>
      <w:r>
        <w:rPr>
          <w:sz w:val="24"/>
          <w:szCs w:val="24"/>
          <w:highlight w:val="lightGray"/>
        </w:rPr>
        <w:t>):</w:t>
      </w:r>
    </w:p>
    <w:p>
      <w:pPr>
        <w:pStyle w:val="Normal"/>
        <w:widowControl/>
        <w:numPr>
          <w:ilvl w:val="0"/>
          <w:numId w:val="11"/>
        </w:numPr>
        <w:suppressAutoHyphens w:val="false"/>
        <w:spacing w:lineRule="auto" w:line="252"/>
        <w:ind w:firstLine="709" w:left="0"/>
        <w:jc w:val="both"/>
        <w:rPr>
          <w:sz w:val="24"/>
          <w:szCs w:val="24"/>
          <w:highlight w:val="lightGray"/>
        </w:rPr>
      </w:pPr>
      <w:r>
        <w:rPr>
          <w:sz w:val="24"/>
          <w:szCs w:val="24"/>
          <w:highlight w:val="lightGray"/>
        </w:rPr>
        <w:t xml:space="preserve">в ценовых зонах: расчетом, подготовленным Коммерческим оператором оптового рынка; </w:t>
      </w:r>
    </w:p>
    <w:p>
      <w:pPr>
        <w:pStyle w:val="Normal"/>
        <w:widowControl/>
        <w:numPr>
          <w:ilvl w:val="0"/>
          <w:numId w:val="11"/>
        </w:numPr>
        <w:suppressAutoHyphens w:val="false"/>
        <w:spacing w:lineRule="auto" w:line="252"/>
        <w:ind w:firstLine="709" w:left="0"/>
        <w:jc w:val="both"/>
        <w:rPr>
          <w:sz w:val="24"/>
          <w:szCs w:val="24"/>
          <w:highlight w:val="lightGray"/>
        </w:rPr>
      </w:pPr>
      <w:r>
        <w:rPr>
          <w:sz w:val="24"/>
          <w:szCs w:val="24"/>
          <w:highlight w:val="lightGray"/>
        </w:rPr>
        <w:t xml:space="preserve">и / или 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r>
        <w:rPr>
          <w:bCs/>
          <w:sz w:val="24"/>
          <w:szCs w:val="24"/>
          <w:highlight w:val="lightGray"/>
        </w:rPr>
        <w:t>».</w:t>
      </w:r>
      <w:r>
        <w:rPr>
          <w:rStyle w:val="FootnoteReference"/>
          <w:bCs/>
          <w:sz w:val="24"/>
          <w:szCs w:val="24"/>
          <w:highlight w:val="lightGray"/>
        </w:rPr>
        <w:footnoteReference w:id="3"/>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8"/>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Самарской области</w:t>
      </w:r>
      <w:r>
        <w:rPr>
          <w:bCs/>
          <w:sz w:val="24"/>
          <w:szCs w:val="24"/>
        </w:rPr>
        <w:t xml:space="preserve">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bCs/>
          <w:color w:val="000000"/>
          <w:sz w:val="24"/>
          <w:szCs w:val="24"/>
        </w:rPr>
        <w:t xml:space="preserve"> </w:t>
      </w: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bCs/>
          <w:color w:val="000000"/>
          <w:sz w:val="24"/>
          <w:szCs w:val="24"/>
        </w:rPr>
        <w:t xml:space="preserve">  </w:t>
      </w: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bCs/>
          <w:color w:val="000000"/>
          <w:sz w:val="24"/>
          <w:szCs w:val="24"/>
        </w:rPr>
        <w:t xml:space="preserve"> </w:t>
      </w: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bCs/>
          <w:color w:val="000000"/>
          <w:sz w:val="24"/>
          <w:szCs w:val="24"/>
        </w:rPr>
        <w:t xml:space="preserve"> </w:t>
      </w: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bCs/>
          <w:color w:val="000000"/>
          <w:sz w:val="24"/>
          <w:szCs w:val="24"/>
        </w:rPr>
        <w:t xml:space="preserve"> </w:t>
      </w: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bCs/>
          <w:color w:val="000000"/>
          <w:sz w:val="24"/>
          <w:szCs w:val="24"/>
        </w:rPr>
        <w:t xml:space="preserve"> </w:t>
      </w:r>
      <w:r>
        <w:rPr>
          <w:color w:val="000000"/>
          <w:sz w:val="24"/>
          <w:szCs w:val="24"/>
        </w:rPr>
        <w:t xml:space="preserve">Каналы связи Линия доверия Группы РусГидро: </w:t>
      </w:r>
    </w:p>
    <w:p>
      <w:pPr>
        <w:pStyle w:val="ListParagraph"/>
        <w:shd w:val="clear" w:color="auto" w:fill="FFFFFF"/>
        <w:tabs>
          <w:tab w:val="clear" w:pos="708"/>
          <w:tab w:val="left" w:pos="1134" w:leader="none"/>
        </w:tabs>
        <w:ind w:hanging="0" w:left="0"/>
        <w:jc w:val="both"/>
        <w:rPr>
          <w:bCs/>
          <w:color w:val="000000"/>
          <w:sz w:val="24"/>
          <w:szCs w:val="24"/>
        </w:rPr>
      </w:pPr>
      <w:r>
        <w:rPr>
          <w:color w:val="000000"/>
          <w:sz w:val="24"/>
          <w:szCs w:val="24"/>
        </w:rPr>
        <w:t xml:space="preserve">            </w:t>
      </w:r>
      <w:r>
        <w:rPr>
          <w:color w:val="000000"/>
          <w:sz w:val="24"/>
          <w:szCs w:val="24"/>
        </w:rPr>
        <w:t xml:space="preserve">8.7.1. </w:t>
      </w:r>
      <w:r>
        <w:rPr>
          <w:sz w:val="24"/>
          <w:szCs w:val="24"/>
        </w:rPr>
        <w:t xml:space="preserve">Электронная почта: </w:t>
      </w:r>
      <w:hyperlink r:id="rId2">
        <w:r>
          <w:rPr>
            <w:rStyle w:val="Hyperlink"/>
            <w:sz w:val="24"/>
            <w:szCs w:val="24"/>
          </w:rPr>
          <w:t>ld@rushydro.ru</w:t>
        </w:r>
      </w:hyperlink>
      <w:r>
        <w:rPr>
          <w:sz w:val="24"/>
          <w:szCs w:val="24"/>
        </w:rPr>
        <w:t>.</w:t>
      </w:r>
    </w:p>
    <w:p>
      <w:pPr>
        <w:pStyle w:val="ListParagraph"/>
        <w:shd w:val="clear" w:color="auto" w:fill="FFFFFF"/>
        <w:tabs>
          <w:tab w:val="clear" w:pos="708"/>
          <w:tab w:val="left" w:pos="1134" w:leader="none"/>
        </w:tabs>
        <w:ind w:hanging="0" w:left="0"/>
        <w:jc w:val="both"/>
        <w:rPr>
          <w:bCs/>
          <w:color w:val="000000"/>
          <w:sz w:val="24"/>
          <w:szCs w:val="24"/>
        </w:rPr>
      </w:pPr>
      <w:r>
        <w:rPr>
          <w:sz w:val="24"/>
          <w:szCs w:val="24"/>
        </w:rPr>
        <w:t xml:space="preserve">       </w:t>
      </w: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tabs>
          <w:tab w:val="clear" w:pos="708"/>
          <w:tab w:val="left" w:pos="426" w:leader="none"/>
        </w:tabs>
        <w:spacing w:lineRule="auto" w:line="259"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5">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tabs>
          <w:tab w:val="clear" w:pos="708"/>
          <w:tab w:val="left" w:pos="1299" w:leader="none"/>
        </w:tabs>
        <w:suppressAutoHyphens w:val="true"/>
        <w:bidi w:val="0"/>
        <w:snapToGrid w:val="false"/>
        <w:spacing w:before="0" w:after="0"/>
        <w:ind w:firstLine="737" w:left="0" w:righ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8"/>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4"/>
      </w:r>
      <w:r>
        <w:rPr>
          <w:sz w:val="24"/>
          <w:szCs w:val="24"/>
          <w:highlight w:val="lightGray"/>
          <w:lang w:eastAsia="en-US"/>
        </w:rPr>
        <w:t>.</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bookmarkStart w:id="8"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8"/>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5"/>
      </w:r>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6"/>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8"/>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9" w:name="sub_1"/>
      <w:bookmarkEnd w:id="9"/>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bookmarkStart w:id="10" w:name="sub_1_Копия_1"/>
      <w:bookmarkStart w:id="11" w:name="sub_1_Копия_1"/>
      <w:bookmarkEnd w:id="11"/>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ind w:firstLine="709"/>
        <w:jc w:val="both"/>
        <w:rPr>
          <w:bCs/>
          <w:sz w:val="24"/>
          <w:szCs w:val="24"/>
        </w:rPr>
      </w:pPr>
      <w:r>
        <w:rPr>
          <w:bCs/>
          <w:sz w:val="24"/>
          <w:szCs w:val="24"/>
        </w:rPr>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67"/>
        <w:gridCol w:w="161"/>
        <w:gridCol w:w="4625"/>
        <w:gridCol w:w="337"/>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rmal"/>
              <w:widowControl w:val="false"/>
              <w:rPr>
                <w:b/>
                <w:sz w:val="24"/>
                <w:szCs w:val="24"/>
              </w:rPr>
            </w:pPr>
            <w:r>
              <w:rPr>
                <w:b/>
                <w:sz w:val="24"/>
                <w:szCs w:val="24"/>
              </w:rPr>
              <w:t>Публичное акционерное общество</w:t>
            </w:r>
          </w:p>
          <w:p>
            <w:pPr>
              <w:pStyle w:val="Normal"/>
              <w:widowControl w:val="false"/>
              <w:rPr>
                <w:b/>
                <w:sz w:val="24"/>
                <w:szCs w:val="24"/>
              </w:rPr>
            </w:pPr>
            <w:r>
              <w:rPr>
                <w:b/>
                <w:sz w:val="24"/>
                <w:szCs w:val="24"/>
              </w:rPr>
              <w:t>«Федеральная гидрогенерирующая компания - РусГидро» (ПАО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Место нахождения: </w:t>
            </w:r>
          </w:p>
          <w:p>
            <w:pPr>
              <w:pStyle w:val="Normal"/>
              <w:widowControl w:val="false"/>
              <w:rPr>
                <w:sz w:val="24"/>
                <w:szCs w:val="24"/>
              </w:rPr>
            </w:pPr>
            <w:r>
              <w:rPr>
                <w:sz w:val="24"/>
                <w:szCs w:val="24"/>
              </w:rPr>
              <w:t xml:space="preserve">Красноярский край, г. Красноярск </w:t>
            </w:r>
          </w:p>
          <w:p>
            <w:pPr>
              <w:pStyle w:val="Normal"/>
              <w:widowControl w:val="false"/>
              <w:rPr>
                <w:sz w:val="24"/>
                <w:szCs w:val="24"/>
              </w:rPr>
            </w:pPr>
            <w:r>
              <w:rPr>
                <w:sz w:val="24"/>
                <w:szCs w:val="24"/>
              </w:rPr>
              <w:t xml:space="preserve">Адрес: 660049, Красноярский край, </w:t>
            </w:r>
          </w:p>
          <w:p>
            <w:pPr>
              <w:pStyle w:val="Normal"/>
              <w:widowControl w:val="false"/>
              <w:rPr>
                <w:sz w:val="24"/>
                <w:szCs w:val="24"/>
              </w:rPr>
            </w:pPr>
            <w:r>
              <w:rPr>
                <w:sz w:val="24"/>
                <w:szCs w:val="24"/>
              </w:rPr>
              <w:t>г. Красноярск, ул. Перенсона, д. 2а</w:t>
            </w:r>
          </w:p>
          <w:p>
            <w:pPr>
              <w:pStyle w:val="Normal"/>
              <w:widowControl w:val="false"/>
              <w:rPr>
                <w:sz w:val="24"/>
                <w:szCs w:val="24"/>
              </w:rPr>
            </w:pPr>
            <w:r>
              <w:rPr>
                <w:sz w:val="24"/>
                <w:szCs w:val="24"/>
              </w:rPr>
              <w:t xml:space="preserve">Почтовый адрес: </w:t>
            </w:r>
          </w:p>
          <w:p>
            <w:pPr>
              <w:pStyle w:val="Normal"/>
              <w:widowControl w:val="false"/>
              <w:rPr>
                <w:sz w:val="24"/>
                <w:szCs w:val="24"/>
              </w:rPr>
            </w:pPr>
            <w:r>
              <w:rPr>
                <w:sz w:val="24"/>
                <w:szCs w:val="24"/>
              </w:rPr>
              <w:t>________________________</w:t>
            </w:r>
          </w:p>
          <w:p>
            <w:pPr>
              <w:pStyle w:val="Normal"/>
              <w:widowControl w:val="false"/>
              <w:rPr>
                <w:sz w:val="24"/>
                <w:szCs w:val="24"/>
              </w:rPr>
            </w:pPr>
            <w:r>
              <w:rPr>
                <w:sz w:val="24"/>
                <w:szCs w:val="24"/>
              </w:rPr>
              <w:t xml:space="preserve">ОГРН 1042401810494, </w:t>
            </w:r>
          </w:p>
          <w:p>
            <w:pPr>
              <w:pStyle w:val="Normal"/>
              <w:widowControl w:val="false"/>
              <w:rPr>
                <w:sz w:val="24"/>
                <w:szCs w:val="24"/>
              </w:rPr>
            </w:pPr>
            <w:r>
              <w:rPr>
                <w:sz w:val="24"/>
                <w:szCs w:val="24"/>
              </w:rPr>
              <w:t>ИНН 2460066195 / КПП 997650001</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67"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37" w:type="dxa"/>
            <w:tcBorders/>
          </w:tcPr>
          <w:p>
            <w:pPr>
              <w:pStyle w:val="Normal"/>
              <w:widowControl w:val="false"/>
              <w:rPr/>
            </w:pPr>
            <w:r>
              <w:rPr/>
            </w:r>
          </w:p>
        </w:tc>
      </w:tr>
    </w:tbl>
    <w:p>
      <w:pPr>
        <w:sectPr>
          <w:headerReference w:type="default" r:id="rId6"/>
          <w:headerReference w:type="first" r:id="rId7"/>
          <w:footerReference w:type="default" r:id="rId8"/>
          <w:footnotePr>
            <w:numFmt w:val="decimal"/>
            <w:numStart w:val="2"/>
          </w:footnotePr>
          <w:type w:val="nextPage"/>
          <w:pgSz w:w="11906" w:h="16838"/>
          <w:pgMar w:left="1418" w:right="851" w:gutter="0" w:header="709" w:top="1134" w:footer="709" w:bottom="1134"/>
          <w:pgNumType w:fmt="decimal"/>
          <w:formProt w:val="false"/>
          <w:titlePg/>
          <w:textDirection w:val="lrTb"/>
          <w:docGrid w:type="default" w:linePitch="360" w:charSpace="24576"/>
        </w:sectPr>
      </w:pPr>
    </w:p>
    <w:p>
      <w:pPr>
        <w:pStyle w:val="Normal"/>
        <w:ind w:hanging="0" w:left="5103" w:right="96"/>
        <w:rPr>
          <w:sz w:val="22"/>
          <w:szCs w:val="22"/>
        </w:rPr>
      </w:pPr>
      <w:r>
        <w:rPr>
          <w:sz w:val="22"/>
          <w:szCs w:val="22"/>
        </w:rPr>
        <w:t>Приложение № 1</w:t>
      </w:r>
    </w:p>
    <w:p>
      <w:pPr>
        <w:pStyle w:val="Normal"/>
        <w:ind w:hanging="0" w:left="5103" w:right="96"/>
        <w:rPr>
          <w:sz w:val="22"/>
          <w:szCs w:val="22"/>
        </w:rPr>
      </w:pPr>
      <w:r>
        <w:rPr>
          <w:sz w:val="22"/>
          <w:szCs w:val="22"/>
        </w:rPr>
        <w:t xml:space="preserve">к Договору поставки </w:t>
      </w:r>
    </w:p>
    <w:p>
      <w:pPr>
        <w:pStyle w:val="Normal"/>
        <w:ind w:hanging="0" w:left="5103" w:right="96"/>
        <w:rPr>
          <w:sz w:val="22"/>
          <w:szCs w:val="22"/>
        </w:rPr>
      </w:pPr>
      <w:r>
        <w:rPr>
          <w:sz w:val="22"/>
          <w:szCs w:val="22"/>
        </w:rPr>
        <w:t>от «____» __________ 20 25г. № 1090-   -2025</w:t>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15311"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1275"/>
        <w:gridCol w:w="900"/>
        <w:gridCol w:w="925"/>
        <w:gridCol w:w="934"/>
        <w:gridCol w:w="1165"/>
        <w:gridCol w:w="1095"/>
        <w:gridCol w:w="931"/>
        <w:gridCol w:w="1121"/>
        <w:gridCol w:w="1039"/>
        <w:gridCol w:w="767"/>
        <w:gridCol w:w="986"/>
        <w:gridCol w:w="821"/>
        <w:gridCol w:w="793"/>
        <w:gridCol w:w="1081"/>
        <w:gridCol w:w="1478"/>
      </w:tblGrid>
      <w:tr>
        <w:trPr>
          <w:trHeight w:val="526" w:hRule="atLeast"/>
        </w:trPr>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9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11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7"/>
            </w:r>
          </w:p>
        </w:tc>
        <w:tc>
          <w:tcPr>
            <w:tcW w:w="10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10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8"/>
            </w:r>
          </w:p>
          <w:p>
            <w:pPr>
              <w:pStyle w:val="Normal"/>
              <w:widowControl w:val="false"/>
              <w:jc w:val="center"/>
              <w:rPr>
                <w:bCs/>
              </w:rPr>
            </w:pPr>
            <w:r>
              <w:rPr>
                <w:bCs/>
              </w:rPr>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6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9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2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3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6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9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2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3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12752"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255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rPr>
          <w:i/>
          <w:i/>
          <w:sz w:val="24"/>
          <w:szCs w:val="24"/>
          <w:highlight w:val="yellow"/>
        </w:rPr>
      </w:pPr>
      <w:r>
        <w:rPr>
          <w:i/>
          <w:sz w:val="24"/>
          <w:szCs w:val="24"/>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w:t>
      </w:r>
    </w:p>
    <w:sectPr>
      <w:headerReference w:type="default" r:id="rId9"/>
      <w:headerReference w:type="first" r:id="rId10"/>
      <w:footerReference w:type="default" r:id="rId11"/>
      <w:footerReference w:type="first" r:id="rId12"/>
      <w:footnotePr>
        <w:numFmt w:val="decimal"/>
        <w:numStart w:val="2"/>
      </w:footnotePr>
      <w:type w:val="nextPage"/>
      <w:pgSz w:orient="landscape" w:w="16838" w:h="11906"/>
      <w:pgMar w:left="1418" w:right="851" w:gutter="0" w:header="567" w:top="1134" w:footer="709" w:bottom="1134"/>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 / УПД.</w:t>
      </w:r>
    </w:p>
  </w:footnote>
  <w:footnote w:id="3">
    <w:p>
      <w:pPr>
        <w:pStyle w:val="FootnoteText"/>
        <w:jc w:val="both"/>
        <w:rPr/>
      </w:pPr>
      <w:r>
        <w:rPr>
          <w:rStyle w:val="Style14"/>
        </w:rPr>
        <w:footnoteRef/>
      </w:r>
      <w:r>
        <w:rPr/>
        <w:t xml:space="preserve"> </w:t>
      </w:r>
      <w:r>
        <w:rPr/>
        <w:t>Указанное условие применяется к договорам поставки Товара, обеспечивающего производство и/или передачу (транспортировку) электрической энергии и мощности</w:t>
      </w:r>
    </w:p>
  </w:footnote>
  <w:footnote w:id="4">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5">
    <w:p>
      <w:pPr>
        <w:pStyle w:val="FootnoteText"/>
        <w:jc w:val="both"/>
        <w:rPr/>
      </w:pPr>
      <w:r>
        <w:rPr>
          <w:rStyle w:val="Style14"/>
        </w:rPr>
        <w:footnoteRef/>
      </w:r>
      <w:r>
        <w:rPr/>
        <w:t xml:space="preserve"> </w:t>
      </w:r>
      <w:r>
        <w:rPr/>
        <w:t>В случае если Поставщик является субъектом малого предпринимательства,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6">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8">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p>
    <w:pPr>
      <w:pStyle w:val="Header"/>
      <w:jc w:val="right"/>
      <w:rPr/>
    </w:pPr>
    <w:r>
      <w:rPr/>
    </w:r>
  </w:p>
  <w:p>
    <w:pPr>
      <w:pStyle w:val="Normal"/>
      <w:tabs>
        <w:tab w:val="clear" w:pos="708"/>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2984"/>
        </w:tabs>
        <w:ind w:left="2984" w:hanging="432"/>
      </w:pPr>
      <w:rPr>
        <w:sz w:val="24"/>
        <w:b w:val="false"/>
        <w:szCs w:val="24"/>
      </w:rPr>
    </w:lvl>
    <w:lvl w:ilvl="2">
      <w:start w:val="1"/>
      <w:numFmt w:val="decimal"/>
      <w:lvlText w:val="%1.%2.%3."/>
      <w:lvlJc w:val="left"/>
      <w:pPr>
        <w:tabs>
          <w:tab w:val="num" w:pos="1855"/>
        </w:tabs>
        <w:ind w:left="1639"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4"/>
      <w:numFmt w:val="decimal"/>
      <w:lvlText w:val="%1"/>
      <w:lvlJc w:val="left"/>
      <w:pPr>
        <w:tabs>
          <w:tab w:val="num" w:pos="0"/>
        </w:tabs>
        <w:ind w:left="360" w:hanging="360"/>
      </w:pPr>
      <w:rPr/>
    </w:lvl>
    <w:lvl w:ilvl="1">
      <w:start w:val="7"/>
      <w:numFmt w:val="decimal"/>
      <w:lvlText w:val="%1.%2"/>
      <w:lvlJc w:val="left"/>
      <w:pPr>
        <w:tabs>
          <w:tab w:val="num" w:pos="0"/>
        </w:tabs>
        <w:ind w:left="1779" w:hanging="360"/>
      </w:pPr>
      <w:rPr/>
    </w:lvl>
    <w:lvl w:ilvl="2">
      <w:start w:val="1"/>
      <w:numFmt w:val="decimal"/>
      <w:lvlText w:val="%1.%2.%3"/>
      <w:lvlJc w:val="left"/>
      <w:pPr>
        <w:tabs>
          <w:tab w:val="num" w:pos="0"/>
        </w:tabs>
        <w:ind w:left="3558" w:hanging="720"/>
      </w:pPr>
      <w:rPr/>
    </w:lvl>
    <w:lvl w:ilvl="3">
      <w:start w:val="1"/>
      <w:numFmt w:val="decimal"/>
      <w:lvlText w:val="%1.%2.%3.%4"/>
      <w:lvlJc w:val="left"/>
      <w:pPr>
        <w:tabs>
          <w:tab w:val="num" w:pos="0"/>
        </w:tabs>
        <w:ind w:left="4977" w:hanging="720"/>
      </w:pPr>
      <w:rPr/>
    </w:lvl>
    <w:lvl w:ilvl="4">
      <w:start w:val="1"/>
      <w:numFmt w:val="decimal"/>
      <w:lvlText w:val="%1.%2.%3.%4.%5"/>
      <w:lvlJc w:val="left"/>
      <w:pPr>
        <w:tabs>
          <w:tab w:val="num" w:pos="0"/>
        </w:tabs>
        <w:ind w:left="6756" w:hanging="1080"/>
      </w:pPr>
      <w:rPr/>
    </w:lvl>
    <w:lvl w:ilvl="5">
      <w:start w:val="1"/>
      <w:numFmt w:val="decimal"/>
      <w:lvlText w:val="%1.%2.%3.%4.%5.%6"/>
      <w:lvlJc w:val="left"/>
      <w:pPr>
        <w:tabs>
          <w:tab w:val="num" w:pos="0"/>
        </w:tabs>
        <w:ind w:left="8175" w:hanging="1080"/>
      </w:pPr>
      <w:rPr/>
    </w:lvl>
    <w:lvl w:ilvl="6">
      <w:start w:val="1"/>
      <w:numFmt w:val="decimal"/>
      <w:lvlText w:val="%1.%2.%3.%4.%5.%6.%7"/>
      <w:lvlJc w:val="left"/>
      <w:pPr>
        <w:tabs>
          <w:tab w:val="num" w:pos="0"/>
        </w:tabs>
        <w:ind w:left="9954" w:hanging="1440"/>
      </w:pPr>
      <w:rPr/>
    </w:lvl>
    <w:lvl w:ilvl="7">
      <w:start w:val="1"/>
      <w:numFmt w:val="decimal"/>
      <w:lvlText w:val="%1.%2.%3.%4.%5.%6.%7.%8"/>
      <w:lvlJc w:val="left"/>
      <w:pPr>
        <w:tabs>
          <w:tab w:val="num" w:pos="0"/>
        </w:tabs>
        <w:ind w:left="11373" w:hanging="1440"/>
      </w:pPr>
      <w:rPr/>
    </w:lvl>
    <w:lvl w:ilvl="8">
      <w:start w:val="1"/>
      <w:numFmt w:val="decimal"/>
      <w:lvlText w:val="%1.%2.%3.%4.%5.%6.%7.%8.%9"/>
      <w:lvlJc w:val="left"/>
      <w:pPr>
        <w:tabs>
          <w:tab w:val="num" w:pos="0"/>
        </w:tabs>
        <w:ind w:left="13152" w:hanging="1800"/>
      </w:pPr>
      <w:rPr/>
    </w:lvl>
  </w:abstractNum>
  <w:abstractNum w:abstractNumId="1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82"/>
  <w:defaultTabStop w:val="708"/>
  <w:autoHyphenation w:val="true"/>
  <w:footnotePr>
    <w:numFmt w:val="decimal"/>
    <w:numStart w:val="2"/>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Название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FollowedHyperlink">
    <w:name w:val="FollowedHyperlink"/>
    <w:rPr>
      <w:color w:val="800000"/>
      <w:u w:val="single"/>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EndnoteText">
    <w:name w:val="Endnote Text"/>
    <w:basedOn w:val="Normal"/>
    <w:pPr>
      <w:suppressLineNumbers/>
      <w:ind w:hanging="340" w:left="34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Relationship Id="rId2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F0ED7CE-694B-4B46-AB15-F053ECAC5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Application>AlterOffice/2026.2.0.0$Linux_X86_64 LibreOffice_project/bc4ef1adf80b36c7a6365f8ed6cbf29021361edd</Application>
  <AppVersion>15.0000</AppVersion>
  <Pages>18</Pages>
  <Words>6828</Words>
  <Characters>48793</Characters>
  <CharactersWithSpaces>55462</CharactersWithSpaces>
  <Paragraphs>306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2024-03-06T09:32:00Z</dcterms:created>
  <dc:creator>tsypilev_ag</dc:creator>
  <dc:description/>
  <dc:language>ru-RU</dc:language>
  <cp:lastModifiedBy>brusnikinann@corp.gidroogk.com</cp:lastModifiedBy>
  <cp:lastPrinted>2018-05-22T09:46:00Z</cp:lastPrinted>
  <dcterms:modified xsi:type="dcterms:W3CDTF">2026-10-14T15:49:41Z</dcterms:modified>
  <cp:revision>14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