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ТЕХНИЧЕСКОЕ ЗАДАНИЕ</w:t>
      </w:r>
    </w:p>
    <w:p>
      <w:pPr>
        <w:pStyle w:val="Normal"/>
        <w:spacing w:lineRule="auto" w:line="240"/>
        <w:ind w:hanging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ind w:firstLine="426"/>
        <w:rPr>
          <w:sz w:val="24"/>
          <w:szCs w:val="24"/>
        </w:rPr>
      </w:pPr>
      <w:r>
        <w:rPr>
          <w:b/>
          <w:sz w:val="24"/>
          <w:szCs w:val="24"/>
        </w:rPr>
        <w:t>Объект:</w:t>
      </w:r>
      <w:r>
        <w:rPr>
          <w:b/>
          <w:bCs/>
          <w:sz w:val="24"/>
          <w:szCs w:val="24"/>
        </w:rPr>
        <w:t xml:space="preserve"> «</w:t>
      </w:r>
      <w:r>
        <w:rPr>
          <w:rFonts w:eastAsia="Times New Roman" w:cs="Times New Roman"/>
          <w:b w:val="false"/>
          <w:bCs w:val="false"/>
          <w:i w:val="false"/>
          <w:iCs w:val="false"/>
          <w:color w:themeColor="dark1" w:val="000000"/>
          <w:kern w:val="0"/>
          <w:sz w:val="24"/>
          <w:szCs w:val="24"/>
          <w:lang w:val="ru-RU" w:eastAsia="ru-RU" w:bidi="ar-SA"/>
        </w:rPr>
        <w:t>Устройство линий наружного освещения на автомобильных дорогах общего пользования в муниципальном округе город Шахунья Нижегородской области»</w:t>
      </w:r>
    </w:p>
    <w:p>
      <w:pPr>
        <w:pStyle w:val="Normal"/>
        <w:spacing w:lineRule="auto" w:line="276"/>
        <w:ind w:firstLine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Описание объекта: </w:t>
      </w:r>
    </w:p>
    <w:p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Работы выполняются в рамках капитального ремонта автомобильных дорог.</w:t>
      </w:r>
    </w:p>
    <w:p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В состав работ по Объекту входят следующие этапы:</w:t>
      </w:r>
    </w:p>
    <w:p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</w:r>
    </w:p>
    <w:tbl>
      <w:tblPr>
        <w:tblW w:w="1015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0"/>
        <w:gridCol w:w="9011"/>
      </w:tblGrid>
      <w:tr>
        <w:trPr>
          <w:trHeight w:val="228" w:hRule="atLeast"/>
        </w:trPr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bCs/>
                <w:color w:val="000000"/>
                <w:sz w:val="20"/>
                <w:szCs w:val="20"/>
              </w:rPr>
              <w:t>этапа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этапа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1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22Н-4804 Шахунья-Верховское-Вахтан км 2+494 – км 4+014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2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22Н-4804 Шахунья-Верховское-Вахтан км 13+126 – км 13+668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3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22Н-4804 Шахунья-Верховское-Вахтан км 15+970 – км 16+300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4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22Н-4804 Шахунья-Верховское-Вахтан км 20+176 – км 20+929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5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22Н-4804 Шахунья-Верховское-Вахтан км 38+245 – км 39+110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6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22Н-4827 Мураиха-Хмелевицы км 0+000 – км 0+560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7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22Н-4827 Мураиха-Хмелевицы км 0+860 – км 2+621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8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22Н-4829 Верховское-Сява км 0+000 – км 0+569 в муниципальном округе город Шахунья Нижегородской области.</w:t>
            </w:r>
          </w:p>
        </w:tc>
      </w:tr>
      <w:tr>
        <w:trPr/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iCs/>
                <w:color w:val="000000"/>
                <w:sz w:val="20"/>
                <w:szCs w:val="20"/>
                <w:lang w:eastAsia="ru-RU"/>
              </w:rPr>
              <w:t>9 этап</w:t>
            </w:r>
          </w:p>
        </w:tc>
        <w:tc>
          <w:tcPr>
            <w:tcW w:w="9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Устройство линии наружного освещения участка автомобильной дороги 22 ОП МЗ 22Н-4849 Хмелевицы-Б.Свеча-Половинная км 0+000 – км 0+331 в муниципальном округе город Шахунья Нижегородской области.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Сроки выполнения работ:</w:t>
      </w:r>
    </w:p>
    <w:p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Срок выполнения работ: с даты заключения договора </w:t>
      </w:r>
      <w:r>
        <w:rPr>
          <w:rFonts w:cs="Times New Roman" w:ascii="Times New Roman" w:hAnsi="Times New Roman"/>
          <w:b/>
          <w:bCs/>
          <w:sz w:val="24"/>
          <w:szCs w:val="24"/>
        </w:rPr>
        <w:t>по 4 декабря 2026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года, в том числе по этапам:</w:t>
      </w:r>
    </w:p>
    <w:tbl>
      <w:tblPr>
        <w:tblW w:w="102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6"/>
        <w:gridCol w:w="6458"/>
        <w:gridCol w:w="2720"/>
      </w:tblGrid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этапа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этапа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выполнения работ по этапу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22Н-4804 Шахунья-Верховское-Вахтан км 2+494 – км 4+014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25 ноября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22Н-4804 Шахунья-Верховское-Вахтан км 13+126 – км 13+668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25 ноября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Устройство линии наружного освещения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участка</w:t>
            </w:r>
            <w:r>
              <w:rPr>
                <w:rFonts w:eastAsia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автомобильной дороги 22 ОП МЗ 22Н-4804 Шахунья-Верховское-Вахтан км 15+970 – км 16+300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25 ноября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22Н-4804 Шахунья-Верховское-Вахтан км 20+176 – км 20+929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4 декабря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22Н-4804 Шахунья-Верховское-Вахтан км 38+245 – км 39+110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4 декабря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22Н-4827 Мураиха-Хмелевицы км 0+000 – км 0+560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25 ноября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22Н-4827 Мураиха-Хмелевицы км 0+860 – км 2+621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4 декабря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22Н-4829 Верховское-Сява км 0+000 – км 0+569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4 декабря 2026г.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этап</w:t>
            </w:r>
          </w:p>
        </w:tc>
        <w:tc>
          <w:tcPr>
            <w:tcW w:w="6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Устройство линии наружного освещения участка автомобильной дороги 22 ОП МЗ 22Н-4849 Хмелевицы-Б.Свеча-Половинная км 0+000 – км 0+331 в муниципальном округе город Шахунья Нижегородской области.</w:t>
            </w:r>
          </w:p>
        </w:tc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даты заключения контракта по 4 декабря 2026г.</w:t>
            </w:r>
          </w:p>
        </w:tc>
      </w:tr>
    </w:tbl>
    <w:p>
      <w:pPr>
        <w:pStyle w:val="BodyText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76"/>
        <w:ind w:firstLine="426"/>
        <w:rPr>
          <w:b/>
          <w:bCs/>
          <w:i w:val="false"/>
          <w:iCs w:val="false"/>
          <w:color w:themeColor="dark1" w:val="000000"/>
          <w:sz w:val="24"/>
          <w:szCs w:val="24"/>
        </w:rPr>
      </w:pPr>
      <w:r>
        <w:rPr>
          <w:b/>
          <w:bCs/>
          <w:i w:val="false"/>
          <w:iCs w:val="false"/>
          <w:color w:themeColor="dark1" w:val="000000"/>
          <w:sz w:val="24"/>
          <w:szCs w:val="24"/>
        </w:rPr>
        <w:t>Объемы работ.</w:t>
      </w:r>
    </w:p>
    <w:p>
      <w:pPr>
        <w:pStyle w:val="Normal"/>
        <w:spacing w:lineRule="auto" w:line="276"/>
        <w:ind w:firstLine="426"/>
        <w:rPr/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Выполнить работы по Объекту, этапам в объёме и в сроки, предусмотренные Техническим заданием, в соответствии с перечнем нормативно-технических документов обязательных при выполнении работ (Приложение №1 к Техническому заданию), требованиями к качеству работ (Приложение № 2 к Техническому заданию), проекту сметы (Приложение №3 к Техническому заданию) и проектной документацией (Приложение № 4 к Техническому заданию).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r>
    </w:p>
    <w:p>
      <w:pPr>
        <w:pStyle w:val="Normal"/>
        <w:spacing w:lineRule="auto" w:line="276"/>
        <w:ind w:firstLine="426"/>
        <w:rPr>
          <w:b/>
          <w:bCs/>
          <w:i w:val="false"/>
          <w:iCs w:val="false"/>
          <w:color w:themeColor="dark1" w:val="000000"/>
          <w:sz w:val="24"/>
          <w:szCs w:val="24"/>
        </w:rPr>
      </w:pPr>
      <w:r>
        <w:rPr>
          <w:b/>
          <w:bCs/>
          <w:i w:val="false"/>
          <w:iCs w:val="false"/>
          <w:color w:themeColor="dark1" w:val="000000"/>
          <w:sz w:val="24"/>
          <w:szCs w:val="24"/>
        </w:rPr>
        <w:t>Результат выполненной работы.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Результатом выполненной работы по Договору является завершенный капитальным ремонтом Объект, в отношении которого получено заключение органа государственного строительного надзора о соответствии объекта капитального строительства требованиям технических регламентов, рабочей документации, п</w:t>
      </w:r>
      <w:r>
        <w:rPr>
          <w:rFonts w:eastAsia="Times New Roman"/>
          <w:sz w:val="24"/>
          <w:szCs w:val="24"/>
          <w:lang w:eastAsia="ru-RU"/>
        </w:rPr>
        <w:t>роекта производства работ (далее – ППР)</w:t>
      </w:r>
      <w:r>
        <w:rPr>
          <w:sz w:val="24"/>
          <w:szCs w:val="24"/>
        </w:rPr>
        <w:t>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firstLine="426"/>
        <w:rPr>
          <w:b/>
          <w:bCs/>
          <w:i w:val="false"/>
          <w:iCs w:val="false"/>
          <w:color w:themeColor="dark1" w:val="000000"/>
          <w:sz w:val="24"/>
          <w:szCs w:val="24"/>
        </w:rPr>
      </w:pPr>
      <w:r>
        <w:rPr>
          <w:b/>
          <w:bCs/>
          <w:i w:val="false"/>
          <w:iCs w:val="false"/>
          <w:color w:themeColor="dark1" w:val="000000"/>
          <w:sz w:val="24"/>
          <w:szCs w:val="24"/>
        </w:rPr>
        <w:t>Гарантия качества по сданным работам.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Исполнитель гарантирует 100% качество выполненных работ по Объекту, этапам.  Качество выполняемых работ должно соответствовать техническому заданию, перечню нормативно-технических документов обязательных при выполнении работ (Приложение №1 к Техническому заданию), требованиям к качеству работ (Приложение № 2 к Техническому заданию), проекту сметы (Приложение №3 к Техническому заданию) и проектной документацией (Приложение № 4 к Техническому заданию).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Гарантии качества распространяются на Объект в целом, все выполненные работы, выполненные Подрядчиком и субподрядчиками, соисполнителями по настоящему Договору, применяемые материалы, конструкции, конструктивные элементы, сооружения.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Гарантийный срок устранения Подрядчиком дефектов на Объекте и входящих в него сооружениях, оборудовании, материалах и работах составляет (по каждому из этапов):</w:t>
      </w:r>
    </w:p>
    <w:p>
      <w:pPr>
        <w:pStyle w:val="Normal"/>
        <w:spacing w:lineRule="auto" w:line="276"/>
        <w:ind w:firstLine="426"/>
        <w:rPr>
          <w:b/>
          <w:bCs/>
          <w:i w:val="false"/>
          <w:iCs w:val="false"/>
          <w:color w:themeColor="dark1" w:val="000000"/>
          <w:sz w:val="24"/>
          <w:szCs w:val="24"/>
        </w:rPr>
      </w:pPr>
      <w:r>
        <w:rPr>
          <w:b/>
          <w:bCs/>
          <w:i w:val="false"/>
          <w:iCs w:val="false"/>
          <w:color w:themeColor="dark1" w:val="000000"/>
          <w:sz w:val="24"/>
          <w:szCs w:val="24"/>
        </w:rPr>
        <w:t xml:space="preserve">- 1 (один) год 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с даты подписания Заказчиком документа о приемке по соответствующему этапу, неотъемлемой частью которого является акт о приемке законченного капитальным ремонтом этапа.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Гарантийный срок устранения дефектов распространяется на объект и входящие в него сооружения, оборудование, материалы и работы.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>Гарантийные обязательства оформляются в виде гарантийного паспорта, в составе акта приемки законченного капитальным ремонтом Объекта.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  <w:t xml:space="preserve">Если в период гарантийной эксплуатации Объекта обнаружатся дефекты, то Подрядчик обязан их устранить за свой счет и в согласованные с Заказчиком сроки. </w:t>
      </w:r>
    </w:p>
    <w:p>
      <w:pPr>
        <w:pStyle w:val="Normal"/>
        <w:spacing w:lineRule="auto" w:line="276"/>
        <w:ind w:firstLine="426"/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pPr>
      <w:r>
        <w:rPr>
          <w:b w:val="false"/>
          <w:bCs w:val="false"/>
          <w:i w:val="false"/>
          <w:iCs w:val="false"/>
          <w:color w:themeColor="dark1" w:val="000000"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Приложение № 1 </w:t>
      </w:r>
    </w:p>
    <w:p>
      <w:pPr>
        <w:pStyle w:val="ConsPlusNormal"/>
        <w:widowControl/>
        <w:ind w:hanging="0"/>
        <w:jc w:val="end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 Техническому заданию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 нормативно-технических документов, обязательных при выполнении работ</w:t>
      </w:r>
    </w:p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jc w:val="both"/>
        <w:rPr>
          <w:rFonts w:ascii="Times New Roman" w:hAnsi="Times New Roman"/>
          <w:i/>
        </w:rPr>
      </w:pPr>
      <w:r>
        <w:rPr>
          <w:i/>
        </w:rPr>
      </w:r>
    </w:p>
    <w:tbl>
      <w:tblPr>
        <w:tblW w:w="10493" w:type="dxa"/>
        <w:jc w:val="start"/>
        <w:tblInd w:w="-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3"/>
        <w:gridCol w:w="2779"/>
        <w:gridCol w:w="7201"/>
      </w:tblGrid>
      <w:tr>
        <w:trPr>
          <w:tblHeader w:val="true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Обозначение нормативного документа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firstLine="567" w:start="0"/>
              <w:jc w:val="center"/>
              <w:outlineLvl w:val="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Название нормативного документа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8.000-2015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Государственная система обеспечения единства измерений. Основные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8.563-</w:t>
            </w:r>
            <w:r>
              <w:rPr>
                <w:bCs/>
                <w:sz w:val="20"/>
                <w:szCs w:val="20"/>
                <w:lang w:val="en-US"/>
              </w:rPr>
              <w:t>2009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Государственная система обеспечения единства измерений. Методики выполнения измерений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8.568-</w:t>
            </w:r>
            <w:r>
              <w:rPr>
                <w:bCs/>
                <w:sz w:val="20"/>
                <w:szCs w:val="20"/>
                <w:lang w:val="en-US"/>
              </w:rPr>
              <w:t>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Государственная система обеспечения единства измерений. Аттестация испытательного оборудования. Основные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12.0.003-2015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Система стандартов безопасности труда. Опасные и вредные производственные факторы. Классификация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12.1.004-91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Система стандартов безопасности труда. Пожарная безопасность. Общие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12.1.010-76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Система стандартов безопасности труда. Взрывобезопасность. Общие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12.2.011-2012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Система стандартов безопасности труда. Машины строительные,  дорожные и землеройные. Общие требования безопасности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17.0.0.01-76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Система стандартов в области охраны природы и улучшения использования природных ресурсов. Основные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59053-2020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Национальный стандарт Российской Федерации. Охрана окружающей среды. Охрана и рациональное использование вод. Термины и определения"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-108"/>
              <w:jc w:val="start"/>
              <w:rPr/>
            </w:pPr>
            <w:r>
              <w:rPr>
                <w:sz w:val="20"/>
                <w:szCs w:val="20"/>
              </w:rPr>
              <w:t>ГОСТ 17.2.1.01-76* (СТ СЭВ 1366-78)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Охрана природы. Атмосфера. Классификация выбросов по составу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21.001-2021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Система проектной документации для строительства. Общие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310.1-76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Методы испытаний. Общие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310.2-76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Методы определение тонкости помола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310.3-76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Методы определения нормальной густоты, сроков схватывания и равномерности изменения объема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310.4-81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Методы определения предела прочности при изгибе и сжатии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310.5-88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Метод определения тепловыделения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310.6-2020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Цементы. «Метод определения водоотделения»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-108"/>
              <w:jc w:val="start"/>
              <w:rPr/>
            </w:pPr>
            <w:r>
              <w:rPr>
                <w:sz w:val="20"/>
                <w:szCs w:val="20"/>
              </w:rPr>
              <w:t>ГОСТ 965-89</w:t>
            </w:r>
          </w:p>
          <w:p>
            <w:pPr>
              <w:pStyle w:val="Normal"/>
              <w:spacing w:lineRule="auto" w:line="240" w:before="0" w:after="0"/>
              <w:ind w:hanging="0" w:start="-108"/>
              <w:jc w:val="start"/>
              <w:rPr/>
            </w:pPr>
            <w:r>
              <w:rPr>
                <w:sz w:val="20"/>
                <w:szCs w:val="20"/>
              </w:rPr>
              <w:t>(СТ СЭВ 6086-87)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Портландцементы белые.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969-</w:t>
            </w:r>
            <w:r>
              <w:rPr>
                <w:bCs/>
                <w:sz w:val="20"/>
                <w:szCs w:val="20"/>
                <w:lang w:val="en-US"/>
              </w:rPr>
              <w:t>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 глиноземистые и высокоглиноземистые.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3344-83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песок шлаковые для дорожного строительства.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4333-2021 (ISO2592:2017)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Межгосударственный стандарт. Нефтепродукты. «Методы определения температур вспышки и воспламенения в открытом тигле»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5180-2015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Грунты. Методы лабораторного определения физических характеристик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6139-2020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«Песок для испытаний цемента. Технические условия»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6665-91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Камни бетонные и железобетонные бортовые.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 xml:space="preserve">ГОСТ </w:t>
            </w:r>
            <w:r>
              <w:rPr>
                <w:bCs/>
                <w:sz w:val="20"/>
                <w:szCs w:val="20"/>
                <w:lang w:val="en-US"/>
              </w:rPr>
              <w:t>32018-2012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Изделия строительно-дорожные из природного камня.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-108"/>
              <w:jc w:val="start"/>
              <w:rPr/>
            </w:pPr>
            <w:r>
              <w:rPr>
                <w:sz w:val="20"/>
                <w:szCs w:val="20"/>
              </w:rPr>
              <w:t>ГОСТ 7473-2010</w:t>
            </w:r>
          </w:p>
          <w:p>
            <w:pPr>
              <w:pStyle w:val="Normal"/>
              <w:spacing w:lineRule="auto" w:line="240" w:before="0" w:after="0"/>
              <w:ind w:hanging="0" w:start="-108"/>
              <w:jc w:val="start"/>
              <w:rPr/>
            </w:pPr>
            <w:r>
              <w:rPr>
                <w:sz w:val="20"/>
                <w:szCs w:val="20"/>
              </w:rPr>
              <w:t>(EN 206-1:2000)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Смеси бетонные.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8267-93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гравий из плотных горных пород для строительных работ.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8269.0-97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гравий из плотных горных пород и отходов промышленного производства для строительных работ. Методы физико-механических испытаний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8269.1-97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гравий из плотных горных пород и отходов промышленного производства для строительных работ. Методы химического анализа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8735-88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Песок для строительных работ. Методы испытаний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8736-2014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Песок для строительных работ.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9128-2013</w:t>
            </w:r>
          </w:p>
          <w:p>
            <w:pPr>
              <w:pStyle w:val="Normal"/>
              <w:spacing w:lineRule="auto" w:line="240" w:before="0" w:after="0"/>
              <w:ind w:hanging="0" w:start="0"/>
              <w:jc w:val="star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асфальтобетонные дорожные, аэродромные и асфальтобетон.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32496-2013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Заполнители пористые для легких бетонов.</w:t>
            </w:r>
            <w:r>
              <w:rPr>
                <w:bCs/>
                <w:sz w:val="20"/>
                <w:szCs w:val="20"/>
              </w:rPr>
              <w:t xml:space="preserve">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10060- 2012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морозостойкости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31108-2020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195" w:leader="none"/>
              </w:tabs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«Цементы общестроительные. Технические условия»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10180-2012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прочности по контрольным образцам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10181-2014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бетонные. Методы испытаний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11052-74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 гипсоглиноземистый расширяющийся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11501-78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глубины проникания иглы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11503-74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условной вязкости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11504-73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количества испарившегося разжижителя из жидких битумов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11505-75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растяжимости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11506-73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температуры размягчения по кольцу и шару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11507-78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температуры хрупкости по Фраасу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11508-74</w:t>
            </w:r>
            <w:r>
              <w:rPr>
                <w:rFonts w:ascii="Times New Roman" w:hAnsi="Times New Roman"/>
                <w:bCs/>
                <w:sz w:val="20"/>
                <w:szCs w:val="20"/>
                <w:rtl w:val="true"/>
              </w:rPr>
              <w:t>٭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Методы определения сцепления битума с мрамором и песком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12071-2014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Отбор, упаковка, транспортирование и хранение образцов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12536-2014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Методы лабораторного определения зернового (гранулометрического) и микроагрегатного состава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12730.0-2020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Общие требования к методам определения плотности, влажности, водопоглощения, пористости и водонепроницаемости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Методы определения плотности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12730.2-2020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 определения влажности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12730.3-2020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 определения водопоглощения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12730.4-2020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Методы определения параметров пористости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12730.5-</w:t>
            </w:r>
            <w:r>
              <w:rPr>
                <w:bCs/>
                <w:sz w:val="20"/>
                <w:szCs w:val="20"/>
                <w:lang w:val="en-US"/>
              </w:rPr>
              <w:t>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водонепроницаемости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12801-98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Материалы на основе органических вяжущих для дорожного и аэродромного строительства. Методы испытаний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12852.0-2020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 ячеистый. Общие требования к методам испытаний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Методы определения плотности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12730.2-2020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 определения влажности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25485-89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 ячеистые.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31359-2024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 ячеистые автоклавного твердения.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25485-2019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 ячеистые.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12852.5-2020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 ячеистый. Метод определения коэффициента паропроницаемости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12852.6-2020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 ячеистый. Метод определения сорбционной влажности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13015-2012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Изделия бетонные и железобетонные для строительства. Общие технические требования. Правила приемки, маркировки, транспортирования и хранения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13087-</w:t>
            </w:r>
            <w:r>
              <w:rPr>
                <w:bCs/>
                <w:sz w:val="20"/>
                <w:szCs w:val="20"/>
                <w:lang w:val="en-US"/>
              </w:rPr>
              <w:t>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истираемости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ИСО 14001-2016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Системы экологического менеджмента. Требования и руководство по применению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15467-79</w:t>
            </w:r>
            <w:r>
              <w:rPr>
                <w:sz w:val="20"/>
                <w:szCs w:val="20"/>
              </w:rPr>
              <w:t>(СТ СЭВ 3519-81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Управление качеством продукции. Основные понятия. Термины и определения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16504-81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4Система государственных испытаний продукции. Испытания и контроль качества продукции. Основные термины и определения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17608-2017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Плиты бетонные тротуарные.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18105-201</w:t>
            </w:r>
            <w:r>
              <w:rPr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Правила контроля и оценки прочности.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18180-72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нефтяные. Метод определения изменения массы после прогрева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19804-2021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Сваи железобетонные заводского изготовления.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20054-2016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Трубы бетонные безнапорные,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22000-2023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Трубы бетонные и железобетонные. Типы и основные параметры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22245-90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Битумы нефтяные дорожные вязкие.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22263-2025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песок из пористых горных пород.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22266-2013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 сульфатостойкие.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22690-2015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Определение прочности механическими методами неразрушающего контроля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22733-2016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 лабораторного определения максимальной плотности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22783-2022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прогнозирования прочности на сжатие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22856-89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Щебень и песок декоративные из природного камня.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23061-2012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Методы радиоизотопных измерений плотности и влажности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23118-201</w:t>
            </w:r>
            <w:r>
              <w:rPr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Конструкции стальные строительные.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23161-2012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 лабораторного определения характеристик просадочности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23558-94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щебеночно-гравийно-песчаные и грунты обработанные неорганическими вяжущими материалами, для дорожного и аэродромного строительства.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23732-2011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Вода для бетонов и растворов.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23735- 2014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песчано-гравийные для строительных работ.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23740-2016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Грунты. Методы определения содержания органических веществ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методом одноплоскостного среза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12248.2-2020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методом одноосного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12248.3-2020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и деформируемости методом трехосного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12248.4-2020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деформируемости методом компрессионного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12248.5-2020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Метод суффозионного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Метод определения набухания и усадки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12248.7-2020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и деформируемости мерзлых грунтов методом испытания шариковым штампом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12248.8-2020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мерзлых грунтов методом среза по поверхности смерзания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12248.9-2020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и деформируемости мерзлых грунтов методом одноосного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12248.10-2020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деформируемости мерзлых грунтов методом компрессионного сжатия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12248.11-2020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Определение характеристик прочности оттаивающих грунтов методом среза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24211-</w:t>
            </w:r>
            <w:r>
              <w:rPr>
                <w:bCs/>
                <w:sz w:val="20"/>
                <w:szCs w:val="20"/>
                <w:lang w:val="en-US"/>
              </w:rPr>
              <w:t>200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Добавки для бетонов и строительных растворов. Общие технические условия.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24316-2022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 определения тепловыделения при твердении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24452-2023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призменной прочности, модуля упругости и коэффициента Пуассона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24544-2020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Бетоны. Методы определения деформаций усадки и ползучести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24545-2021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испытаний на выносливость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24547-2016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Звенья железобетонные водопропускных труб под насыпи автомобильных и железных дорог.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24640-91</w:t>
            </w:r>
          </w:p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(СТ СЭВ 6824-89)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Добавки для цементов. Классификация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25100-20</w:t>
            </w:r>
            <w:r>
              <w:rPr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Классификация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25192-2012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Классификация и общие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25214-2021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 силикатный плотный.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58895-2020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 химически стойкие.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25459-82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Опоры железобетонные дорожных знаков.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31359-2024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 ячеистые автоклавного твердения.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25584-2023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Методы лабораторного определения коэффициента фильтрации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25607-2009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щебеночно-гравийно-песчаные для покрытий и оснований автомобильных дорог и аэродромов.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25820-2021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 легкие.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26134-2016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Ультразвуковой метод определения морозостойкости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26633-2015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 тяжелые и мелкозернистые.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27005-2014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 легкие и ячеистые. Правила контроля средней плотности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27006-2019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Правила подбора состава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28570-2019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прочности по образцам, отобранным из конструкций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28622-2012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Метод лабораторного определения степени пучинистости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29167-2021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Методы определения характеристики трещиностойкости (вязкости разрушения) при статическом нагружении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30108-94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Материалы и изделия строительные. Определение удельной эффективной активности естественных радионуклидов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56925-2016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Дороги автомобильные и аэродромы. Методы измерения неровностей оснований и покрытий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30413-96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автомобильные. Метод определения коэффициента сцепления колеса автомобиля с дорожным покрытием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30416-2020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Межгосударственный стандарт. Грунты. Лабораторные испытания. Общие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30459-2008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Добавки для бетонов и строительных растворов. Определение и оценка эффективности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30491-2012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органоминеральные и грунты, укрепленные органическими вяжущими, для дорожного и аэродромного строительства.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30515-2013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Цементы.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30672-2019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Грунты. Полевые испытания. Общие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30693-2000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Мастики кровельные и гидроизоляционные. Общие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31015-2002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Смеси асфальтобетонные и асфальтобетон щебеночно-мастичные.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31424-2010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Материалы строительные нерудные из отсевов дробления плотных пород при производстве щебня.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50597-2017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50970-2011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Столбики сигнальные дорожные. Общие технические требования. Правила применения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50971-2011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Световозвращатели дорожные. Общие технические требования. Правила применения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51256-2018</w:t>
            </w:r>
          </w:p>
          <w:p>
            <w:pPr>
              <w:pStyle w:val="Normal"/>
              <w:spacing w:lineRule="auto" w:line="240" w:before="0" w:after="0"/>
              <w:jc w:val="star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Разметка дорожная. Классификация.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51582-2000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Знаки дорожные «Пункт контроля международных автомобильных перевозок» и «Пост дорожно-патрульной службы». Общие технические требования, правила применения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52056-2025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Вяжущие полимерно-битумные дорожные на основе блоксополимеров типа Стирол-бутадиен-стирол. Технические условия.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52129-2003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Порошок минеральный для асфальтобетонных и органоминеральных смесей. Технические условия.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52282-2004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Светофоры дорожные. Типы и основные параметры. Общие технические  требования. Методы испытаний.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52289-2019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52290-2024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Знаки дорожные. Общие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52399-2022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Национальный стандарт Российской Федерации. Дороги автомобильные общего пользования. Геометрические элементы.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52605-2006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Искусственные неровности. Общие технические требования. Правила применения.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</w:t>
            </w:r>
            <w:r>
              <w:rPr>
                <w:bCs/>
                <w:sz w:val="20"/>
                <w:szCs w:val="20"/>
                <w:lang w:val="en-US"/>
              </w:rPr>
              <w:t>60</w:t>
            </w:r>
            <w:r>
              <w:rPr>
                <w:bCs/>
                <w:sz w:val="20"/>
                <w:szCs w:val="20"/>
              </w:rPr>
              <w:t>7-200</w:t>
            </w:r>
            <w:r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Ограждения дорожные удерживающие боковые для автомобилей. Общие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52765-2007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Элементы обустройства. Классификация.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52766-2007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 Элементы обустройства. Общие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 Р 52767-2007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 Элементы обустройства. Методы определения параметров.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 Р 54400-2020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Асфальтобетон дорожный литой горячий. Методы испытаний.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54401-2020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Асфальтобетон дорожный литой горячий.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18105-2018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Бетоны. Правила контроля и оценки прочности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53172-2022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Изделия для дорожной разметки.Микростеклошарики.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54809-2011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Технические средства организации дорожного движения. Разметка дорожная. Методы контроля.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ГОСТ Р 54306-2022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Дороги автомобильные общего пользования. Изделия для дорожной разметки. Полимерные ленты. Технические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51256-2018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Технические средства организации дорожного движения. Разметка дорожная. Классификация.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32866-2014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Дороги автомобильные общего пользования. Световозвращатели дорожные.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33151-2014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Дороги автомобильные общего пользования. Элементы обустройства. Технические требования. Правила применения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24451-80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Тоннели автодорожные. Габариты приближения строений и оборудования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9128-2013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Смеси асфальтобетонные, полимерасфальтобетонные, асфальтобетон, полимерасфальтобетон для автомобильных дорог и аэродромов.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48.13330.2019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Организация строительства.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126.13330.2017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Геодезические работы в строительстве.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78.13330.2012</w:t>
            </w:r>
          </w:p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 изменением № 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Автомобильные дороги. Актуализированная редакция СНиП 3.06.03-85.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47.13330.2016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Инженерные изыскания для строительства. Основные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22.13330.2016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Основания зданий и сооружений.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34.13330.2021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Свод правил. Автомобильные дороги.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130.13330.2018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Производство сборных железобетонных конструкций и изделий.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46.13330.2012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Мосты и трубы. Актуализированная редакция СНиП 3.06.04-91.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35.13330.2011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Мосты и трубы. Актуализированная редакция СНиП 2.05.03-84*.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79.13330.2012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Мосты и трубы. Правила обследований и испытаний. Актуализированная редакция СНиП 3.06.07-86.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122.13330.2023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Тоннели железнодорожные и автодорожные.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start"/>
              <w:outlineLvl w:val="1"/>
              <w:rPr/>
            </w:pPr>
            <w:r>
              <w:rPr>
                <w:bCs/>
                <w:sz w:val="20"/>
                <w:szCs w:val="20"/>
              </w:rPr>
              <w:t>ВСН 123-77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Инструкция по устройству покрытий и оснований из щебеночных, гравийных ипесчаных материалов, обработанных органическими вяжущими.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ВСН 42-91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Нормы расхода строительных материалов на строительство и ремонт автомобильных дорог и мостов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ОДМ 218.2.036-2013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рекомендации по устройству, ремонту, содержанию и эксплуатации паромных переправ и наплавных мостов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ОДМ 218.3.039-2014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Рекомендации по испытанию пленкообразующих материалов по уходу за свежеуложенным бетоном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ОДН 218.4.039-2018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диагностики и оценки состояния автомобильных дорог. Основные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ОДН 218.5.016-2002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и нормы экологической безопасности автомобильной дороги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ОДН 218.3.039-2003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Укрепление обочин автомобильных дорог.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Распоряжение Росавтодора от 30.08.1999 N 7-р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Методические рекомендации по содержанию мостовых сооружений на автомобильных дорогах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Росавтодор-М., 1999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Справочное пособие дорожному (мостовому) мастеру по содержанию мостовых сооружений на автомобильных дорогах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Письмо Госстроя РФ от 10.04.2001 №НЗ-1778/10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Нормативные показатели расхода материалов. Дополнение 2 к сборнику 10. Деревянные конструкции. Антисептирование и огнезащита.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63.13330.2018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Бетонные и железобетонные конструкции. Основные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СНиП 12-03-2001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Безопасность труда в строительстве. Часть </w:t>
            </w:r>
            <w:r>
              <w:rPr>
                <w:bCs/>
                <w:sz w:val="20"/>
                <w:szCs w:val="20"/>
                <w:lang w:val="en-US"/>
              </w:rPr>
              <w:t>I</w:t>
            </w:r>
            <w:r>
              <w:rPr>
                <w:bCs/>
                <w:sz w:val="20"/>
                <w:szCs w:val="20"/>
              </w:rPr>
              <w:t>. Общие требования.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СНиП 12-04-2002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Безопасность труда в строительстве. Часть  </w:t>
            </w:r>
            <w:r>
              <w:rPr>
                <w:bCs/>
                <w:sz w:val="20"/>
                <w:szCs w:val="20"/>
                <w:lang w:val="en-US"/>
              </w:rPr>
              <w:t>II</w:t>
            </w:r>
            <w:r>
              <w:rPr>
                <w:bCs/>
                <w:sz w:val="20"/>
                <w:szCs w:val="20"/>
              </w:rPr>
              <w:t>. Строительное производство.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70.13330.2012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Несущие и ограждающие конструкции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28.13330.2017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Защита строительных конструкций от коррозии. </w:t>
            </w:r>
            <w:r>
              <w:rPr>
                <w:bCs/>
                <w:sz w:val="20"/>
                <w:szCs w:val="20"/>
              </w:rPr>
              <w:t>Актуализированная редакция</w:t>
            </w:r>
            <w:r>
              <w:rPr>
                <w:sz w:val="20"/>
                <w:szCs w:val="20"/>
              </w:rPr>
              <w:t xml:space="preserve"> СНиП 2.03.11-85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72.13330.2016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Защита строительных конструкций и сооружений от коррозии. </w:t>
            </w:r>
            <w:r>
              <w:rPr>
                <w:bCs/>
                <w:sz w:val="20"/>
                <w:szCs w:val="20"/>
              </w:rPr>
              <w:t>Актуализированная редакция</w:t>
            </w:r>
            <w:r>
              <w:rPr>
                <w:sz w:val="20"/>
                <w:szCs w:val="20"/>
              </w:rPr>
              <w:t xml:space="preserve"> СНиП 3.04.03-85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45.13330.2017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Земляные сооружения, основания и фундаменты.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Приказ Минстроя России от 02.12.2022 N 1026/пр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"Об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строительства"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 Нижегородской области от 23.11.2001 № 226-З «Об отходах производства и потребления»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68.13330.2017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Приемка в эксплуатацию законченных строительством объектов. Основные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ТР ТС 014/2011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uto" w:line="240" w:before="0" w:after="0"/>
              <w:ind w:hanging="0" w:star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регламент Таможенного союза. Безопасность автомобильных дорог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bCs/>
                <w:sz w:val="20"/>
                <w:szCs w:val="20"/>
              </w:rPr>
              <w:t>СП 47.13330.2016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Инженерные изыскания для строительства. Основные положения.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22.13330.2016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Основания зданий и сооружений.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СП 45.13330.2017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Земляные сооружения, основания и фундаменты.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33133-2014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Битумы нефтяные дорожные вязкие.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58952.2-2020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Правила подбора состава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58952.3-2020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извлечения битумного вяжущего путем выпаривания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58952.4-2020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скорости распада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58952.5-2020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содержания битумного вяжущего с эмульгатором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условной вязкости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58952.7-2020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остатка на сите N 014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58952.8-2020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устойчивости при хранении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58952.9-2020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расслоения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58952.10-2020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Дороги автомобильные общего пользования. Эмульсии битумные дорожные. Метод определения адгезии с минеральными материалами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59120-2021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стандарт Российской Федерации. Дороги автомобильные общего пользования. Дорожная одежда. Общие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12.1.007-76*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Государственный стандарт Союза ССР. Система стандартов безопасности труда. Вредные вещества. Классификация и общие требования безопасности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25912-2015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Плиты железобетонные предварительно напряженные для аэродромных покрытий.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27751-2014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Надежность строительных конструкций и оснований. Основные положения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32825-2014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Дорожные покрытия. Методы измерения геометрических размеров повреждений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32836-2014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Изыскания автомобильных дорог. Общие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32869-2014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проведению топографо-геодезических изысканий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32960-2014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Нормативные нагрузки, расчетные схемы нагружения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33078-2014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Методы измерения сцепления колеса автомобиля с покрытием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33100-2023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Правила проектирования автомобильных дорог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33101-2014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Покрытия дорожные. Методы измерения ровности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33148-2014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Плиты дорожные железобетонные.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33149-2014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Правила проектирования автомобильных дорог в сложных условиях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33220-2015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эксплуатационному состоянию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33382-2015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Техническая классификация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33388-2015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проведению диагностики и паспортизации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33475-2015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проведению диагностики и паспортизации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55028-2012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стандарт Российской Федерации. Дороги автомобильные общего пользования. Материалы геосинтетические для дорожного строительства. Классификация, термины и определения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58349-2019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стандарт Российской Федерации. Дороги автомобильные общего пользования. Дорожная одежда. Методы измерения толщины слоев дорожной одежды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58407.5-2019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стандарт Российской Федерации. Дороги автомобильные общего пользования. Асфальтобетон дорожный. Методы отбора проб из уплотненных слоев дорожной одежды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Р 58577-2019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стандарт Российской Федерации. Правила установления нормативов допустимых выбросов загрязняющих веществ проектируемыми и действующими хозяйствующими субъектами и методы определения этих нормативов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32755-2014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проведению приемки в эксплуатацию выполненных работ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32756-2014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Межгосударственный стандарт. Дороги автомобильные общего пользования. Требования к проведению промежуточной приемки выполненных работ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КОНТРОЛЬ КАЧЕСТВА НА СТРОИТЕЛЬСТВЕ МОСТОВ Пособие для инженерно-технических работников мостостроительных организаций (Государственный проектный и проектно-конструкторский институт по проектированию строительства мостов (Гипростроймост))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5264-80*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Ручная дуговая сварка. Соединения сварные. Основные типы, конструктивные элементы и размеры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Приказ Ростехнадзора от15.12.2020 N 535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Об утверждении федеральных норм и правил в области промышленной безопасности "Правила осуществления эксплуатационного контроля металла и продления срока службы основных элементов котлов и трубопроводов тепловых электростанций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СТО НОСТРОЙ 2.10.76-2012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Стандарт организации. Строительные конструкции металлические. Болтовые соединения. Правила и контроль монтажа, требования к результатам работ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ГОСТ 5686-2020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</w:rPr>
              <w:t>Межгосударственный стандарт. Грунты. Методы полевых испытаний сваями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СТО-ГК "Трансстрой" 0122018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Стальные конструкции мостов. Заводское изготовление</w:t>
            </w:r>
          </w:p>
          <w:p>
            <w:pPr>
              <w:pStyle w:val="Normal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СТО-ГК "Трансстрой" 005 2018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Стальные конструкции мостов. Технология монтажной сварки</w:t>
            </w:r>
          </w:p>
          <w:p>
            <w:pPr>
              <w:pStyle w:val="Normal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СТО 136-2009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Специальные вспомогательные сооружения и устройства для строительства мостов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СП 129.13330.2019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Свод правил. Наружные сети и сооружения водоснабжения и канализации.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СП 31.13330.2021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Свод правил. Водоснабжение. Наружные сети и сооружения.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58818-2020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с низкой интенсивностью движения. Проектирование, конструирование и расчет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22689-2014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Межгосударственный стандарт. Трубы и фасонные части из полиэтилена для систем внутренней канализации.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31416-2009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Межгосударственный стандарт. Трубы и муфты хризотилцементные.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ПНСТ 542-2021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Предварительный национальный стандарт Российской Федерации. Дороги автомобильные общего пользования. Нежесткие дорожные одежды. Правила проектирования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58406.1-2020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щебеночно-мастичные асфальтобетонные и асфальтобетон.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58406.2-2020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горячие асфальтобетонные и асфальтобетон. Технические условия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58406.3-2020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асфальтобетонные дорожные и асфальтобетон. Метод определения стойкости к колееобразованию прокатыванием нагруженного колеса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58406.4-2020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асфальтобетонные дорожные и асфальтобетон. Приготовление образцов-плит вальцовым уплотнителем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ГОСТ Р 58406.5-2020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асфальтобетонные дорожные и асфальтобетон. Метод определения истираемости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58406.6-2020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Смеси асфальтобетонные дорожные и асфальтобетон. Метод определения предела прочности на растяжение при изгибе и предельной относительной деформации растяжения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32703-2014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Межгосударственный стандарт. Дороги автомобильные общего пользования. Щебень и гравий из горных пород. Технические требования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59864.1-2022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Земляное полотно. Технические требования"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-108" w:leader="none"/>
                <w:tab w:val="left" w:pos="0" w:leader="none"/>
                <w:tab w:val="left" w:pos="540" w:leader="none"/>
                <w:tab w:val="left" w:pos="644" w:leader="none"/>
                <w:tab w:val="left" w:pos="785" w:leader="none"/>
              </w:tabs>
              <w:spacing w:lineRule="auto" w:line="240" w:before="0" w:after="0"/>
              <w:ind w:hanging="360" w:start="3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start="0"/>
              <w:jc w:val="start"/>
              <w:rPr/>
            </w:pPr>
            <w:r>
              <w:rPr>
                <w:sz w:val="20"/>
                <w:szCs w:val="20"/>
                <w:lang w:eastAsia="ru-RU"/>
              </w:rPr>
              <w:t>ГОСТ Р 59864.2-2022.</w:t>
            </w:r>
          </w:p>
        </w:tc>
        <w:tc>
          <w:tcPr>
            <w:tcW w:w="7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start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Национальный стандарт Российской Федерации. Дороги автомобильные общего пользования. Земляное полотно. Методы измерения геометрических параметров"</w:t>
            </w:r>
          </w:p>
        </w:tc>
      </w:tr>
    </w:tbl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jc w:val="both"/>
        <w:rPr>
          <w:rFonts w:ascii="Times New Roman" w:hAnsi="Times New Roman"/>
          <w:i/>
        </w:rPr>
      </w:pPr>
      <w:r>
        <w:rPr>
          <w:i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jc w:val="both"/>
        <w:rPr>
          <w:rFonts w:ascii="Times New Roman" w:hAnsi="Times New Roman"/>
          <w:i/>
        </w:rPr>
      </w:pPr>
      <w:r>
        <w:rPr>
          <w:i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jc w:val="both"/>
        <w:rPr>
          <w:rFonts w:ascii="Times New Roman" w:hAnsi="Times New Roman"/>
          <w:i/>
        </w:rPr>
      </w:pPr>
      <w:r>
        <w:rPr>
          <w:i/>
          <w:sz w:val="24"/>
          <w:szCs w:val="24"/>
        </w:rPr>
        <w:t xml:space="preserve">Примечание: в ходе исполнения договора должны использоваться актуальные редакции нормативно-технических документов. Кроме того, при исполнении договора могут учитываться вновь вводимые и/или не указанные в настоящем приложении нормативно-технические документы.    </w:t>
      </w:r>
      <w:r>
        <w:rPr>
          <w:i/>
          <w:sz w:val="20"/>
          <w:szCs w:val="20"/>
        </w:rPr>
        <w:t xml:space="preserve"> </w:t>
      </w:r>
      <w:r>
        <w:rPr>
          <w:i/>
        </w:rPr>
        <w:t xml:space="preserve">                  </w:t>
      </w:r>
    </w:p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</w:t>
      </w:r>
    </w:p>
    <w:p>
      <w:pPr>
        <w:pStyle w:val="Normal"/>
        <w:spacing w:lineRule="auto" w:line="240" w:before="0" w:after="0"/>
        <w:ind w:hanging="0" w:start="0"/>
        <w:jc w:val="both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№ 2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 Техническому заданию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Требования к качеству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Работы выполняются в рамках капитального ремонта автомобильных дорог.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состав работ по Объекту входят следующие этапы:</w:t>
      </w:r>
    </w:p>
    <w:tbl>
      <w:tblPr>
        <w:tblW w:w="10206" w:type="dxa"/>
        <w:jc w:val="start"/>
        <w:tblInd w:w="-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32"/>
        <w:gridCol w:w="9074"/>
      </w:tblGrid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ind w:hanging="0" w:star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этапа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этапа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1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22Н-4804 Шахунья-Верховское-Вахтан км 2+494 – км 4+014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2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22Н-4804 Шахунья-Верховское-Вахтан км 13+126 – км 13+668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3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22Н-4804 Шахунья-Верховское-Вахтан км 15+970 – км 16+300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4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22Н-4804 Шахунья-Верховское-Вахтан км 20+176 – км 20+929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5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22Н-4804 Шахунья-Верховское-Вахтан км 38+245 – км 39+110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6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22Н-4827 Мураиха-Хмелевицы км 0+000 – км 0+560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7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22Н-4827 Мураиха-Хмелевицы км 0+860 – км 2+621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8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22Н-4829 Верховское-Сява км 0+000 – км 0+569 в муниципальном округе город Шахунья Нижегородской области.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color w:val="000080"/>
                <w:sz w:val="21"/>
                <w:szCs w:val="21"/>
              </w:rPr>
              <w:t>9 этап</w:t>
            </w:r>
          </w:p>
        </w:tc>
        <w:tc>
          <w:tcPr>
            <w:tcW w:w="9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6015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color w:val="000080"/>
                <w:sz w:val="21"/>
                <w:szCs w:val="21"/>
              </w:rPr>
              <w:t>Устройство линии наружного освещения участка автомобильной дороги 22 ОП МЗ 22Н-4849 Хмелевицы-Б.Свеча-Половинная км 0+000 – км 0+331 в муниципальном округе город Шахунья Нижегородской области.</w:t>
            </w:r>
          </w:p>
        </w:tc>
      </w:tr>
    </w:tbl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Работы по Объекту, этапам необходимо выполнить в соответствии с требованиями действующих нормативно-технических документов, требованиями по безопасности дорожного движения к линиям освещения на автомобильных дорогах, а также проектной документацией, являющейся неотъемлемой частью в виде отдельных файлов.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Подрядчик при выполнении работ по Договору должен иметь в собственности или иметь гарантированный доступ (подтверждаемый копиями договоров аренды, лизинга, кредитных договоров и т.п.) к основным видам техники и оборудования, необходимым для выполнения комплекса работ по Договору.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Подрядчик обязан использовать на объекте только материалы и конструкции, имеющие соответствующие сертификаты (при условии, что указанные материалы и конструкции подлежат обязательной сертификации в соответствии с действующим законодательством), паспорта качества и другие документы, удостоверяющие их качество и прошедшие входной контроль.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Для выполнения работ Подрядчик обязан иметь собственную зарегистрированную освидетельствованную электролабораторию или договор на оказание услуг зарегистрированной освидетельствованной электролабораторией.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 производстве работ Подрядчик обязан выполнить необходимые мероприятия по обеспечению безопасности движения, техники безопасности, охране окружающей среды и безопасности выполнения работ в соответствии с действующим законодательством и нормативными актами.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Требования к товарам (при выполнении работ предполагается использовать товары, поставки которых не являются предметом договора):</w:t>
      </w:r>
    </w:p>
    <w:tbl>
      <w:tblPr>
        <w:tblW w:w="10208" w:type="dxa"/>
        <w:jc w:val="start"/>
        <w:tblInd w:w="-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"/>
        <w:gridCol w:w="2601"/>
        <w:gridCol w:w="3773"/>
        <w:gridCol w:w="2979"/>
      </w:tblGrid>
      <w:tr>
        <w:trPr>
          <w:trHeight w:val="1012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0" w:star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0" w:star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Товар, предлагаемый к использованию при выполнении работ</w:t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0" w:star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Показатель (параметр)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0" w:star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Минимальные, максимальные, неизменяемые значения (диапазон значений) показателей</w:t>
            </w:r>
          </w:p>
        </w:tc>
      </w:tr>
      <w:tr>
        <w:trPr>
          <w:trHeight w:val="341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железобетонные</w:t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 стойки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СВ95-3</w:t>
            </w:r>
          </w:p>
        </w:tc>
      </w:tr>
      <w:tr>
        <w:trPr>
          <w:trHeight w:val="397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" w:leader="none"/>
                <w:tab w:val="left" w:pos="9412" w:leader="none"/>
              </w:tabs>
              <w:ind w:hanging="0" w:star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железобетонные</w:t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 стойки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СВ110-5</w:t>
            </w:r>
          </w:p>
        </w:tc>
      </w:tr>
      <w:tr>
        <w:trPr>
          <w:trHeight w:val="397" w:hRule="atLeast"/>
        </w:trPr>
        <w:tc>
          <w:tcPr>
            <w:tcW w:w="8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</w:r>
          </w:p>
          <w:p>
            <w:pPr>
              <w:pStyle w:val="Normal"/>
              <w:ind w:hanging="0" w:star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Самонесущий изолированный провод</w:t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 провода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СИП</w:t>
              <w:softHyphen/>
              <w:t>2 3х25+1x35</w:t>
            </w:r>
          </w:p>
        </w:tc>
      </w:tr>
      <w:tr>
        <w:trPr>
          <w:trHeight w:val="824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ГОСТ 31946-2012</w:t>
            </w:r>
          </w:p>
        </w:tc>
      </w:tr>
      <w:tr>
        <w:trPr>
          <w:trHeight w:val="375" w:hRule="atLeast"/>
        </w:trPr>
        <w:tc>
          <w:tcPr>
            <w:tcW w:w="8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" w:leader="none"/>
                <w:tab w:val="left" w:pos="9412" w:leader="none"/>
              </w:tabs>
              <w:ind w:hanging="0" w:star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Светильник консольный</w:t>
            </w:r>
          </w:p>
          <w:p>
            <w:pPr>
              <w:pStyle w:val="Normal"/>
              <w:tabs>
                <w:tab w:val="clear" w:pos="708"/>
                <w:tab w:val="left" w:pos="71" w:leader="none"/>
                <w:tab w:val="left" w:pos="9412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светильника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Уличный для дорожного освещения</w:t>
            </w:r>
          </w:p>
        </w:tc>
      </w:tr>
      <w:tr>
        <w:trPr>
          <w:trHeight w:val="420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лампы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Светодиодный</w:t>
            </w:r>
          </w:p>
        </w:tc>
      </w:tr>
      <w:tr>
        <w:trPr>
          <w:trHeight w:val="435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Мощность, Вт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90</w:t>
            </w:r>
          </w:p>
        </w:tc>
      </w:tr>
      <w:tr>
        <w:trPr>
          <w:trHeight w:val="509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Световой поток, лм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Не менее 8000</w:t>
            </w:r>
          </w:p>
        </w:tc>
      </w:tr>
      <w:tr>
        <w:trPr>
          <w:trHeight w:val="397" w:hRule="atLeast"/>
        </w:trPr>
        <w:tc>
          <w:tcPr>
            <w:tcW w:w="8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" w:leader="none"/>
                <w:tab w:val="left" w:pos="9412" w:leader="none"/>
              </w:tabs>
              <w:ind w:hanging="0" w:star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Светильник консольный</w:t>
            </w:r>
          </w:p>
          <w:p>
            <w:pPr>
              <w:pStyle w:val="Normal"/>
              <w:tabs>
                <w:tab w:val="clear" w:pos="708"/>
                <w:tab w:val="left" w:pos="71" w:leader="none"/>
                <w:tab w:val="left" w:pos="9412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светильника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Уличный для дорожного освещения</w:t>
            </w:r>
          </w:p>
        </w:tc>
      </w:tr>
      <w:tr>
        <w:trPr>
          <w:trHeight w:val="410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лампы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Светодиодный</w:t>
            </w:r>
          </w:p>
        </w:tc>
      </w:tr>
      <w:tr>
        <w:trPr>
          <w:trHeight w:val="397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Мощность, Вт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150</w:t>
            </w:r>
          </w:p>
        </w:tc>
      </w:tr>
      <w:tr>
        <w:trPr>
          <w:trHeight w:val="397" w:hRule="atLeast"/>
        </w:trPr>
        <w:tc>
          <w:tcPr>
            <w:tcW w:w="8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Световой поток, лм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Не менее 22000</w:t>
            </w:r>
            <w:bookmarkStart w:id="1" w:name="_Hlk167182113"/>
            <w:bookmarkEnd w:id="1"/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Примечание: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i/>
          <w:sz w:val="24"/>
          <w:szCs w:val="24"/>
          <w:shd w:fill="auto" w:val="clear"/>
          <w:lang w:eastAsia="ru-RU"/>
        </w:rPr>
        <w:t>1. Любое упоминание на товарные знаки материалов, оборудования, конструкций в составе проектной документации, включая ее сметную часть, и (или) сметы договора подразумевает возможность их замены участником закупки на эквивалентные (соответствующие или превосходящие по качественным характеристикам) при соблюдении ограничений нормативны</w:t>
      </w:r>
      <w:r>
        <w:rPr>
          <w:i/>
          <w:sz w:val="24"/>
          <w:szCs w:val="24"/>
          <w:shd w:fill="auto" w:val="clear"/>
          <w:lang w:eastAsia="ru-RU"/>
        </w:rPr>
        <w:t>х</w:t>
      </w:r>
      <w:r>
        <w:rPr>
          <w:i/>
          <w:sz w:val="24"/>
          <w:szCs w:val="24"/>
          <w:shd w:fill="auto" w:val="clear"/>
          <w:lang w:eastAsia="ru-RU"/>
        </w:rPr>
        <w:t xml:space="preserve"> правовы</w:t>
      </w:r>
      <w:r>
        <w:rPr>
          <w:i/>
          <w:sz w:val="24"/>
          <w:szCs w:val="24"/>
          <w:shd w:fill="auto" w:val="clear"/>
          <w:lang w:eastAsia="ru-RU"/>
        </w:rPr>
        <w:t>х</w:t>
      </w:r>
      <w:r>
        <w:rPr>
          <w:i/>
          <w:sz w:val="24"/>
          <w:szCs w:val="24"/>
          <w:shd w:fill="auto" w:val="clear"/>
          <w:lang w:eastAsia="ru-RU"/>
        </w:rPr>
        <w:t xml:space="preserve"> актам</w:t>
      </w:r>
      <w:r>
        <w:rPr>
          <w:i/>
          <w:sz w:val="24"/>
          <w:szCs w:val="24"/>
          <w:shd w:fill="auto" w:val="clear"/>
          <w:lang w:eastAsia="ru-RU"/>
        </w:rPr>
        <w:t>ов</w:t>
      </w:r>
      <w:r>
        <w:rPr>
          <w:i/>
          <w:sz w:val="24"/>
          <w:szCs w:val="24"/>
          <w:shd w:fill="auto" w:val="clear"/>
          <w:lang w:eastAsia="ru-RU"/>
        </w:rPr>
        <w:t xml:space="preserve"> Российской Федерации в области импортозамещения;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i/>
          <w:sz w:val="24"/>
          <w:szCs w:val="24"/>
          <w:shd w:fill="auto" w:val="clear"/>
          <w:lang w:eastAsia="ru-RU"/>
        </w:rPr>
        <w:t xml:space="preserve">2. Наименование материалов, оборудования, конструкций в составе проектной документации, включая ее сметную часть и (или) проекта сметы контракта, содержащие товарные знаки, использованы заказчиком для определения начальной (максимальной) цены </w:t>
      </w:r>
      <w:r>
        <w:rPr>
          <w:i/>
          <w:sz w:val="24"/>
          <w:szCs w:val="24"/>
          <w:shd w:fill="auto" w:val="clear"/>
          <w:lang w:eastAsia="ru-RU"/>
        </w:rPr>
        <w:t>Договора</w:t>
      </w:r>
      <w:r>
        <w:rPr>
          <w:i/>
          <w:sz w:val="24"/>
          <w:szCs w:val="24"/>
          <w:shd w:fill="auto" w:val="clear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i/>
          <w:sz w:val="24"/>
          <w:szCs w:val="24"/>
          <w:shd w:fill="auto" w:val="clear"/>
          <w:lang w:eastAsia="ru-RU"/>
        </w:rPr>
        <w:t xml:space="preserve">3. Все товарные знаки (указание на конкретных производителей), указанные в составе проектной документации, включая ее сметную часть и (или) проекта сметы </w:t>
      </w:r>
      <w:r>
        <w:rPr>
          <w:i/>
          <w:sz w:val="24"/>
          <w:szCs w:val="24"/>
          <w:shd w:fill="auto" w:val="clear"/>
          <w:lang w:eastAsia="ru-RU"/>
        </w:rPr>
        <w:t>договора</w:t>
      </w:r>
      <w:r>
        <w:rPr>
          <w:i/>
          <w:sz w:val="24"/>
          <w:szCs w:val="24"/>
          <w:shd w:fill="auto" w:val="clear"/>
          <w:lang w:eastAsia="ru-RU"/>
        </w:rPr>
        <w:t>, необходимо считать сопровождаемыми словами «или эквивалент».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i/>
          <w:sz w:val="24"/>
          <w:szCs w:val="24"/>
          <w:shd w:fill="auto" w:val="clear"/>
          <w:lang w:eastAsia="ru-RU"/>
        </w:rPr>
        <w:t xml:space="preserve">4. </w:t>
      </w:r>
      <w:r>
        <w:rPr>
          <w:i/>
          <w:sz w:val="24"/>
          <w:szCs w:val="24"/>
          <w:shd w:fill="auto" w:val="clear"/>
          <w:lang w:eastAsia="ru-RU"/>
        </w:rPr>
        <w:t>Запрос</w:t>
      </w:r>
      <w:r>
        <w:rPr>
          <w:i/>
          <w:sz w:val="24"/>
          <w:szCs w:val="24"/>
          <w:shd w:fill="auto" w:val="clear"/>
          <w:lang w:eastAsia="ru-RU"/>
        </w:rPr>
        <w:t xml:space="preserve"> не содержит положений, запрещающих осуществлять замену предусмотренных в составе проектной документации, включая ее сметную часть и (или) проекта сметы контракта товаров (материалов, конструкций, оборудования), используемого при выполнении работ, на аналогичное (эквивалентное).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i/>
          <w:sz w:val="24"/>
          <w:szCs w:val="24"/>
          <w:shd w:fill="auto" w:val="clear"/>
          <w:lang w:eastAsia="ru-RU"/>
        </w:rPr>
        <w:t xml:space="preserve">5. Товары, указанные в составе проектной документации, включая ее сметную часть и (или) проекта сметы </w:t>
      </w:r>
      <w:r>
        <w:rPr>
          <w:i/>
          <w:sz w:val="24"/>
          <w:szCs w:val="24"/>
          <w:shd w:fill="auto" w:val="clear"/>
          <w:lang w:eastAsia="ru-RU"/>
        </w:rPr>
        <w:t>договора</w:t>
      </w:r>
      <w:r>
        <w:rPr>
          <w:i/>
          <w:sz w:val="24"/>
          <w:szCs w:val="24"/>
          <w:shd w:fill="auto" w:val="clear"/>
          <w:lang w:eastAsia="ru-RU"/>
        </w:rPr>
        <w:t>, являются используемыми при выполнении работ. Указанные товары не передаются заказчику по товарной накладной или акту передачи, не принимаются к бухгалтерскому учету заказчика в соответствии с Федеральным законом от 06.12.2011 № 402-ФЗ «О бухгалтерском учете», а являются строительными и расходными материалами, которые используются в ходе выполнения работ.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2419" w:leader="none"/>
        </w:tabs>
        <w:spacing w:lineRule="auto" w:line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 производства работ (далее - ППР).</w:t>
      </w:r>
    </w:p>
    <w:p>
      <w:pPr>
        <w:pStyle w:val="Normal"/>
        <w:shd w:val="clear" w:color="auto" w:fill="FFFFFF"/>
        <w:tabs>
          <w:tab w:val="clear" w:pos="708"/>
          <w:tab w:val="left" w:pos="2419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На основании и в соответствии с переданной Заказчиком Проектной документации Подрядчик обязан разработать Проекты производства работ (далее – ППР). </w:t>
      </w:r>
    </w:p>
    <w:p>
      <w:pPr>
        <w:pStyle w:val="Normal"/>
        <w:shd w:val="clear" w:color="auto" w:fill="FFFFFF"/>
        <w:tabs>
          <w:tab w:val="clear" w:pos="708"/>
          <w:tab w:val="left" w:pos="2419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Подрядчик обязан представить Заказчику проекты производства работ не позднее, чем за 5 рабочих дней до начала производства конкретного вида работ.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При исполнении Договора стороны руководствуются Перечнем нормативно-технических документов (Приложение № 1 к Техническому заданию).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 течение 15 рабочих дней с даты получения документов, Заказчик рассматривает проекты производства работ, подписывает акт сдачи-приемки или дает мотивированный отказ.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Проекты производства работ (далее – ППР) разрабатываются Подрядчиком на основании Проекта, Технического задания и Перечня нормативно-технических документов (Приложение № 1 к Техническому заданию), в соответствии с МДС 12-81.2007.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ППР предоставляются Заказчику на бумажном носителе и в форме электронного документа в формате, согласованном с Заказчиком.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ППР должны содержать следующие документы: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календарный план производства работ (помесячный – с учетом сроков выполнения работ), с указанием стоимостного и физического выражения объема работ, подлежащего выполнению в период каждого расчетного месяца.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график поступления на объект строительных конструкций, изделий и материалов (с указанием поставщика, карьера, месторождения);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график потребности в рабочих кадрах;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график потребности в основных строительных машинах;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технологические карты, определяющие состав операций, требования к качеству, трудоемкость, ресурсы и мероприятия по безопасности на технологические процессы по видам работ, согласно ведомости объемов и стоимости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технологическая карта на геодезические разбивочные работы;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схемы организации движения и ограждения мест выполнения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схему производства работ с установкой знаков на период выполнения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мероприятия по охране труда и безопасности;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 карты (схемы) на контроль качества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перечень исполнительной производственно-технической документации, составляемой в процессе выполнения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перечень работ, подлежащих освидетельствованию с составлением акта скрытых работ;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перечень ответственных конструкций, подлежащих промежуточной приемке с составлением акта,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пояснительную записку, содержащую основные решения, природоохранные мероприятия, мероприятия по охране труда и безопасности в строительстве.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Рабочие чертежи в составе ППР и исполнительной документации оформляются в соответствии с ГОСТ Р 21.101-2020 и ГОСТ 21.701-2013.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ППР должен быть сформирован в соответствии с требованиями СП 48.13330.2019 «Свод правил. Организация строительства. СП 48.13330.2019. Свод правил. Организация строительства. СНиП 12-01-2004».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Технологические карты в составе Проекта производства работ должны соответствовать "ОДМ. Технологические карты на устройство земляного полотна и дорожных одежд", введённым в действие распоряжением Министерства транспорта РФ от 23.05.2003 № ОС-468-р.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Cs/>
          <w:sz w:val="10"/>
          <w:szCs w:val="10"/>
        </w:rPr>
      </w:pPr>
      <w:r>
        <w:rPr>
          <w:i/>
          <w:iCs/>
          <w:sz w:val="10"/>
          <w:szCs w:val="10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en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№ 3 </w:t>
      </w:r>
    </w:p>
    <w:p>
      <w:pPr>
        <w:pStyle w:val="Normal"/>
        <w:jc w:val="end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Техническому заданию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Сметная документация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center"/>
        <w:rPr/>
      </w:pPr>
      <w:r>
        <w:rPr>
          <w:sz w:val="26"/>
          <w:szCs w:val="26"/>
        </w:rPr>
        <w:t>(ZIP-архив отдельным файлом)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Приложение №4 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 Техническому заданию</w:t>
      </w:r>
    </w:p>
    <w:p>
      <w:pPr>
        <w:pStyle w:val="ConsPlusNormal"/>
        <w:widowControl/>
        <w:ind w:hanging="0"/>
        <w:jc w:val="en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Проектная документация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spacing w:lineRule="auto" w:line="240" w:before="0" w:after="0"/>
        <w:ind w:firstLine="567"/>
        <w:jc w:val="both"/>
        <w:rPr>
          <w:b w:val="false"/>
          <w:bC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Выполнение работ по устройству линий наружного освещения на автомобильных дорогах общего пользования в муниципальном округе город Шахунья Нижегородской области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 </w:t>
      </w:r>
    </w:p>
    <w:p>
      <w:pPr>
        <w:pStyle w:val="Normal"/>
        <w:jc w:val="center"/>
        <w:rPr/>
      </w:pPr>
      <w:r>
        <w:rPr/>
        <w:t>(ZIP-архив отдельным файлом)</w:t>
      </w:r>
    </w:p>
    <w:p>
      <w:pPr>
        <w:pStyle w:val="Normal"/>
        <w:jc w:val="center"/>
        <w:rPr/>
      </w:pPr>
      <w:r>
        <w:rPr/>
      </w:r>
    </w:p>
    <w:p>
      <w:pPr>
        <w:pStyle w:val="ConsPlusNormal"/>
        <w:widowControl/>
        <w:ind w:hanging="0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93" w:right="567" w:gutter="0" w:header="709" w:top="1134" w:footer="709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Arial Narrow">
    <w:charset w:val="01" w:characterSet="utf-8"/>
    <w:family w:val="swiss"/>
    <w:pitch w:val="variable"/>
  </w:font>
  <w:font w:name="Courier">
    <w:altName w:val="Courier New"/>
    <w:charset w:val="01" w:characterSet="utf-8"/>
    <w:family w:val="roman"/>
    <w:pitch w:val="variable"/>
  </w:font>
  <w:font w:name="TimesDL">
    <w:charset w:val="01" w:characterSet="utf-8"/>
    <w:family w:val="roman"/>
    <w:pitch w:val="variable"/>
  </w:font>
  <w:font w:name="Garamond">
    <w:charset w:val="01" w:characterSet="utf-8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3845644"/>
      <w:docPartObj>
        <w:docPartGallery w:val="Page Numbers (Top of Page)"/>
        <w:docPartUnique w:val="true"/>
      </w:docPartObj>
    </w:sdtPr>
    <w:sdtContent>
      <w:p>
        <w:pPr>
          <w:pStyle w:val="Header"/>
          <w:spacing w:before="120" w:after="120"/>
          <w:jc w:val="cent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120" w:after="120"/>
      <w:ind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start"/>
      <w:pPr>
        <w:tabs>
          <w:tab w:val="num" w:pos="567"/>
        </w:tabs>
        <w:ind w:start="567" w:hanging="567"/>
      </w:pPr>
      <w:rPr/>
    </w:lvl>
    <w:lvl w:ilvl="1">
      <w:start w:val="1"/>
      <w:numFmt w:val="decimal"/>
      <w:lvlText w:val="%1.%2"/>
      <w:lvlJc w:val="start"/>
      <w:pPr>
        <w:tabs>
          <w:tab w:val="num" w:pos="567"/>
        </w:tabs>
        <w:ind w:start="567" w:hanging="567"/>
      </w:pPr>
      <w:rPr/>
    </w:lvl>
    <w:lvl w:ilvl="2">
      <w:start w:val="1"/>
      <w:numFmt w:val="decimal"/>
      <w:pStyle w:val="Heading3"/>
      <w:lvlText w:val="%1.%2.%3"/>
      <w:lvlJc w:val="start"/>
      <w:pPr>
        <w:tabs>
          <w:tab w:val="num" w:pos="1701"/>
        </w:tabs>
        <w:ind w:start="1701" w:hanging="1134"/>
      </w:pPr>
      <w:rPr/>
    </w:lvl>
    <w:lvl w:ilvl="3">
      <w:start w:val="1"/>
      <w:numFmt w:val="decimal"/>
      <w:pStyle w:val="Heading4"/>
      <w:lvlText w:val="%1.%2.%3.%4"/>
      <w:lvlJc w:val="start"/>
      <w:pPr>
        <w:tabs>
          <w:tab w:val="num" w:pos="3834"/>
        </w:tabs>
        <w:ind w:start="3834" w:hanging="1134"/>
      </w:pPr>
      <w:rPr/>
    </w:lvl>
    <w:lvl w:ilvl="4">
      <w:start w:val="1"/>
      <w:numFmt w:val="decimal"/>
      <w:lvlText w:val="%1.%2.%3.%4.%5."/>
      <w:lvlJc w:val="start"/>
      <w:pPr>
        <w:tabs>
          <w:tab w:val="num" w:pos="3348"/>
        </w:tabs>
        <w:ind w:start="3348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3348"/>
        </w:tabs>
        <w:ind w:start="3348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3708"/>
        </w:tabs>
        <w:ind w:start="3708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3708"/>
        </w:tabs>
        <w:ind w:start="3708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4068"/>
        </w:tabs>
        <w:ind w:start="4068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643"/>
        </w:tabs>
        <w:ind w:star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926"/>
        </w:tabs>
        <w:ind w:star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1209"/>
        </w:tabs>
        <w:ind w:start="1209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1492"/>
        </w:tabs>
        <w:ind w:star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643"/>
        </w:tabs>
        <w:ind w:start="643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1209"/>
        </w:tabs>
        <w:ind w:start="1209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1492"/>
        </w:tabs>
        <w:ind w:start="1492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">
    <w:lvl w:ilvl="0">
      <w:start w:val="1"/>
      <w:numFmt w:val="upperRoman"/>
      <w:lvlText w:val="ЧАСТЬ %1."/>
      <w:lvlJc w:val="start"/>
      <w:pPr>
        <w:tabs>
          <w:tab w:val="num" w:pos="2160"/>
        </w:tabs>
        <w:ind w:star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start"/>
      <w:pPr>
        <w:tabs>
          <w:tab w:val="num" w:pos="144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567"/>
        </w:tabs>
        <w:ind w:start="567" w:hanging="567"/>
      </w:pPr>
      <w:rPr/>
    </w:lvl>
    <w:lvl w:ilvl="1">
      <w:start w:val="1"/>
      <w:numFmt w:val="decimal"/>
      <w:lvlText w:val="%1.%2"/>
      <w:lvlJc w:val="start"/>
      <w:pPr>
        <w:tabs>
          <w:tab w:val="num" w:pos="567"/>
        </w:tabs>
        <w:ind w:start="567" w:hanging="567"/>
      </w:pPr>
      <w:rPr/>
    </w:lvl>
    <w:lvl w:ilvl="2">
      <w:start w:val="1"/>
      <w:numFmt w:val="none"/>
      <w:suff w:val="nothing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lvlText w:val="%1.%2.%3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432"/>
        </w:tabs>
        <w:ind w:start="432" w:hanging="432"/>
      </w:pPr>
      <w:rPr/>
    </w:lvl>
    <w:lvl w:ilvl="1">
      <w:start w:val="1"/>
      <w:numFmt w:val="decimal"/>
      <w:lvlText w:val="%1.%2"/>
      <w:lvlJc w:val="start"/>
      <w:pPr>
        <w:tabs>
          <w:tab w:val="num" w:pos="576"/>
        </w:tabs>
        <w:ind w:start="576" w:hanging="576"/>
      </w:pPr>
      <w:rPr/>
    </w:lvl>
    <w:lvl w:ilvl="2">
      <w:start w:val="1"/>
      <w:numFmt w:val="decimal"/>
      <w:lvlText w:val="%1.%2.%3"/>
      <w:lvlJc w:val="start"/>
      <w:pPr>
        <w:tabs>
          <w:tab w:val="num" w:pos="227"/>
        </w:tabs>
        <w:ind w:start="0" w:hanging="0"/>
      </w:pPr>
      <w:rPr/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1209"/>
        </w:tabs>
        <w:ind w:start="1209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b3111"/>
    <w:pPr>
      <w:widowControl/>
      <w:suppressAutoHyphens w:val="true"/>
      <w:bidi w:val="0"/>
      <w:spacing w:lineRule="auto" w:line="288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qFormat/>
    <w:rsid w:val="00fb3111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fb3111"/>
    <w:pPr>
      <w:keepNext w:val="true"/>
      <w:spacing w:lineRule="auto" w:line="240" w:before="0" w:after="60"/>
      <w:ind w:hanging="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qFormat/>
    <w:rsid w:val="00fb3111"/>
    <w:pPr>
      <w:keepNext w:val="true"/>
      <w:numPr>
        <w:ilvl w:val="2"/>
        <w:numId w:val="1"/>
      </w:numPr>
      <w:suppressAutoHyphens w:val="true"/>
      <w:spacing w:before="12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fb3111"/>
    <w:pPr>
      <w:keepNext w:val="true"/>
      <w:numPr>
        <w:ilvl w:val="3"/>
        <w:numId w:val="1"/>
      </w:numPr>
      <w:suppressAutoHyphens w:val="true"/>
      <w:spacing w:before="240" w:after="6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rsid w:val="00fb3111"/>
    <w:pPr>
      <w:tabs>
        <w:tab w:val="clear" w:pos="708"/>
        <w:tab w:val="left" w:pos="1008" w:leader="none"/>
      </w:tabs>
      <w:spacing w:lineRule="auto" w:line="240" w:before="240" w:after="60"/>
      <w:ind w:hanging="1008" w:start="1008"/>
      <w:outlineLvl w:val="4"/>
    </w:pPr>
    <w:rPr>
      <w:sz w:val="22"/>
      <w:szCs w:val="20"/>
    </w:rPr>
  </w:style>
  <w:style w:type="paragraph" w:styleId="Heading6">
    <w:name w:val="heading 6"/>
    <w:basedOn w:val="Normal"/>
    <w:next w:val="Normal"/>
    <w:qFormat/>
    <w:rsid w:val="00fb3111"/>
    <w:pPr>
      <w:tabs>
        <w:tab w:val="clear" w:pos="708"/>
        <w:tab w:val="left" w:pos="1152" w:leader="none"/>
      </w:tabs>
      <w:spacing w:lineRule="auto" w:line="240" w:before="240" w:after="60"/>
      <w:ind w:hanging="1152" w:start="1152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qFormat/>
    <w:rsid w:val="00fb3111"/>
    <w:pPr>
      <w:tabs>
        <w:tab w:val="clear" w:pos="708"/>
        <w:tab w:val="left" w:pos="1296" w:leader="none"/>
      </w:tabs>
      <w:spacing w:lineRule="auto" w:line="240" w:before="240" w:after="60"/>
      <w:ind w:hanging="1296" w:start="1296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qFormat/>
    <w:rsid w:val="00fb3111"/>
    <w:pPr>
      <w:tabs>
        <w:tab w:val="clear" w:pos="708"/>
        <w:tab w:val="left" w:pos="1440" w:leader="none"/>
      </w:tabs>
      <w:spacing w:lineRule="auto" w:line="240" w:before="240" w:after="60"/>
      <w:ind w:hanging="1440" w:start="1440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qFormat/>
    <w:rsid w:val="00fb3111"/>
    <w:pPr>
      <w:tabs>
        <w:tab w:val="clear" w:pos="708"/>
        <w:tab w:val="left" w:pos="1584" w:leader="none"/>
      </w:tabs>
      <w:spacing w:lineRule="auto" w:line="240" w:before="240" w:after="60"/>
      <w:ind w:hanging="1584" w:start="1584"/>
      <w:outlineLvl w:val="8"/>
    </w:pPr>
    <w:rPr>
      <w:rFonts w:ascii="Arial" w:hAnsi="Arial"/>
      <w:b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Гипертекстовая ссылка"/>
    <w:qFormat/>
    <w:rsid w:val="00fb3111"/>
    <w:rPr>
      <w:b/>
      <w:bCs/>
      <w:color w:val="008000"/>
      <w:sz w:val="20"/>
      <w:szCs w:val="20"/>
      <w:u w:val="single"/>
    </w:rPr>
  </w:style>
  <w:style w:type="character" w:styleId="1" w:customStyle="1">
    <w:name w:val="Заголовок 1 Знак"/>
    <w:qFormat/>
    <w:rsid w:val="00fb3111"/>
    <w:rPr>
      <w:rFonts w:cs="Times New Roman"/>
      <w:b/>
      <w:kern w:val="2"/>
      <w:sz w:val="36"/>
      <w:lang w:val="ru-RU" w:eastAsia="ru-RU" w:bidi="ar-SA"/>
    </w:rPr>
  </w:style>
  <w:style w:type="character" w:styleId="IntenseEmphasis">
    <w:name w:val="Intense Emphasis"/>
    <w:qFormat/>
    <w:rsid w:val="00fb3111"/>
    <w:rPr>
      <w:b/>
      <w:bCs/>
      <w:i/>
      <w:iCs/>
      <w:color w:val="4F81BD"/>
    </w:rPr>
  </w:style>
  <w:style w:type="character" w:styleId="CommentReference">
    <w:name w:val="annotation reference"/>
    <w:semiHidden/>
    <w:qFormat/>
    <w:rsid w:val="00fb3111"/>
    <w:rPr>
      <w:sz w:val="16"/>
      <w:szCs w:val="16"/>
    </w:rPr>
  </w:style>
  <w:style w:type="character" w:styleId="Style6">
    <w:name w:val="Символ сноски"/>
    <w:semiHidden/>
    <w:qFormat/>
    <w:rsid w:val="00fb3111"/>
    <w:rPr>
      <w:rFonts w:ascii="Times New Roman" w:hAnsi="Times New Roman"/>
      <w:vertAlign w:val="superscript"/>
    </w:rPr>
  </w:style>
  <w:style w:type="character" w:styleId="user">
    <w:name w:val="Символ сноски (user)"/>
    <w:qFormat/>
    <w:rPr>
      <w:rFonts w:ascii="Times New Roman" w:hAnsi="Times New Roman"/>
      <w:vertAlign w:val="superscript"/>
    </w:rPr>
  </w:style>
  <w:style w:type="character" w:styleId="FootnoteReference">
    <w:name w:val="footnote reference"/>
    <w:rPr>
      <w:rFonts w:ascii="Times New Roman" w:hAnsi="Times New Roman"/>
      <w:vertAlign w:val="superscript"/>
    </w:rPr>
  </w:style>
  <w:style w:type="character" w:styleId="PageNumber">
    <w:name w:val="page number"/>
    <w:rsid w:val="00fb3111"/>
    <w:rPr>
      <w:rFonts w:ascii="Times New Roman" w:hAnsi="Times New Roman"/>
    </w:rPr>
  </w:style>
  <w:style w:type="character" w:styleId="Style7" w:customStyle="1">
    <w:name w:val="Знак Знак"/>
    <w:semiHidden/>
    <w:qFormat/>
    <w:rsid w:val="00fb3111"/>
    <w:rPr>
      <w:rFonts w:ascii="Arial" w:hAnsi="Arial"/>
      <w:sz w:val="24"/>
      <w:lang w:val="ru-RU" w:eastAsia="ru-RU" w:bidi="ar-SA"/>
    </w:rPr>
  </w:style>
  <w:style w:type="character" w:styleId="Style8" w:customStyle="1">
    <w:name w:val="Основной шрифт"/>
    <w:semiHidden/>
    <w:qFormat/>
    <w:rsid w:val="00fb3111"/>
    <w:rPr/>
  </w:style>
  <w:style w:type="character" w:styleId="HTMLAcronym">
    <w:name w:val="HTML Acronym"/>
    <w:basedOn w:val="DefaultParagraphFont"/>
    <w:qFormat/>
    <w:rsid w:val="00fb3111"/>
    <w:rPr/>
  </w:style>
  <w:style w:type="character" w:styleId="Emphasis">
    <w:name w:val="Emphasis"/>
    <w:qFormat/>
    <w:rsid w:val="00fb3111"/>
    <w:rPr>
      <w:i/>
      <w:iCs/>
    </w:rPr>
  </w:style>
  <w:style w:type="character" w:styleId="Hyperlink">
    <w:name w:val="Hyperlink"/>
    <w:uiPriority w:val="99"/>
    <w:rsid w:val="00fb3111"/>
    <w:rPr>
      <w:color w:val="0000FF"/>
      <w:u w:val="single"/>
    </w:rPr>
  </w:style>
  <w:style w:type="character" w:styleId="HTMLKeyboard">
    <w:name w:val="HTML Keyboard"/>
    <w:qFormat/>
    <w:rsid w:val="00fb3111"/>
    <w:rPr>
      <w:rFonts w:ascii="Courier New" w:hAnsi="Courier New" w:cs="Courier New"/>
      <w:sz w:val="20"/>
      <w:szCs w:val="20"/>
    </w:rPr>
  </w:style>
  <w:style w:type="character" w:styleId="HTMLCode">
    <w:name w:val="HTML Code"/>
    <w:qFormat/>
    <w:rsid w:val="00fb3111"/>
    <w:rPr>
      <w:rFonts w:ascii="Courier New" w:hAnsi="Courier New" w:cs="Courier New"/>
      <w:sz w:val="20"/>
      <w:szCs w:val="20"/>
    </w:rPr>
  </w:style>
  <w:style w:type="character" w:styleId="LineNumber">
    <w:name w:val="line number"/>
    <w:basedOn w:val="DefaultParagraphFont"/>
    <w:rsid w:val="00fb3111"/>
    <w:rPr/>
  </w:style>
  <w:style w:type="character" w:styleId="HTMLSample">
    <w:name w:val="HTML Sample"/>
    <w:qFormat/>
    <w:rsid w:val="00fb3111"/>
    <w:rPr>
      <w:rFonts w:ascii="Courier New" w:hAnsi="Courier New" w:cs="Courier New"/>
    </w:rPr>
  </w:style>
  <w:style w:type="character" w:styleId="HTMLDefinition">
    <w:name w:val="HTML Definition"/>
    <w:qFormat/>
    <w:rsid w:val="00fb3111"/>
    <w:rPr>
      <w:i/>
      <w:iCs/>
    </w:rPr>
  </w:style>
  <w:style w:type="character" w:styleId="HTMLVariable">
    <w:name w:val="HTML Variable"/>
    <w:qFormat/>
    <w:rsid w:val="00fb3111"/>
    <w:rPr>
      <w:i/>
      <w:iCs/>
    </w:rPr>
  </w:style>
  <w:style w:type="character" w:styleId="HTMLTypewriter">
    <w:name w:val="HTML Typewriter"/>
    <w:qFormat/>
    <w:rsid w:val="00fb3111"/>
    <w:rPr>
      <w:rFonts w:ascii="Courier New" w:hAnsi="Courier New" w:cs="Courier New"/>
      <w:sz w:val="20"/>
      <w:szCs w:val="20"/>
    </w:rPr>
  </w:style>
  <w:style w:type="character" w:styleId="FollowedHyperlink">
    <w:name w:val="FollowedHyperlink"/>
    <w:rsid w:val="00fb3111"/>
    <w:rPr>
      <w:color w:val="800080"/>
      <w:u w:val="single"/>
    </w:rPr>
  </w:style>
  <w:style w:type="character" w:styleId="Strong">
    <w:name w:val="Strong"/>
    <w:qFormat/>
    <w:rsid w:val="00fb3111"/>
    <w:rPr>
      <w:b/>
      <w:bCs/>
    </w:rPr>
  </w:style>
  <w:style w:type="character" w:styleId="HTMLCite">
    <w:name w:val="HTML Cite"/>
    <w:qFormat/>
    <w:rsid w:val="00fb3111"/>
    <w:rPr>
      <w:i/>
      <w:iCs/>
    </w:rPr>
  </w:style>
  <w:style w:type="character" w:styleId="11" w:customStyle="1">
    <w:name w:val="Знак Знак1"/>
    <w:qFormat/>
    <w:rsid w:val="00fb3111"/>
    <w:rPr>
      <w:sz w:val="24"/>
      <w:lang w:val="ru-RU" w:eastAsia="ru-RU" w:bidi="ar-SA"/>
    </w:rPr>
  </w:style>
  <w:style w:type="character" w:styleId="3" w:customStyle="1">
    <w:name w:val="Стиль3 Знак Знак"/>
    <w:basedOn w:val="11"/>
    <w:qFormat/>
    <w:rsid w:val="00fb3111"/>
    <w:rPr>
      <w:sz w:val="24"/>
      <w:lang w:val="ru-RU" w:eastAsia="ru-RU" w:bidi="ar-SA"/>
    </w:rPr>
  </w:style>
  <w:style w:type="character" w:styleId="31" w:customStyle="1">
    <w:name w:val="Стиль3 Знак Знак Знак"/>
    <w:basedOn w:val="11"/>
    <w:qFormat/>
    <w:rsid w:val="00fb3111"/>
    <w:rPr>
      <w:sz w:val="24"/>
      <w:lang w:val="ru-RU" w:eastAsia="ru-RU" w:bidi="ar-SA"/>
    </w:rPr>
  </w:style>
  <w:style w:type="character" w:styleId="32" w:customStyle="1">
    <w:name w:val="Стиль3 Знак Знак Знак Знак"/>
    <w:basedOn w:val="11"/>
    <w:qFormat/>
    <w:rsid w:val="00fb3111"/>
    <w:rPr>
      <w:sz w:val="24"/>
      <w:lang w:val="ru-RU" w:eastAsia="ru-RU" w:bidi="ar-SA"/>
    </w:rPr>
  </w:style>
  <w:style w:type="character" w:styleId="311" w:customStyle="1">
    <w:name w:val="Стиль3 Знак Знак1"/>
    <w:qFormat/>
    <w:rsid w:val="00fb3111"/>
    <w:rPr>
      <w:sz w:val="24"/>
      <w:lang w:val="ru-RU" w:eastAsia="ru-RU" w:bidi="ar-SA"/>
    </w:rPr>
  </w:style>
  <w:style w:type="character" w:styleId="2" w:customStyle="1">
    <w:name w:val="Заголовок 2 Знак"/>
    <w:qFormat/>
    <w:rsid w:val="00fb3111"/>
    <w:rPr>
      <w:b/>
      <w:sz w:val="30"/>
      <w:lang w:val="ru-RU" w:eastAsia="ru-RU" w:bidi="ar-SA"/>
    </w:rPr>
  </w:style>
  <w:style w:type="character" w:styleId="maintext" w:customStyle="1">
    <w:name w:val="maintext"/>
    <w:basedOn w:val="DefaultParagraphFont"/>
    <w:qFormat/>
    <w:rsid w:val="00fb3111"/>
    <w:rPr/>
  </w:style>
  <w:style w:type="character" w:styleId="Style9" w:customStyle="1">
    <w:name w:val="Василий"/>
    <w:semiHidden/>
    <w:qFormat/>
    <w:rsid w:val="00fb3111"/>
    <w:rPr>
      <w:rFonts w:ascii="Arial" w:hAnsi="Arial" w:cs="Arial"/>
      <w:color w:val="auto"/>
      <w:sz w:val="20"/>
      <w:szCs w:val="20"/>
    </w:rPr>
  </w:style>
  <w:style w:type="character" w:styleId="apple-converted-space" w:customStyle="1">
    <w:name w:val="apple-converted-space"/>
    <w:basedOn w:val="DefaultParagraphFont"/>
    <w:qFormat/>
    <w:rsid w:val="009b6931"/>
    <w:rPr/>
  </w:style>
  <w:style w:type="character" w:styleId="Style10" w:customStyle="1">
    <w:name w:val="Верхний колонтитул Знак"/>
    <w:basedOn w:val="DefaultParagraphFont"/>
    <w:uiPriority w:val="99"/>
    <w:qFormat/>
    <w:rsid w:val="007c37b8"/>
    <w:rPr>
      <w:rFonts w:ascii="Arial" w:hAnsi="Arial"/>
      <w:sz w:val="24"/>
    </w:rPr>
  </w:style>
  <w:style w:type="character" w:styleId="Style11" w:customStyle="1">
    <w:name w:val="Текст концевой сноски Знак"/>
    <w:basedOn w:val="DefaultParagraphFont"/>
    <w:semiHidden/>
    <w:qFormat/>
    <w:rsid w:val="00071f2b"/>
    <w:rPr/>
  </w:style>
  <w:style w:type="character" w:styleId="Style12">
    <w:name w:val="Символ концевой сноски"/>
    <w:semiHidden/>
    <w:unhideWhenUsed/>
    <w:qFormat/>
    <w:rsid w:val="00071f2b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3" w:customStyle="1">
    <w:name w:val="Другое_"/>
    <w:basedOn w:val="DefaultParagraphFont"/>
    <w:link w:val="Style31"/>
    <w:qFormat/>
    <w:rsid w:val="00bd2f8f"/>
    <w:rPr>
      <w:sz w:val="22"/>
      <w:szCs w:val="22"/>
    </w:rPr>
  </w:style>
  <w:style w:type="paragraph" w:styleId="Style14" w:customStyle="1">
    <w:name w:val="Заголовок"/>
    <w:next w:val="BodyText"/>
    <w:qFormat/>
    <w:rsid w:val="00fb3111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ru-RU" w:bidi="ar-SA"/>
    </w:rPr>
  </w:style>
  <w:style w:type="paragraph" w:styleId="BodyText">
    <w:name w:val="Body Text"/>
    <w:basedOn w:val="Normal"/>
    <w:rsid w:val="00fb3111"/>
    <w:pPr>
      <w:spacing w:before="0" w:after="120"/>
    </w:pPr>
    <w:rPr/>
  </w:style>
  <w:style w:type="paragraph" w:styleId="List">
    <w:name w:val="List"/>
    <w:basedOn w:val="Normal"/>
    <w:rsid w:val="00fb3111"/>
    <w:pPr>
      <w:spacing w:lineRule="auto" w:line="240" w:before="0" w:after="60"/>
      <w:ind w:hanging="283" w:start="283"/>
    </w:pPr>
    <w:rPr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"/>
    </w:rPr>
  </w:style>
  <w:style w:type="paragraph" w:styleId="ConsPlusNormal" w:customStyle="1">
    <w:name w:val="ConsPlusNormal"/>
    <w:qFormat/>
    <w:rsid w:val="00fb3111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rsid w:val="00fb3111"/>
    <w:pPr>
      <w:spacing w:lineRule="auto" w:line="240"/>
    </w:pPr>
    <w:rPr/>
  </w:style>
  <w:style w:type="paragraph" w:styleId="BodyTextIndent2">
    <w:name w:val="Body Text Indent 2"/>
    <w:basedOn w:val="Normal"/>
    <w:qFormat/>
    <w:rsid w:val="00fb3111"/>
    <w:pPr>
      <w:spacing w:lineRule="auto" w:line="480" w:before="0" w:after="120"/>
      <w:ind w:start="283"/>
    </w:pPr>
    <w:rPr/>
  </w:style>
  <w:style w:type="paragraph" w:styleId="21" w:customStyle="1">
    <w:name w:val="Основной текст 21"/>
    <w:basedOn w:val="Normal"/>
    <w:qFormat/>
    <w:rsid w:val="00fb3111"/>
    <w:pPr>
      <w:spacing w:lineRule="auto" w:line="240"/>
    </w:pPr>
    <w:rPr>
      <w:sz w:val="24"/>
      <w:szCs w:val="20"/>
    </w:rPr>
  </w:style>
  <w:style w:type="paragraph" w:styleId="Style16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Footer">
    <w:name w:val="footer"/>
    <w:basedOn w:val="Normal"/>
    <w:rsid w:val="00fb3111"/>
    <w:pPr>
      <w:widowControl w:val="false"/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start"/>
    </w:pPr>
    <w:rPr>
      <w:sz w:val="20"/>
      <w:szCs w:val="20"/>
    </w:rPr>
  </w:style>
  <w:style w:type="paragraph" w:styleId="Style17" w:customStyle="1">
    <w:name w:val="Обычный + по ширине"/>
    <w:basedOn w:val="Normal"/>
    <w:uiPriority w:val="99"/>
    <w:qFormat/>
    <w:rsid w:val="00fb3111"/>
    <w:pPr>
      <w:spacing w:lineRule="auto" w:line="240"/>
      <w:ind w:hanging="0"/>
    </w:pPr>
    <w:rPr>
      <w:sz w:val="24"/>
      <w:szCs w:val="24"/>
    </w:rPr>
  </w:style>
  <w:style w:type="paragraph" w:styleId="CommentText">
    <w:name w:val="annotation text"/>
    <w:basedOn w:val="Normal"/>
    <w:semiHidden/>
    <w:rsid w:val="00fb3111"/>
    <w:pPr>
      <w:spacing w:lineRule="auto" w:line="240"/>
      <w:ind w:hanging="0"/>
      <w:jc w:val="start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semiHidden/>
    <w:qFormat/>
    <w:rsid w:val="00fb3111"/>
    <w:pPr/>
    <w:rPr>
      <w:b/>
      <w:bCs/>
    </w:rPr>
  </w:style>
  <w:style w:type="paragraph" w:styleId="BalloonText">
    <w:name w:val="Balloon Text"/>
    <w:basedOn w:val="Normal"/>
    <w:semiHidden/>
    <w:qFormat/>
    <w:rsid w:val="00fb3111"/>
    <w:pPr>
      <w:spacing w:lineRule="auto" w:line="240"/>
      <w:ind w:hanging="0"/>
      <w:jc w:val="start"/>
    </w:pPr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fb3111"/>
    <w:pPr>
      <w:numPr>
        <w:ilvl w:val="1"/>
        <w:numId w:val="12"/>
      </w:numPr>
      <w:spacing w:lineRule="auto" w:line="240" w:before="0" w:after="60"/>
    </w:pPr>
    <w:rPr>
      <w:sz w:val="24"/>
      <w:szCs w:val="20"/>
    </w:rPr>
  </w:style>
  <w:style w:type="paragraph" w:styleId="ListBullet">
    <w:name w:val="List Bullet"/>
    <w:basedOn w:val="Normal"/>
    <w:autoRedefine/>
    <w:rsid w:val="00fb3111"/>
    <w:pPr>
      <w:widowControl w:val="false"/>
      <w:spacing w:lineRule="auto" w:line="240" w:before="0" w:after="60"/>
      <w:ind w:hanging="0"/>
    </w:pPr>
    <w:rPr>
      <w:sz w:val="24"/>
      <w:szCs w:val="24"/>
    </w:rPr>
  </w:style>
  <w:style w:type="paragraph" w:styleId="ListBullet2">
    <w:name w:val="List Bullet 2"/>
    <w:basedOn w:val="Normal"/>
    <w:autoRedefine/>
    <w:rsid w:val="00fb3111"/>
    <w:pPr>
      <w:numPr>
        <w:ilvl w:val="0"/>
        <w:numId w:val="2"/>
      </w:numPr>
      <w:spacing w:lineRule="auto" w:line="240" w:before="0" w:after="60"/>
    </w:pPr>
    <w:rPr>
      <w:sz w:val="24"/>
      <w:szCs w:val="20"/>
    </w:rPr>
  </w:style>
  <w:style w:type="paragraph" w:styleId="ListBullet3">
    <w:name w:val="List Bullet 3"/>
    <w:basedOn w:val="Normal"/>
    <w:autoRedefine/>
    <w:rsid w:val="00fb3111"/>
    <w:pPr>
      <w:numPr>
        <w:ilvl w:val="0"/>
        <w:numId w:val="3"/>
      </w:numPr>
      <w:spacing w:lineRule="auto" w:line="240" w:before="0" w:after="60"/>
    </w:pPr>
    <w:rPr>
      <w:sz w:val="24"/>
      <w:szCs w:val="20"/>
    </w:rPr>
  </w:style>
  <w:style w:type="paragraph" w:styleId="ListBullet4">
    <w:name w:val="List Bullet 4"/>
    <w:basedOn w:val="Normal"/>
    <w:autoRedefine/>
    <w:rsid w:val="00fb3111"/>
    <w:pPr>
      <w:numPr>
        <w:ilvl w:val="0"/>
        <w:numId w:val="4"/>
      </w:numPr>
      <w:spacing w:lineRule="auto" w:line="240" w:before="0" w:after="60"/>
    </w:pPr>
    <w:rPr>
      <w:sz w:val="24"/>
      <w:szCs w:val="20"/>
    </w:rPr>
  </w:style>
  <w:style w:type="paragraph" w:styleId="ListBullet5">
    <w:name w:val="List Bullet 5"/>
    <w:basedOn w:val="Normal"/>
    <w:autoRedefine/>
    <w:rsid w:val="00fb3111"/>
    <w:pPr>
      <w:numPr>
        <w:ilvl w:val="0"/>
        <w:numId w:val="5"/>
      </w:numPr>
      <w:spacing w:lineRule="auto" w:line="240" w:before="0" w:after="60"/>
    </w:pPr>
    <w:rPr>
      <w:sz w:val="24"/>
      <w:szCs w:val="20"/>
    </w:rPr>
  </w:style>
  <w:style w:type="paragraph" w:styleId="ListNumber">
    <w:name w:val="List Number"/>
    <w:basedOn w:val="Normal"/>
    <w:rsid w:val="00fb3111"/>
    <w:pPr>
      <w:numPr>
        <w:ilvl w:val="0"/>
        <w:numId w:val="6"/>
      </w:numPr>
      <w:spacing w:lineRule="auto" w:line="240" w:before="0" w:after="60"/>
    </w:pPr>
    <w:rPr>
      <w:sz w:val="24"/>
      <w:szCs w:val="20"/>
    </w:rPr>
  </w:style>
  <w:style w:type="paragraph" w:styleId="ListNumber2">
    <w:name w:val="List Number 2"/>
    <w:basedOn w:val="Normal"/>
    <w:rsid w:val="00fb3111"/>
    <w:pPr>
      <w:numPr>
        <w:ilvl w:val="0"/>
        <w:numId w:val="7"/>
      </w:numPr>
      <w:spacing w:lineRule="auto" w:line="240" w:before="0" w:after="60"/>
    </w:pPr>
    <w:rPr>
      <w:sz w:val="24"/>
      <w:szCs w:val="20"/>
    </w:rPr>
  </w:style>
  <w:style w:type="paragraph" w:styleId="ListNumber3">
    <w:name w:val="List Number 3"/>
    <w:basedOn w:val="Normal"/>
    <w:rsid w:val="00fb3111"/>
    <w:pPr>
      <w:tabs>
        <w:tab w:val="clear" w:pos="708"/>
        <w:tab w:val="left" w:pos="926" w:leader="none"/>
      </w:tabs>
      <w:spacing w:lineRule="auto" w:line="240" w:before="0" w:after="60"/>
      <w:ind w:hanging="360" w:start="926"/>
    </w:pPr>
    <w:rPr>
      <w:sz w:val="24"/>
      <w:szCs w:val="20"/>
    </w:rPr>
  </w:style>
  <w:style w:type="paragraph" w:styleId="ListNumber4">
    <w:name w:val="List Number 4"/>
    <w:basedOn w:val="Normal"/>
    <w:rsid w:val="00fb3111"/>
    <w:pPr>
      <w:numPr>
        <w:ilvl w:val="0"/>
        <w:numId w:val="8"/>
      </w:numPr>
      <w:spacing w:lineRule="auto" w:line="240" w:before="0" w:after="60"/>
    </w:pPr>
    <w:rPr>
      <w:sz w:val="24"/>
      <w:szCs w:val="20"/>
    </w:rPr>
  </w:style>
  <w:style w:type="paragraph" w:styleId="ListNumber5">
    <w:name w:val="List Number 5"/>
    <w:basedOn w:val="Normal"/>
    <w:rsid w:val="00fb3111"/>
    <w:pPr>
      <w:numPr>
        <w:ilvl w:val="0"/>
        <w:numId w:val="9"/>
      </w:numPr>
      <w:spacing w:lineRule="auto" w:line="240" w:before="0" w:after="60"/>
    </w:pPr>
    <w:rPr>
      <w:sz w:val="24"/>
      <w:szCs w:val="20"/>
    </w:rPr>
  </w:style>
  <w:style w:type="paragraph" w:styleId="Style18" w:customStyle="1">
    <w:name w:val="Раздел"/>
    <w:basedOn w:val="Normal"/>
    <w:uiPriority w:val="99"/>
    <w:semiHidden/>
    <w:qFormat/>
    <w:rsid w:val="00fb3111"/>
    <w:pPr>
      <w:numPr>
        <w:ilvl w:val="1"/>
        <w:numId w:val="10"/>
      </w:numPr>
      <w:spacing w:lineRule="auto" w:line="240" w:before="120" w:after="120"/>
      <w:jc w:val="center"/>
    </w:pPr>
    <w:rPr>
      <w:rFonts w:ascii="Arial Narrow" w:hAnsi="Arial Narrow"/>
      <w:b/>
      <w:szCs w:val="20"/>
    </w:rPr>
  </w:style>
  <w:style w:type="paragraph" w:styleId="Style19" w:customStyle="1">
    <w:name w:val="Часть"/>
    <w:basedOn w:val="Normal"/>
    <w:semiHidden/>
    <w:qFormat/>
    <w:rsid w:val="00fb3111"/>
    <w:pPr>
      <w:spacing w:lineRule="auto" w:line="240" w:before="0" w:after="60"/>
      <w:ind w:hanging="0"/>
      <w:jc w:val="center"/>
    </w:pPr>
    <w:rPr>
      <w:rFonts w:ascii="Arial" w:hAnsi="Arial"/>
      <w:b/>
      <w:caps/>
      <w:sz w:val="32"/>
      <w:szCs w:val="20"/>
    </w:rPr>
  </w:style>
  <w:style w:type="paragraph" w:styleId="33" w:customStyle="1">
    <w:name w:val="Раздел 3"/>
    <w:basedOn w:val="Normal"/>
    <w:semiHidden/>
    <w:qFormat/>
    <w:rsid w:val="00fb3111"/>
    <w:pPr>
      <w:numPr>
        <w:ilvl w:val="0"/>
        <w:numId w:val="11"/>
      </w:numPr>
      <w:spacing w:lineRule="auto" w:line="240" w:before="120" w:after="120"/>
      <w:jc w:val="center"/>
    </w:pPr>
    <w:rPr>
      <w:b/>
      <w:sz w:val="24"/>
      <w:szCs w:val="20"/>
    </w:rPr>
  </w:style>
  <w:style w:type="paragraph" w:styleId="Style20" w:customStyle="1">
    <w:name w:val="Условия контракта"/>
    <w:basedOn w:val="Normal"/>
    <w:semiHidden/>
    <w:qFormat/>
    <w:rsid w:val="00fb3111"/>
    <w:pPr>
      <w:numPr>
        <w:ilvl w:val="0"/>
        <w:numId w:val="12"/>
      </w:numPr>
      <w:spacing w:lineRule="auto" w:line="240" w:before="240" w:after="120"/>
    </w:pPr>
    <w:rPr>
      <w:b/>
      <w:sz w:val="24"/>
      <w:szCs w:val="20"/>
    </w:rPr>
  </w:style>
  <w:style w:type="paragraph" w:styleId="Instruction" w:customStyle="1">
    <w:name w:val="Instruction"/>
    <w:basedOn w:val="BodyText2"/>
    <w:semiHidden/>
    <w:qFormat/>
    <w:rsid w:val="00fb3111"/>
    <w:pPr>
      <w:numPr>
        <w:ilvl w:val="0"/>
        <w:numId w:val="0"/>
      </w:numPr>
      <w:tabs>
        <w:tab w:val="clear" w:pos="708"/>
        <w:tab w:val="left" w:pos="360" w:leader="none"/>
      </w:tabs>
      <w:spacing w:before="180" w:after="60"/>
      <w:ind w:hanging="360" w:start="360"/>
    </w:pPr>
    <w:rPr>
      <w:b/>
    </w:rPr>
  </w:style>
  <w:style w:type="paragraph" w:styleId="Title">
    <w:name w:val="Title"/>
    <w:basedOn w:val="Normal"/>
    <w:qFormat/>
    <w:rsid w:val="00fb3111"/>
    <w:pPr>
      <w:spacing w:lineRule="auto" w:line="240" w:before="240" w:after="60"/>
      <w:ind w:hanging="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Subtitle">
    <w:name w:val="Subtitle"/>
    <w:basedOn w:val="Normal"/>
    <w:qFormat/>
    <w:rsid w:val="00fb3111"/>
    <w:pPr>
      <w:spacing w:lineRule="auto" w:line="240" w:before="0" w:after="60"/>
      <w:ind w:hanging="0"/>
      <w:jc w:val="center"/>
      <w:outlineLvl w:val="1"/>
    </w:pPr>
    <w:rPr>
      <w:rFonts w:ascii="Arial" w:hAnsi="Arial"/>
      <w:sz w:val="24"/>
      <w:szCs w:val="20"/>
    </w:rPr>
  </w:style>
  <w:style w:type="paragraph" w:styleId="Style21" w:customStyle="1">
    <w:name w:val="Тендерные данные"/>
    <w:basedOn w:val="Normal"/>
    <w:semiHidden/>
    <w:qFormat/>
    <w:rsid w:val="00fb3111"/>
    <w:pPr>
      <w:tabs>
        <w:tab w:val="clear" w:pos="708"/>
        <w:tab w:val="left" w:pos="1985" w:leader="none"/>
      </w:tabs>
      <w:spacing w:lineRule="auto" w:line="240" w:before="120" w:after="60"/>
      <w:ind w:hanging="0"/>
    </w:pPr>
    <w:rPr>
      <w:b/>
      <w:sz w:val="24"/>
      <w:szCs w:val="20"/>
    </w:rPr>
  </w:style>
  <w:style w:type="paragraph" w:styleId="TOC3">
    <w:name w:val="toc 3"/>
    <w:basedOn w:val="Normal"/>
    <w:next w:val="Normal"/>
    <w:autoRedefine/>
    <w:semiHidden/>
    <w:rsid w:val="00fb3111"/>
    <w:pPr>
      <w:tabs>
        <w:tab w:val="clear" w:pos="708"/>
        <w:tab w:val="left" w:pos="1680" w:leader="none"/>
        <w:tab w:val="right" w:pos="10148" w:leader="dot"/>
      </w:tabs>
      <w:spacing w:lineRule="auto" w:line="240" w:before="100" w:after="0"/>
      <w:ind w:hanging="12" w:start="252"/>
      <w:jc w:val="start"/>
    </w:pPr>
    <w:rPr>
      <w:sz w:val="20"/>
      <w:szCs w:val="20"/>
    </w:rPr>
  </w:style>
  <w:style w:type="paragraph" w:styleId="TOC1">
    <w:name w:val="toc 1"/>
    <w:basedOn w:val="Normal"/>
    <w:next w:val="Normal"/>
    <w:autoRedefine/>
    <w:semiHidden/>
    <w:rsid w:val="00fb3111"/>
    <w:pPr>
      <w:tabs>
        <w:tab w:val="clear" w:pos="708"/>
        <w:tab w:val="left" w:pos="1440" w:leader="none"/>
        <w:tab w:val="right" w:pos="9720" w:leader="dot"/>
      </w:tabs>
      <w:spacing w:lineRule="auto" w:line="240" w:before="100" w:after="0"/>
      <w:ind w:hanging="0"/>
      <w:jc w:val="start"/>
    </w:pPr>
    <w:rPr>
      <w:rFonts w:ascii="Arial" w:hAnsi="Arial" w:cs="Arial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fb3111"/>
    <w:pPr>
      <w:tabs>
        <w:tab w:val="clear" w:pos="708"/>
        <w:tab w:val="left" w:pos="960" w:leader="none"/>
        <w:tab w:val="right" w:pos="9720" w:leader="dot"/>
      </w:tabs>
      <w:spacing w:lineRule="auto" w:line="240" w:before="20" w:after="0"/>
      <w:ind w:hanging="0" w:start="360"/>
      <w:jc w:val="start"/>
    </w:pPr>
    <w:rPr>
      <w:b/>
      <w:bCs/>
      <w:sz w:val="20"/>
      <w:szCs w:val="20"/>
    </w:rPr>
  </w:style>
  <w:style w:type="paragraph" w:styleId="Date">
    <w:name w:val="Date"/>
    <w:basedOn w:val="Normal"/>
    <w:next w:val="Normal"/>
    <w:qFormat/>
    <w:rsid w:val="00fb3111"/>
    <w:pPr>
      <w:spacing w:lineRule="auto" w:line="240" w:before="0" w:after="60"/>
      <w:ind w:hanging="0"/>
    </w:pPr>
    <w:rPr>
      <w:sz w:val="24"/>
      <w:szCs w:val="20"/>
    </w:rPr>
  </w:style>
  <w:style w:type="paragraph" w:styleId="Style22" w:customStyle="1">
    <w:name w:val="Îáû÷íûé"/>
    <w:semiHidden/>
    <w:qFormat/>
    <w:rsid w:val="00fb311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3" w:customStyle="1">
    <w:name w:val="Íîðìàëüíûé"/>
    <w:semiHidden/>
    <w:qFormat/>
    <w:rsid w:val="00fb3111"/>
    <w:pPr>
      <w:widowControl/>
      <w:suppressAutoHyphens w:val="true"/>
      <w:bidi w:val="0"/>
      <w:spacing w:before="0" w:after="0"/>
      <w:jc w:val="start"/>
    </w:pPr>
    <w:rPr>
      <w:rFonts w:ascii="Courier" w:hAnsi="Courier" w:eastAsia="Times New Roman" w:cs="Times New Roman"/>
      <w:color w:val="auto"/>
      <w:kern w:val="0"/>
      <w:sz w:val="24"/>
      <w:szCs w:val="20"/>
      <w:lang w:val="en-GB" w:eastAsia="ru-RU" w:bidi="ar-SA"/>
    </w:rPr>
  </w:style>
  <w:style w:type="paragraph" w:styleId="Style24" w:customStyle="1">
    <w:name w:val="Подраздел"/>
    <w:basedOn w:val="Normal"/>
    <w:semiHidden/>
    <w:qFormat/>
    <w:rsid w:val="00fb3111"/>
    <w:pPr>
      <w:suppressAutoHyphens w:val="true"/>
      <w:spacing w:lineRule="auto" w:line="240" w:before="240" w:after="120"/>
      <w:ind w:hanging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BodyTextIndent3">
    <w:name w:val="Body Text Indent 3"/>
    <w:basedOn w:val="Normal"/>
    <w:qFormat/>
    <w:rsid w:val="00fb3111"/>
    <w:pPr>
      <w:spacing w:lineRule="auto" w:line="240" w:before="0" w:after="120"/>
      <w:ind w:hanging="0" w:start="283"/>
    </w:pPr>
    <w:rPr>
      <w:sz w:val="16"/>
      <w:szCs w:val="20"/>
    </w:rPr>
  </w:style>
  <w:style w:type="paragraph" w:styleId="Header">
    <w:name w:val="header"/>
    <w:basedOn w:val="Normal"/>
    <w:link w:val="Style10"/>
    <w:uiPriority w:val="99"/>
    <w:rsid w:val="00fb3111"/>
    <w:pPr>
      <w:tabs>
        <w:tab w:val="clear" w:pos="708"/>
        <w:tab w:val="center" w:pos="4153" w:leader="none"/>
        <w:tab w:val="right" w:pos="8306" w:leader="none"/>
      </w:tabs>
      <w:spacing w:lineRule="auto" w:line="240" w:before="120" w:after="120"/>
      <w:ind w:hanging="0"/>
    </w:pPr>
    <w:rPr>
      <w:rFonts w:ascii="Arial" w:hAnsi="Arial"/>
      <w:sz w:val="24"/>
      <w:szCs w:val="20"/>
    </w:rPr>
  </w:style>
  <w:style w:type="paragraph" w:styleId="BlockText">
    <w:name w:val="Block Text"/>
    <w:basedOn w:val="Normal"/>
    <w:qFormat/>
    <w:rsid w:val="00fb3111"/>
    <w:pPr>
      <w:spacing w:lineRule="auto" w:line="240" w:before="0" w:after="120"/>
      <w:ind w:hanging="0" w:start="1440" w:end="1440"/>
    </w:pPr>
    <w:rPr>
      <w:sz w:val="24"/>
      <w:szCs w:val="20"/>
    </w:rPr>
  </w:style>
  <w:style w:type="paragraph" w:styleId="FootnoteText">
    <w:name w:val="footnote text"/>
    <w:basedOn w:val="Normal"/>
    <w:semiHidden/>
    <w:rsid w:val="00fb3111"/>
    <w:pPr>
      <w:spacing w:lineRule="auto" w:line="240" w:before="0" w:after="60"/>
      <w:ind w:hanging="0"/>
    </w:pPr>
    <w:rPr>
      <w:sz w:val="20"/>
      <w:szCs w:val="20"/>
    </w:rPr>
  </w:style>
  <w:style w:type="paragraph" w:styleId="BodyText3">
    <w:name w:val="Body Text 3"/>
    <w:basedOn w:val="Normal"/>
    <w:qFormat/>
    <w:rsid w:val="00fb3111"/>
    <w:pPr>
      <w:keepNext w:val="true"/>
      <w:keepLines/>
      <w:widowControl w:val="false"/>
      <w:suppressLineNumbers/>
      <w:tabs>
        <w:tab w:val="clear" w:pos="708"/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AutoHyphens w:val="true"/>
      <w:spacing w:lineRule="auto" w:line="240" w:before="148" w:after="112"/>
      <w:ind w:hanging="0"/>
    </w:pPr>
    <w:rPr>
      <w:b/>
      <w:i/>
      <w:sz w:val="22"/>
      <w:szCs w:val="24"/>
    </w:rPr>
  </w:style>
  <w:style w:type="paragraph" w:styleId="PlainText">
    <w:name w:val="Plain Text"/>
    <w:basedOn w:val="Normal"/>
    <w:qFormat/>
    <w:rsid w:val="00fb3111"/>
    <w:pPr>
      <w:spacing w:lineRule="auto" w:line="240"/>
      <w:ind w:hanging="0"/>
      <w:jc w:val="start"/>
    </w:pPr>
    <w:rPr>
      <w:rFonts w:ascii="Courier New" w:hAnsi="Courier New" w:cs="Courier New"/>
      <w:sz w:val="20"/>
      <w:szCs w:val="20"/>
    </w:rPr>
  </w:style>
  <w:style w:type="paragraph" w:styleId="ConsNormal" w:customStyle="1">
    <w:name w:val="ConsNormal"/>
    <w:semiHidden/>
    <w:qFormat/>
    <w:rsid w:val="00fb3111"/>
    <w:pPr>
      <w:widowControl w:val="false"/>
      <w:suppressAutoHyphens w:val="true"/>
      <w:bidi w:val="0"/>
      <w:spacing w:before="0" w:after="0"/>
      <w:ind w:firstLine="720" w:end="19772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fb3111"/>
    <w:pPr>
      <w:spacing w:lineRule="auto" w:line="240" w:beforeAutospacing="1" w:afterAutospacing="1"/>
      <w:ind w:hanging="0"/>
      <w:jc w:val="start"/>
    </w:pPr>
    <w:rPr>
      <w:sz w:val="24"/>
      <w:szCs w:val="24"/>
    </w:rPr>
  </w:style>
  <w:style w:type="paragraph" w:styleId="ConsNonformat" w:customStyle="1">
    <w:name w:val="ConsNonformat"/>
    <w:semiHidden/>
    <w:qFormat/>
    <w:rsid w:val="00fb3111"/>
    <w:pPr>
      <w:widowControl w:val="false"/>
      <w:suppressAutoHyphens w:val="true"/>
      <w:bidi w:val="0"/>
      <w:spacing w:before="0" w:after="0"/>
      <w:ind w:end="19772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HTMLAddress">
    <w:name w:val="HTML Address"/>
    <w:basedOn w:val="Normal"/>
    <w:qFormat/>
    <w:rsid w:val="00fb3111"/>
    <w:pPr>
      <w:spacing w:lineRule="auto" w:line="240" w:before="0" w:after="60"/>
      <w:ind w:hanging="0"/>
    </w:pPr>
    <w:rPr>
      <w:i/>
      <w:iCs/>
      <w:sz w:val="24"/>
      <w:szCs w:val="24"/>
    </w:rPr>
  </w:style>
  <w:style w:type="paragraph" w:styleId="EnvelopeAddress">
    <w:name w:val="envelope address"/>
    <w:basedOn w:val="Normal"/>
    <w:rsid w:val="00fb3111"/>
    <w:pPr>
      <w:spacing w:lineRule="auto" w:line="240" w:before="0" w:after="60"/>
      <w:ind w:hanging="0" w:start="2880"/>
    </w:pPr>
    <w:rPr>
      <w:rFonts w:ascii="Arial" w:hAnsi="Arial" w:cs="Arial"/>
      <w:sz w:val="24"/>
      <w:szCs w:val="24"/>
    </w:rPr>
  </w:style>
  <w:style w:type="paragraph" w:styleId="NoteHeading">
    <w:name w:val="Note Heading"/>
    <w:basedOn w:val="Normal"/>
    <w:next w:val="Normal"/>
    <w:qFormat/>
    <w:rsid w:val="00fb3111"/>
    <w:pPr>
      <w:spacing w:lineRule="auto" w:line="240" w:before="0" w:after="60"/>
      <w:ind w:hanging="0"/>
    </w:pPr>
    <w:rPr>
      <w:sz w:val="24"/>
      <w:szCs w:val="24"/>
    </w:rPr>
  </w:style>
  <w:style w:type="paragraph" w:styleId="BodyTextFirstIndent">
    <w:name w:val="Body Text First Indent"/>
    <w:basedOn w:val="BodyText"/>
    <w:rsid w:val="00fb3111"/>
    <w:pPr>
      <w:spacing w:lineRule="auto" w:line="240"/>
      <w:ind w:firstLine="210"/>
    </w:pPr>
    <w:rPr>
      <w:sz w:val="24"/>
      <w:szCs w:val="24"/>
    </w:rPr>
  </w:style>
  <w:style w:type="paragraph" w:styleId="BodyTextFirstIndent2">
    <w:name w:val="Body Text First Indent 2"/>
    <w:basedOn w:val="BodyTextIndent"/>
    <w:qFormat/>
    <w:rsid w:val="00fb3111"/>
    <w:pPr>
      <w:spacing w:before="0" w:after="120"/>
      <w:ind w:firstLine="210" w:start="283"/>
    </w:pPr>
    <w:rPr>
      <w:sz w:val="24"/>
      <w:szCs w:val="24"/>
    </w:rPr>
  </w:style>
  <w:style w:type="paragraph" w:styleId="EnvelopeReturn">
    <w:name w:val="envelope return"/>
    <w:basedOn w:val="Normal"/>
    <w:rsid w:val="00fb3111"/>
    <w:pPr>
      <w:spacing w:lineRule="auto" w:line="240" w:before="0" w:after="60"/>
      <w:ind w:hanging="0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fb3111"/>
    <w:pPr>
      <w:spacing w:lineRule="auto" w:line="240" w:before="0" w:after="60"/>
      <w:ind w:hanging="0" w:start="708"/>
    </w:pPr>
    <w:rPr>
      <w:sz w:val="24"/>
      <w:szCs w:val="24"/>
    </w:rPr>
  </w:style>
  <w:style w:type="paragraph" w:styleId="Signature">
    <w:name w:val="Signature"/>
    <w:basedOn w:val="Normal"/>
    <w:rsid w:val="00fb3111"/>
    <w:pPr>
      <w:spacing w:lineRule="auto" w:line="240" w:before="0" w:after="60"/>
      <w:ind w:hanging="0" w:start="4252"/>
    </w:pPr>
    <w:rPr>
      <w:sz w:val="24"/>
      <w:szCs w:val="24"/>
    </w:rPr>
  </w:style>
  <w:style w:type="paragraph" w:styleId="Salutation">
    <w:name w:val="Salutation"/>
    <w:basedOn w:val="Normal"/>
    <w:next w:val="Normal"/>
    <w:rsid w:val="00fb3111"/>
    <w:pPr>
      <w:spacing w:lineRule="auto" w:line="240" w:before="0" w:after="60"/>
      <w:ind w:hanging="0"/>
    </w:pPr>
    <w:rPr>
      <w:sz w:val="24"/>
      <w:szCs w:val="24"/>
    </w:rPr>
  </w:style>
  <w:style w:type="paragraph" w:styleId="ListContinue">
    <w:name w:val="List Continue"/>
    <w:basedOn w:val="Normal"/>
    <w:rsid w:val="00fb3111"/>
    <w:pPr>
      <w:spacing w:lineRule="auto" w:line="240" w:before="0" w:after="120"/>
      <w:ind w:hanging="0" w:start="283"/>
    </w:pPr>
    <w:rPr>
      <w:sz w:val="24"/>
      <w:szCs w:val="24"/>
    </w:rPr>
  </w:style>
  <w:style w:type="paragraph" w:styleId="ListContinue2">
    <w:name w:val="List Continue 2"/>
    <w:basedOn w:val="Normal"/>
    <w:rsid w:val="00fb3111"/>
    <w:pPr>
      <w:spacing w:lineRule="auto" w:line="240" w:before="0" w:after="120"/>
      <w:ind w:hanging="0" w:start="566"/>
    </w:pPr>
    <w:rPr>
      <w:sz w:val="24"/>
      <w:szCs w:val="24"/>
    </w:rPr>
  </w:style>
  <w:style w:type="paragraph" w:styleId="ListContinue3">
    <w:name w:val="List Continue 3"/>
    <w:basedOn w:val="Normal"/>
    <w:rsid w:val="00fb3111"/>
    <w:pPr>
      <w:spacing w:lineRule="auto" w:line="240" w:before="0" w:after="120"/>
      <w:ind w:hanging="0" w:start="849"/>
    </w:pPr>
    <w:rPr>
      <w:sz w:val="24"/>
      <w:szCs w:val="24"/>
    </w:rPr>
  </w:style>
  <w:style w:type="paragraph" w:styleId="ListContinue4">
    <w:name w:val="List Continue 4"/>
    <w:basedOn w:val="Normal"/>
    <w:rsid w:val="00fb3111"/>
    <w:pPr>
      <w:spacing w:lineRule="auto" w:line="240" w:before="0" w:after="120"/>
      <w:ind w:hanging="0" w:start="1132"/>
    </w:pPr>
    <w:rPr>
      <w:sz w:val="24"/>
      <w:szCs w:val="24"/>
    </w:rPr>
  </w:style>
  <w:style w:type="paragraph" w:styleId="ListContinue5">
    <w:name w:val="List Continue 5"/>
    <w:basedOn w:val="Normal"/>
    <w:rsid w:val="00fb3111"/>
    <w:pPr>
      <w:spacing w:lineRule="auto" w:line="240" w:before="0" w:after="120"/>
      <w:ind w:hanging="0" w:start="1415"/>
    </w:pPr>
    <w:rPr>
      <w:sz w:val="24"/>
      <w:szCs w:val="24"/>
    </w:rPr>
  </w:style>
  <w:style w:type="paragraph" w:styleId="Closing">
    <w:name w:val="Closing"/>
    <w:basedOn w:val="Normal"/>
    <w:rsid w:val="00fb3111"/>
    <w:pPr>
      <w:spacing w:lineRule="auto" w:line="240" w:before="0" w:after="60"/>
      <w:ind w:hanging="0" w:start="4252"/>
    </w:pPr>
    <w:rPr>
      <w:sz w:val="24"/>
      <w:szCs w:val="24"/>
    </w:rPr>
  </w:style>
  <w:style w:type="paragraph" w:styleId="List2">
    <w:name w:val="List 2"/>
    <w:basedOn w:val="Normal"/>
    <w:qFormat/>
    <w:rsid w:val="00fb3111"/>
    <w:pPr>
      <w:spacing w:lineRule="auto" w:line="240" w:before="0" w:after="60"/>
      <w:ind w:hanging="283" w:start="566"/>
    </w:pPr>
    <w:rPr>
      <w:sz w:val="24"/>
      <w:szCs w:val="24"/>
    </w:rPr>
  </w:style>
  <w:style w:type="paragraph" w:styleId="List3">
    <w:name w:val="List 3"/>
    <w:basedOn w:val="Normal"/>
    <w:qFormat/>
    <w:rsid w:val="00fb3111"/>
    <w:pPr>
      <w:spacing w:lineRule="auto" w:line="240" w:before="0" w:after="60"/>
      <w:ind w:hanging="283" w:start="849"/>
    </w:pPr>
    <w:rPr>
      <w:sz w:val="24"/>
      <w:szCs w:val="24"/>
    </w:rPr>
  </w:style>
  <w:style w:type="paragraph" w:styleId="List4">
    <w:name w:val="List 4"/>
    <w:basedOn w:val="Normal"/>
    <w:qFormat/>
    <w:rsid w:val="00fb3111"/>
    <w:pPr>
      <w:spacing w:lineRule="auto" w:line="240" w:before="0" w:after="60"/>
      <w:ind w:hanging="283" w:start="1132"/>
    </w:pPr>
    <w:rPr>
      <w:sz w:val="24"/>
      <w:szCs w:val="24"/>
    </w:rPr>
  </w:style>
  <w:style w:type="paragraph" w:styleId="List5">
    <w:name w:val="List 5"/>
    <w:basedOn w:val="Normal"/>
    <w:qFormat/>
    <w:rsid w:val="00fb3111"/>
    <w:pPr>
      <w:spacing w:lineRule="auto" w:line="240" w:before="0" w:after="60"/>
      <w:ind w:hanging="283" w:start="1415"/>
    </w:pPr>
    <w:rPr>
      <w:sz w:val="24"/>
      <w:szCs w:val="24"/>
    </w:rPr>
  </w:style>
  <w:style w:type="paragraph" w:styleId="HTMLPreformatted">
    <w:name w:val="HTML Preformatted"/>
    <w:basedOn w:val="Normal"/>
    <w:qFormat/>
    <w:rsid w:val="00fb3111"/>
    <w:pPr>
      <w:spacing w:lineRule="auto" w:line="240" w:before="0" w:after="60"/>
      <w:ind w:hanging="0"/>
    </w:pPr>
    <w:rPr>
      <w:rFonts w:ascii="Courier New" w:hAnsi="Courier New" w:cs="Courier New"/>
      <w:sz w:val="20"/>
      <w:szCs w:val="20"/>
    </w:rPr>
  </w:style>
  <w:style w:type="paragraph" w:styleId="MessageHeader">
    <w:name w:val="Message Header"/>
    <w:basedOn w:val="Normal"/>
    <w:qFormat/>
    <w:rsid w:val="00fb3111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lineRule="auto" w:line="240" w:before="0" w:after="60"/>
      <w:ind w:hanging="1134" w:star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qFormat/>
    <w:rsid w:val="00fb3111"/>
    <w:pPr>
      <w:spacing w:lineRule="auto" w:line="240" w:before="0" w:after="60"/>
      <w:ind w:hanging="0"/>
    </w:pPr>
    <w:rPr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fb3111"/>
    <w:pPr>
      <w:spacing w:lineRule="auto" w:line="240"/>
      <w:ind w:hanging="0" w:start="480"/>
      <w:jc w:val="start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b3111"/>
    <w:pPr>
      <w:spacing w:lineRule="auto" w:line="240"/>
      <w:ind w:hanging="0" w:start="720"/>
      <w:jc w:val="start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fb3111"/>
    <w:pPr>
      <w:spacing w:lineRule="auto" w:line="240"/>
      <w:ind w:hanging="0" w:start="960"/>
      <w:jc w:val="start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fb3111"/>
    <w:pPr>
      <w:spacing w:lineRule="auto" w:line="240"/>
      <w:ind w:hanging="0" w:start="1200"/>
      <w:jc w:val="start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fb3111"/>
    <w:pPr>
      <w:spacing w:lineRule="auto" w:line="240"/>
      <w:ind w:hanging="0" w:start="1440"/>
      <w:jc w:val="start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fb3111"/>
    <w:pPr>
      <w:spacing w:lineRule="auto" w:line="240"/>
      <w:ind w:hanging="0" w:start="1680"/>
      <w:jc w:val="start"/>
    </w:pPr>
    <w:rPr>
      <w:sz w:val="20"/>
      <w:szCs w:val="20"/>
    </w:rPr>
  </w:style>
  <w:style w:type="paragraph" w:styleId="12" w:customStyle="1">
    <w:name w:val="Стиль1"/>
    <w:basedOn w:val="Normal"/>
    <w:qFormat/>
    <w:rsid w:val="00fb3111"/>
    <w:pPr>
      <w:keepNext w:val="true"/>
      <w:keepLines/>
      <w:widowControl w:val="false"/>
      <w:numPr>
        <w:ilvl w:val="0"/>
        <w:numId w:val="13"/>
      </w:numPr>
      <w:suppressLineNumbers/>
      <w:suppressAutoHyphens w:val="true"/>
      <w:spacing w:lineRule="auto" w:line="240" w:before="0" w:after="60"/>
      <w:jc w:val="start"/>
    </w:pPr>
    <w:rPr>
      <w:b/>
      <w:szCs w:val="24"/>
    </w:rPr>
  </w:style>
  <w:style w:type="paragraph" w:styleId="2-1" w:customStyle="1">
    <w:name w:val="содержание2-1"/>
    <w:basedOn w:val="Heading3"/>
    <w:next w:val="Normal"/>
    <w:qFormat/>
    <w:rsid w:val="00fb3111"/>
    <w:pPr>
      <w:numPr>
        <w:ilvl w:val="0"/>
        <w:numId w:val="0"/>
      </w:numPr>
      <w:tabs>
        <w:tab w:val="clear" w:pos="708"/>
        <w:tab w:val="left" w:pos="926" w:leader="none"/>
      </w:tabs>
      <w:suppressAutoHyphens w:val="false"/>
      <w:spacing w:lineRule="auto" w:line="240" w:before="240" w:after="60"/>
      <w:ind w:hanging="360" w:start="926"/>
    </w:pPr>
    <w:rPr>
      <w:rFonts w:ascii="Arial" w:hAnsi="Arial"/>
      <w:bCs w:val="false"/>
      <w:sz w:val="24"/>
      <w:szCs w:val="20"/>
    </w:rPr>
  </w:style>
  <w:style w:type="paragraph" w:styleId="211" w:customStyle="1">
    <w:name w:val="Заголовок 2.1"/>
    <w:basedOn w:val="Heading1"/>
    <w:qFormat/>
    <w:rsid w:val="00fb3111"/>
    <w:pPr>
      <w:keepLines/>
      <w:widowControl w:val="false"/>
      <w:suppressLineNumbers/>
      <w:suppressAutoHyphens w:val="true"/>
      <w:spacing w:lineRule="auto" w:line="240"/>
      <w:ind w:hanging="0"/>
      <w:jc w:val="center"/>
    </w:pPr>
    <w:rPr>
      <w:rFonts w:ascii="Times New Roman" w:hAnsi="Times New Roman" w:cs="Times New Roman"/>
      <w:bCs w:val="false"/>
      <w:caps/>
      <w:kern w:val="2"/>
      <w:sz w:val="36"/>
      <w:szCs w:val="28"/>
    </w:rPr>
  </w:style>
  <w:style w:type="paragraph" w:styleId="22" w:customStyle="1">
    <w:name w:val="Стиль2"/>
    <w:basedOn w:val="ListNumber2"/>
    <w:qFormat/>
    <w:rsid w:val="00fb3111"/>
    <w:pPr>
      <w:keepNext w:val="true"/>
      <w:keepLines/>
      <w:widowControl w:val="false"/>
      <w:numPr>
        <w:ilvl w:val="0"/>
        <w:numId w:val="0"/>
      </w:numPr>
      <w:suppressLineNumbers/>
      <w:tabs>
        <w:tab w:val="clear" w:pos="708"/>
        <w:tab w:val="left" w:pos="576" w:leader="none"/>
      </w:tabs>
      <w:suppressAutoHyphens w:val="true"/>
      <w:ind w:hanging="576" w:start="576"/>
    </w:pPr>
    <w:rPr>
      <w:b/>
    </w:rPr>
  </w:style>
  <w:style w:type="paragraph" w:styleId="34" w:customStyle="1">
    <w:name w:val="Стиль3 Знак"/>
    <w:basedOn w:val="BodyTextIndent2"/>
    <w:qFormat/>
    <w:rsid w:val="00fb3111"/>
    <w:pPr>
      <w:widowControl w:val="false"/>
      <w:numPr>
        <w:ilvl w:val="2"/>
        <w:numId w:val="13"/>
      </w:numPr>
      <w:spacing w:lineRule="auto" w:line="240" w:before="0" w:after="0"/>
      <w:textAlignment w:val="baseline"/>
    </w:pPr>
    <w:rPr>
      <w:sz w:val="24"/>
      <w:szCs w:val="20"/>
    </w:rPr>
  </w:style>
  <w:style w:type="paragraph" w:styleId="2-11" w:customStyle="1">
    <w:name w:val="содержание2-11"/>
    <w:basedOn w:val="Normal"/>
    <w:qFormat/>
    <w:rsid w:val="00fb3111"/>
    <w:pPr>
      <w:spacing w:lineRule="auto" w:line="240" w:before="0" w:after="60"/>
      <w:ind w:hanging="0"/>
    </w:pPr>
    <w:rPr>
      <w:sz w:val="24"/>
      <w:szCs w:val="24"/>
    </w:rPr>
  </w:style>
  <w:style w:type="paragraph" w:styleId="4" w:customStyle="1">
    <w:name w:val="Стиль4"/>
    <w:basedOn w:val="Heading2"/>
    <w:next w:val="Normal"/>
    <w:qFormat/>
    <w:rsid w:val="00fb3111"/>
    <w:pPr>
      <w:keepLines/>
      <w:widowControl w:val="false"/>
      <w:suppressLineNumbers/>
      <w:suppressAutoHyphens w:val="true"/>
      <w:ind w:firstLine="567"/>
    </w:pPr>
    <w:rPr/>
  </w:style>
  <w:style w:type="paragraph" w:styleId="Style25" w:customStyle="1">
    <w:name w:val="Таблица заголовок"/>
    <w:basedOn w:val="Normal"/>
    <w:qFormat/>
    <w:rsid w:val="00fb3111"/>
    <w:pPr>
      <w:spacing w:lineRule="auto" w:line="360" w:before="120" w:after="120"/>
      <w:ind w:hanging="0"/>
      <w:jc w:val="end"/>
    </w:pPr>
    <w:rPr>
      <w:b/>
    </w:rPr>
  </w:style>
  <w:style w:type="paragraph" w:styleId="Style26" w:customStyle="1">
    <w:name w:val="текст таблицы"/>
    <w:basedOn w:val="Normal"/>
    <w:qFormat/>
    <w:rsid w:val="00fb3111"/>
    <w:pPr>
      <w:spacing w:lineRule="auto" w:line="240" w:before="120" w:after="0"/>
      <w:ind w:hanging="0" w:end="-102"/>
      <w:jc w:val="start"/>
    </w:pPr>
    <w:rPr>
      <w:sz w:val="24"/>
      <w:szCs w:val="24"/>
    </w:rPr>
  </w:style>
  <w:style w:type="paragraph" w:styleId="35" w:customStyle="1">
    <w:name w:val="Стиль3"/>
    <w:basedOn w:val="BodyTextIndent2"/>
    <w:qFormat/>
    <w:rsid w:val="00fb3111"/>
    <w:pPr>
      <w:widowControl w:val="false"/>
      <w:tabs>
        <w:tab w:val="clear" w:pos="708"/>
        <w:tab w:val="left" w:pos="1307" w:leader="none"/>
      </w:tabs>
      <w:spacing w:lineRule="auto" w:line="240" w:before="0" w:after="0"/>
      <w:ind w:hanging="0" w:start="1080"/>
      <w:textAlignment w:val="baseline"/>
    </w:pPr>
    <w:rPr>
      <w:sz w:val="24"/>
      <w:szCs w:val="20"/>
    </w:rPr>
  </w:style>
  <w:style w:type="paragraph" w:styleId="Style27" w:customStyle="1">
    <w:name w:val="Мой"/>
    <w:basedOn w:val="Normal"/>
    <w:qFormat/>
    <w:rsid w:val="00fb3111"/>
    <w:pPr>
      <w:spacing w:lineRule="auto" w:line="240"/>
      <w:ind w:firstLine="708"/>
    </w:pPr>
    <w:rPr>
      <w:color w:val="000000"/>
      <w:sz w:val="24"/>
      <w:szCs w:val="20"/>
    </w:rPr>
  </w:style>
  <w:style w:type="paragraph" w:styleId="ConsPlusCell" w:customStyle="1">
    <w:name w:val="ConsPlusCell"/>
    <w:uiPriority w:val="99"/>
    <w:qFormat/>
    <w:rsid w:val="00f0008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Title" w:customStyle="1">
    <w:name w:val="ConsTitle"/>
    <w:qFormat/>
    <w:rsid w:val="00fb3111"/>
    <w:pPr>
      <w:widowControl w:val="false"/>
      <w:suppressAutoHyphens w:val="true"/>
      <w:bidi w:val="0"/>
      <w:spacing w:before="0" w:after="0"/>
      <w:ind w:end="19772"/>
      <w:jc w:val="star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13" w:customStyle="1">
    <w:name w:val="Обычный1"/>
    <w:qFormat/>
    <w:rsid w:val="00fb311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11" w:customStyle="1">
    <w:name w:val="11"/>
    <w:basedOn w:val="Normal"/>
    <w:qFormat/>
    <w:rsid w:val="00fb3111"/>
    <w:pPr>
      <w:keepNext w:val="true"/>
      <w:spacing w:lineRule="auto" w:line="240"/>
      <w:ind w:hanging="0"/>
      <w:jc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fb3111"/>
    <w:pPr>
      <w:spacing w:lineRule="auto" w:line="240" w:beforeAutospacing="1" w:afterAutospacing="1"/>
      <w:ind w:hanging="0"/>
      <w:jc w:val="end"/>
    </w:pPr>
    <w:rPr>
      <w:rFonts w:ascii="Garamond" w:hAnsi="Garamond"/>
      <w:sz w:val="24"/>
      <w:szCs w:val="24"/>
    </w:rPr>
  </w:style>
  <w:style w:type="paragraph" w:styleId="112" w:customStyle="1">
    <w:name w:val="заголовок 11"/>
    <w:basedOn w:val="Normal"/>
    <w:next w:val="Normal"/>
    <w:qFormat/>
    <w:rsid w:val="00fb3111"/>
    <w:pPr>
      <w:keepNext w:val="true"/>
      <w:spacing w:lineRule="auto" w:line="240"/>
      <w:ind w:hanging="0"/>
      <w:jc w:val="center"/>
    </w:pPr>
    <w:rPr>
      <w:sz w:val="24"/>
      <w:szCs w:val="20"/>
    </w:rPr>
  </w:style>
  <w:style w:type="paragraph" w:styleId="xl28" w:customStyle="1">
    <w:name w:val="xl28"/>
    <w:basedOn w:val="Normal"/>
    <w:qFormat/>
    <w:rsid w:val="00fb3111"/>
    <w:pPr>
      <w:pBdr>
        <w:left w:val="single" w:sz="8" w:space="0" w:color="000000"/>
      </w:pBdr>
      <w:spacing w:lineRule="auto" w:line="240" w:beforeAutospacing="1" w:afterAutospacing="1"/>
      <w:ind w:hanging="0"/>
      <w:jc w:val="center"/>
    </w:pPr>
    <w:rPr>
      <w:rFonts w:ascii="Arial Narrow" w:hAnsi="Arial Narrow"/>
      <w:b/>
      <w:bCs/>
      <w:sz w:val="24"/>
      <w:szCs w:val="24"/>
    </w:rPr>
  </w:style>
  <w:style w:type="paragraph" w:styleId="312" w:customStyle="1">
    <w:name w:val="Заголовок 31"/>
    <w:basedOn w:val="Normal"/>
    <w:next w:val="Normal"/>
    <w:qFormat/>
    <w:rsid w:val="00fb3111"/>
    <w:pPr>
      <w:keepNext w:val="true"/>
      <w:spacing w:lineRule="auto" w:line="240"/>
      <w:ind w:hanging="0"/>
      <w:outlineLvl w:val="2"/>
    </w:pPr>
    <w:rPr>
      <w:sz w:val="24"/>
      <w:szCs w:val="20"/>
    </w:rPr>
  </w:style>
  <w:style w:type="paragraph" w:styleId="DocumentMap">
    <w:name w:val="Document Map"/>
    <w:basedOn w:val="Normal"/>
    <w:semiHidden/>
    <w:qFormat/>
    <w:rsid w:val="00fb3111"/>
    <w:pPr>
      <w:shd w:val="clear" w:color="auto" w:fill="000080"/>
      <w:spacing w:lineRule="auto" w:line="240" w:before="0" w:after="60"/>
      <w:ind w:hanging="0"/>
    </w:pPr>
    <w:rPr>
      <w:rFonts w:ascii="Tahoma" w:hAnsi="Tahoma" w:cs="Tahoma"/>
      <w:sz w:val="24"/>
      <w:szCs w:val="24"/>
    </w:rPr>
  </w:style>
  <w:style w:type="paragraph" w:styleId="13pt" w:customStyle="1">
    <w:name w:val="Обычный + 13 pt"/>
    <w:basedOn w:val="Normal"/>
    <w:qFormat/>
    <w:rsid w:val="00fb3111"/>
    <w:pPr>
      <w:widowControl w:val="false"/>
      <w:shd w:val="clear" w:color="auto" w:fill="FFFFFF"/>
      <w:spacing w:lineRule="auto" w:line="240"/>
      <w:ind w:hanging="0" w:start="34"/>
      <w:jc w:val="center"/>
    </w:pPr>
    <w:rPr>
      <w:b/>
      <w:color w:val="000000"/>
      <w:spacing w:val="14"/>
      <w:kern w:val="2"/>
      <w:sz w:val="26"/>
      <w:szCs w:val="26"/>
    </w:rPr>
  </w:style>
  <w:style w:type="paragraph" w:styleId="13pt1" w:customStyle="1">
    <w:name w:val="Основной текст + 13 pt"/>
    <w:basedOn w:val="BodyText"/>
    <w:qFormat/>
    <w:rsid w:val="00fb3111"/>
    <w:pPr>
      <w:widowControl w:val="false"/>
      <w:shd w:val="clear" w:color="auto" w:fill="FFFFFF"/>
      <w:spacing w:lineRule="auto" w:line="240" w:before="0" w:after="0"/>
      <w:ind w:hanging="0" w:end="312"/>
      <w:jc w:val="center"/>
    </w:pPr>
    <w:rPr>
      <w:b/>
      <w:sz w:val="26"/>
      <w:szCs w:val="26"/>
    </w:rPr>
  </w:style>
  <w:style w:type="paragraph" w:styleId="ListBull1" w:customStyle="1">
    <w:name w:val="ListBull1"/>
    <w:basedOn w:val="Normal"/>
    <w:qFormat/>
    <w:rsid w:val="00fb3111"/>
    <w:pPr>
      <w:tabs>
        <w:tab w:val="clear" w:pos="708"/>
        <w:tab w:val="left" w:pos="0" w:leader="none"/>
        <w:tab w:val="left" w:pos="1985" w:leader="none"/>
      </w:tabs>
      <w:spacing w:lineRule="auto" w:line="240" w:before="60" w:after="40"/>
      <w:ind w:hanging="425" w:start="1984"/>
      <w:jc w:val="start"/>
    </w:pPr>
    <w:rPr>
      <w:sz w:val="24"/>
      <w:szCs w:val="24"/>
    </w:rPr>
  </w:style>
  <w:style w:type="paragraph" w:styleId="Style28" w:customStyle="1">
    <w:name w:val="Табличный список"/>
    <w:basedOn w:val="Normal"/>
    <w:qFormat/>
    <w:rsid w:val="00fb3111"/>
    <w:pPr>
      <w:numPr>
        <w:ilvl w:val="0"/>
        <w:numId w:val="14"/>
      </w:numPr>
      <w:spacing w:lineRule="auto" w:line="240"/>
      <w:jc w:val="start"/>
    </w:pPr>
    <w:rPr>
      <w:sz w:val="18"/>
      <w:szCs w:val="24"/>
    </w:rPr>
  </w:style>
  <w:style w:type="paragraph" w:styleId="ConsPlusNonformat" w:customStyle="1">
    <w:name w:val="ConsPlusNonformat"/>
    <w:uiPriority w:val="99"/>
    <w:qFormat/>
    <w:rsid w:val="00fb3111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9" w:customStyle="1">
    <w:name w:val="Стиль"/>
    <w:qFormat/>
    <w:rsid w:val="00fb3111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paragraph" w:styleId="Style30" w:customStyle="1">
    <w:name w:val="Пункт"/>
    <w:basedOn w:val="Normal"/>
    <w:qFormat/>
    <w:rsid w:val="00ac601a"/>
    <w:pPr>
      <w:tabs>
        <w:tab w:val="clear" w:pos="708"/>
        <w:tab w:val="left" w:pos="1980" w:leader="none"/>
      </w:tabs>
      <w:spacing w:lineRule="auto" w:line="240"/>
      <w:ind w:hanging="504" w:start="1404"/>
    </w:pPr>
    <w:rPr>
      <w:sz w:val="24"/>
    </w:rPr>
  </w:style>
  <w:style w:type="paragraph" w:styleId="ListParagraph">
    <w:name w:val="List Paragraph"/>
    <w:basedOn w:val="Normal"/>
    <w:uiPriority w:val="34"/>
    <w:qFormat/>
    <w:rsid w:val="009b6931"/>
    <w:pPr>
      <w:spacing w:lineRule="auto" w:line="240" w:beforeAutospacing="1" w:afterAutospacing="1"/>
      <w:ind w:hanging="0"/>
      <w:jc w:val="start"/>
    </w:pPr>
    <w:rPr>
      <w:sz w:val="24"/>
      <w:szCs w:val="24"/>
    </w:rPr>
  </w:style>
  <w:style w:type="paragraph" w:styleId="Default" w:customStyle="1">
    <w:name w:val="Default"/>
    <w:qFormat/>
    <w:rsid w:val="0098367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EndnoteText">
    <w:name w:val="endnote text"/>
    <w:basedOn w:val="Normal"/>
    <w:link w:val="Style11"/>
    <w:semiHidden/>
    <w:unhideWhenUsed/>
    <w:rsid w:val="00071f2b"/>
    <w:pPr>
      <w:spacing w:lineRule="auto" w:line="240"/>
    </w:pPr>
    <w:rPr>
      <w:sz w:val="20"/>
      <w:szCs w:val="20"/>
    </w:rPr>
  </w:style>
  <w:style w:type="paragraph" w:styleId="Style31" w:customStyle="1">
    <w:name w:val="Другое"/>
    <w:basedOn w:val="Normal"/>
    <w:link w:val="Style13"/>
    <w:qFormat/>
    <w:rsid w:val="00bd2f8f"/>
    <w:pPr>
      <w:widowControl w:val="false"/>
      <w:spacing w:lineRule="auto" w:line="252" w:before="0" w:after="260"/>
      <w:ind w:hanging="0"/>
      <w:jc w:val="start"/>
    </w:pPr>
    <w:rPr>
      <w:sz w:val="22"/>
      <w:szCs w:val="22"/>
    </w:rPr>
  </w:style>
  <w:style w:type="paragraph" w:styleId="Style32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numbering" w:styleId="Style33" w:default="1">
    <w:name w:val="Без списка"/>
    <w:uiPriority w:val="99"/>
    <w:semiHidden/>
    <w:unhideWhenUsed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c">
    <w:name w:val="Table Grid"/>
    <w:basedOn w:val="a5"/>
    <w:uiPriority w:val="39"/>
    <w:rsid w:val="0047491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F80CF-6493-4BFF-94DA-EFF3AB33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Application>LibreOffice/25.8.7.3$Linux_X86_64 LibreOffice_project/30742500f2d3eb4366ac312fa33d3dcabdb3eba5</Application>
  <AppVersion>15.0000</AppVersion>
  <Pages>17</Pages>
  <Words>5260</Words>
  <Characters>39682</Characters>
  <CharactersWithSpaces>44112</CharactersWithSpaces>
  <Paragraphs>943</Paragraphs>
  <Company>ДИЗО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2025-11-19T08:44:00Z</dcterms:created>
  <dc:creator>Анна Валендомовна Сергеева</dc:creator>
  <dc:description/>
  <dc:language>ru-RU</dc:language>
  <cp:lastModifiedBy/>
  <cp:lastPrinted>2019-08-19T06:06:00Z</cp:lastPrinted>
  <dcterms:modified xsi:type="dcterms:W3CDTF">2026-10-21T09:20:03Z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