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1"/>
        <w:rPr>
          <w:rFonts w:ascii="Times New Roman" w:hAnsi="Times New Roman"/>
          <w:b w:val="false"/>
          <w:sz w:val="24"/>
        </w:rPr>
      </w:pPr>
      <w:r>
        <w:rPr>
          <w:rFonts w:ascii="Times New Roman" w:hAnsi="Times New Roman"/>
          <w:b w:val="false"/>
          <w:sz w:val="24"/>
        </w:rPr>
      </w:r>
    </w:p>
    <w:p>
      <w:pPr>
        <w:pStyle w:val="ConsPlusTitle1"/>
        <w:rPr>
          <w:rFonts w:ascii="Times New Roman" w:hAnsi="Times New Roman"/>
          <w:b w:val="false"/>
          <w:sz w:val="24"/>
        </w:rPr>
      </w:pPr>
      <w:r>
        <w:rPr>
          <w:rFonts w:ascii="Times New Roman" w:hAnsi="Times New Roman"/>
          <w:b w:val="false"/>
          <w:sz w:val="24"/>
        </w:rPr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ТЕХНИЧЕСКОЕ ЗАДАНИЕ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услуги по эксплуатационно-техническому обслуживанию комплексной системы экстренного оповещения населения (КСЭОН) города Липецка об угрозе возникновения или о возникновении чрезвычайной ситуации.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Default1"/>
        <w:ind w:firstLine="709"/>
        <w:rPr/>
      </w:pPr>
      <w:r>
        <w:rPr/>
        <w:t xml:space="preserve">1. Предмет закупки. </w:t>
      </w:r>
    </w:p>
    <w:p>
      <w:pPr>
        <w:pStyle w:val="Default1"/>
        <w:ind w:firstLine="709"/>
        <w:jc w:val="both"/>
        <w:rPr>
          <w:b/>
          <w:i/>
        </w:rPr>
      </w:pPr>
      <w:r>
        <w:rPr>
          <w:b/>
          <w:i/>
        </w:rPr>
        <w:t xml:space="preserve">Услуги по эксплуатационно-техническому обслуживанию комплексной системы экстренного оповещения населения (КСЭОН) города Липецка об угрозе возникновения или о возникновении чрезвычайной ситуации. </w:t>
      </w:r>
    </w:p>
    <w:p>
      <w:pPr>
        <w:pStyle w:val="Default1"/>
        <w:ind w:firstLine="709"/>
        <w:jc w:val="both"/>
        <w:rPr>
          <w:b/>
          <w:i/>
        </w:rPr>
      </w:pPr>
      <w:r>
        <w:rPr/>
        <w:t>2</w:t>
      </w:r>
      <w:r>
        <w:rPr/>
        <w:t xml:space="preserve">. </w:t>
      </w:r>
      <w:r>
        <w:rPr>
          <w:b/>
          <w:i/>
        </w:rPr>
        <w:t>Срок оказания услуг: с даты с заключения контракта по 31.12.2026г. (24 часа в сутки 7 дней в неделю).</w:t>
      </w:r>
    </w:p>
    <w:p>
      <w:pPr>
        <w:pStyle w:val="Default1"/>
        <w:ind w:firstLine="709"/>
        <w:jc w:val="both"/>
        <w:rPr/>
      </w:pPr>
      <w:r>
        <w:rPr/>
        <w:t>3</w:t>
      </w:r>
      <w:r>
        <w:rPr/>
        <w:t>. Место оказания услуг: места расположения (адреса объектов) технических средств оповещения КСЭОН приведён в Приложении № 1 к Техническому заданию.</w:t>
      </w:r>
    </w:p>
    <w:p>
      <w:pPr>
        <w:pStyle w:val="Default1"/>
        <w:ind w:firstLine="709"/>
        <w:jc w:val="both"/>
        <w:rPr/>
      </w:pPr>
      <w:r>
        <w:rPr/>
        <w:t>4</w:t>
      </w:r>
      <w:r>
        <w:rPr/>
        <w:t xml:space="preserve">. </w:t>
      </w:r>
      <w:r>
        <w:rPr>
          <w:b/>
        </w:rPr>
        <w:t xml:space="preserve">Эксплуатационно-техническое обслуживание (далее ЭТО) осуществляется в соответствии с совместным приказом от 31.07.2020 № 579/366 министерства РФ по делам гражданской обороны, чрезвычайным ситуациям и ликвидации последствий стихийных бедствий/ министерства цифрового развития, связи и массовых коммуникаций РФ (зарегистрированном в Минюсте России, регистрационный номер 60566 от 26.10.2020г.) </w:t>
      </w:r>
      <w:r>
        <w:rPr/>
        <w:t>и включает в себя комплекс работ по поддержанию в исправном состоянии, восстановлению работоспособности технических средств оповещения, выполняемых в период их использования по назначению.</w:t>
      </w:r>
    </w:p>
    <w:p>
      <w:pPr>
        <w:pStyle w:val="Default1"/>
        <w:ind w:firstLine="709"/>
        <w:jc w:val="both"/>
        <w:rPr/>
      </w:pPr>
      <w:r>
        <w:rPr/>
        <w:t>5</w:t>
      </w:r>
      <w:r>
        <w:rPr/>
        <w:t>. К мероприятиям эксплуатационно-технического обслуживания относятся:</w:t>
      </w:r>
    </w:p>
    <w:p>
      <w:pPr>
        <w:pStyle w:val="Default1"/>
        <w:ind w:firstLine="708"/>
        <w:jc w:val="both"/>
        <w:rPr/>
      </w:pPr>
      <w:r>
        <w:rPr/>
        <w:t>техническое обслуживание;</w:t>
      </w:r>
    </w:p>
    <w:p>
      <w:pPr>
        <w:pStyle w:val="Default1"/>
        <w:ind w:firstLine="708"/>
        <w:jc w:val="both"/>
        <w:rPr/>
      </w:pPr>
      <w:r>
        <w:rPr/>
        <w:t>текущий ремонт;</w:t>
      </w:r>
    </w:p>
    <w:p>
      <w:pPr>
        <w:pStyle w:val="Default1"/>
        <w:ind w:firstLine="708"/>
        <w:jc w:val="both"/>
        <w:rPr/>
      </w:pPr>
      <w:r>
        <w:rPr/>
        <w:t>планирование и учёт эксплуатации и ремонта.</w:t>
      </w:r>
    </w:p>
    <w:p>
      <w:pPr>
        <w:pStyle w:val="Default1"/>
        <w:ind w:firstLine="709"/>
        <w:jc w:val="both"/>
        <w:rPr>
          <w:b/>
        </w:rPr>
      </w:pPr>
      <w:r>
        <w:rPr/>
        <w:t>6</w:t>
      </w:r>
      <w:r>
        <w:rPr/>
        <w:t xml:space="preserve">. </w:t>
      </w:r>
      <w:r>
        <w:rPr>
          <w:b/>
        </w:rPr>
        <w:t>Технические средства оповещения системы КСЭОН передаются Заказчиком Исполнителю на эксплуатационно-техническое обслуживание по акту приёма – передачи.</w:t>
      </w:r>
    </w:p>
    <w:p>
      <w:pPr>
        <w:pStyle w:val="Default1"/>
        <w:ind w:firstLine="709"/>
        <w:jc w:val="both"/>
        <w:rPr/>
      </w:pPr>
      <w:r>
        <w:rPr/>
        <w:t>По факту исполнения контракта технические средства оповещения системы КСЭОН возвращаются Исполнителем Заказчику по акту приёма – передачи.</w:t>
      </w:r>
    </w:p>
    <w:p>
      <w:pPr>
        <w:pStyle w:val="Default1"/>
        <w:ind w:firstLine="709"/>
        <w:jc w:val="both"/>
        <w:rPr>
          <w:b/>
        </w:rPr>
      </w:pPr>
      <w:r>
        <w:rPr/>
        <w:t xml:space="preserve">Состав технических средств КСЭОН, передаваемых на эксплуатационно-техническое обслуживание, приведен в </w:t>
      </w:r>
      <w:r>
        <w:rPr>
          <w:b/>
        </w:rPr>
        <w:t>приложении №1 к настоящему Техническому заданию.</w:t>
      </w:r>
    </w:p>
    <w:p>
      <w:pPr>
        <w:pStyle w:val="Default1"/>
        <w:ind w:firstLine="709"/>
        <w:jc w:val="both"/>
        <w:rPr/>
      </w:pPr>
      <w:r>
        <w:rPr/>
        <w:t>7</w:t>
      </w:r>
      <w:r>
        <w:rPr/>
        <w:t>. В результате оказания услуг должно осуществляться бесперебойное круглосуточное функционирование КСЭОН города Липецка как в автономном режиме, так и в составе региональной автоматизированной системы централизованного оповещения (далее РАСЦО), а также:</w:t>
      </w:r>
    </w:p>
    <w:p>
      <w:pPr>
        <w:pStyle w:val="Default1"/>
        <w:ind w:firstLine="709"/>
        <w:jc w:val="both"/>
        <w:rPr/>
      </w:pPr>
      <w:r>
        <w:rPr/>
        <w:t>- предупреждение преждевременного износа механических элементов и отклонения электрических параметров технических средств оповещения от заданных норм;</w:t>
      </w:r>
    </w:p>
    <w:p>
      <w:pPr>
        <w:pStyle w:val="Default1"/>
        <w:ind w:firstLine="709"/>
        <w:jc w:val="both"/>
        <w:rPr/>
      </w:pPr>
      <w:r>
        <w:rPr/>
        <w:t>- выявление и устранение неисправностей путём проведения текущего ремонта;</w:t>
      </w:r>
    </w:p>
    <w:p>
      <w:pPr>
        <w:pStyle w:val="Default1"/>
        <w:ind w:firstLine="709"/>
        <w:jc w:val="both"/>
        <w:rPr/>
      </w:pPr>
      <w:r>
        <w:rPr/>
        <w:t>- доведение параметров и характеристик технических средств оповещения до норм, установленных эксплуатационно-технической документацией;</w:t>
      </w:r>
    </w:p>
    <w:p>
      <w:pPr>
        <w:pStyle w:val="Default1"/>
        <w:ind w:firstLine="709"/>
        <w:jc w:val="both"/>
        <w:rPr/>
      </w:pPr>
      <w:r>
        <w:rPr/>
        <w:t>- анализ причин возникновения неисправностей;</w:t>
      </w:r>
    </w:p>
    <w:p>
      <w:pPr>
        <w:pStyle w:val="Default1"/>
        <w:ind w:firstLine="709"/>
        <w:jc w:val="both"/>
        <w:rPr/>
      </w:pPr>
      <w:r>
        <w:rPr/>
        <w:t>- продление сроков службы технических средств оповещения.</w:t>
      </w:r>
    </w:p>
    <w:p>
      <w:pPr>
        <w:pStyle w:val="Default1"/>
        <w:ind w:firstLine="709"/>
        <w:jc w:val="both"/>
        <w:rPr/>
      </w:pPr>
      <w:r>
        <w:rPr/>
        <w:t>8</w:t>
      </w:r>
      <w:r>
        <w:rPr/>
        <w:t>. Проведение эксплуатационно-технического обслуживания КСЭОН обеспечивает бесперебойное круглосуточное функционирование КСЭОН посредством проводной VPN-сети и радиоканалу и включает в себя:</w:t>
      </w:r>
    </w:p>
    <w:p>
      <w:pPr>
        <w:pStyle w:val="Default1"/>
        <w:ind w:firstLine="709"/>
        <w:jc w:val="both"/>
        <w:rPr/>
      </w:pPr>
      <w:r>
        <w:rPr/>
        <w:t>8</w:t>
      </w:r>
      <w:r>
        <w:rPr/>
        <w:t>.1. Плановое эксплуатационно-техническое обслуживание:</w:t>
      </w:r>
    </w:p>
    <w:p>
      <w:pPr>
        <w:pStyle w:val="Default1"/>
        <w:ind w:firstLine="709"/>
        <w:jc w:val="both"/>
        <w:rPr/>
      </w:pPr>
      <w:r>
        <w:rPr/>
        <w:t>- проведение регламентных работ по обслуживанию радио и проводной линий связи системы оповещения;</w:t>
      </w:r>
    </w:p>
    <w:p>
      <w:pPr>
        <w:pStyle w:val="Default1"/>
        <w:ind w:firstLine="708"/>
        <w:jc w:val="both"/>
        <w:rPr/>
      </w:pPr>
      <w:r>
        <w:rPr/>
        <w:t>- проведение регламентных работ по обслуживанию технических средств КСЭОН;</w:t>
      </w:r>
    </w:p>
    <w:p>
      <w:pPr>
        <w:pStyle w:val="Default1"/>
        <w:ind w:firstLine="708"/>
        <w:jc w:val="both"/>
        <w:rPr/>
      </w:pPr>
      <w:r>
        <w:rPr/>
        <w:t>- проверка работоспособности всей системы;</w:t>
      </w:r>
    </w:p>
    <w:p>
      <w:pPr>
        <w:pStyle w:val="Default1"/>
        <w:ind w:firstLine="708"/>
        <w:jc w:val="both"/>
        <w:rPr/>
      </w:pPr>
      <w:r>
        <w:rPr/>
        <w:t>- измерение электрических параметров.</w:t>
      </w:r>
    </w:p>
    <w:p>
      <w:pPr>
        <w:pStyle w:val="Default1"/>
        <w:ind w:firstLine="708"/>
        <w:rPr/>
      </w:pPr>
      <w:r>
        <w:rPr/>
        <w:t>8</w:t>
      </w:r>
      <w:r>
        <w:rPr/>
        <w:t>.2. Неплановое эксплуатационно-техническое обслуживание - восстановление работоспособности технических средств оповещения в случаях:</w:t>
      </w:r>
    </w:p>
    <w:p>
      <w:pPr>
        <w:pStyle w:val="Default1"/>
        <w:ind w:firstLine="708"/>
        <w:rPr/>
      </w:pPr>
      <w:r>
        <w:rPr/>
        <w:t>- при возникновении сбоев в работе устройств, установленных в помещениях и на железобетонных опорах;</w:t>
      </w:r>
    </w:p>
    <w:p>
      <w:pPr>
        <w:pStyle w:val="Default1"/>
        <w:ind w:firstLine="708"/>
        <w:jc w:val="both"/>
        <w:rPr/>
      </w:pPr>
      <w:r>
        <w:rPr/>
        <w:t>- при поступлении ложных срабатываний с устройства, установленного на объекте, а также в случаях ликвидации последствий воздействия на устройство неблагоприятных климатических или производственных условий.</w:t>
      </w:r>
    </w:p>
    <w:p>
      <w:pPr>
        <w:pStyle w:val="Default1"/>
        <w:ind w:firstLine="708"/>
        <w:rPr/>
      </w:pPr>
      <w:r>
        <w:rPr/>
        <w:t>8</w:t>
      </w:r>
      <w:r>
        <w:rPr/>
        <w:t>.3.  Техническое обслуживание средств оповещения:</w:t>
      </w:r>
    </w:p>
    <w:p>
      <w:pPr>
        <w:pStyle w:val="Default1"/>
        <w:ind w:firstLine="708"/>
        <w:rPr>
          <w:b/>
        </w:rPr>
      </w:pPr>
      <w:r>
        <w:rPr>
          <w:b/>
        </w:rPr>
        <w:t>- ежедневное техническое обслуживание (далее ЕТО);</w:t>
      </w:r>
    </w:p>
    <w:p>
      <w:pPr>
        <w:pStyle w:val="Default1"/>
        <w:ind w:firstLine="708"/>
        <w:rPr>
          <w:b/>
        </w:rPr>
      </w:pPr>
      <w:r>
        <w:rPr>
          <w:b/>
        </w:rPr>
        <w:t>- техническое обслуживание № 1 (далее ТО-1);</w:t>
      </w:r>
    </w:p>
    <w:p>
      <w:pPr>
        <w:pStyle w:val="Default1"/>
        <w:ind w:firstLine="708"/>
        <w:jc w:val="both"/>
        <w:rPr>
          <w:b/>
        </w:rPr>
      </w:pPr>
      <w:r>
        <w:rPr>
          <w:b/>
        </w:rPr>
        <w:t>- техническое обслуживание № 2 (далее ТО-2).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8</w:t>
      </w:r>
      <w:r>
        <w:rPr/>
        <w:t>.3.1. Ежедневное техническое обслуживание проводится на технических средствах оповещения КСЭОН, работающих непрерывно, и предусматривает проверку: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наличия и состояния основных комплектующих блоков, средств измерений;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исправности источников электроснабжения и готовности их к применению;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надёжности крепления блоков и соединения электрических разъёмов;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работоспособности и проведения необходимых регулировок технических средств оповещения по встроенным приборам.</w:t>
      </w:r>
    </w:p>
    <w:p>
      <w:pPr>
        <w:pStyle w:val="Default1"/>
        <w:spacing w:lineRule="auto" w:line="276"/>
        <w:ind w:firstLine="708"/>
        <w:jc w:val="both"/>
        <w:rPr>
          <w:b/>
        </w:rPr>
      </w:pPr>
      <w:r>
        <w:rPr>
          <w:b/>
        </w:rPr>
        <w:t xml:space="preserve">О результатах проведения ЭТО </w:t>
      </w:r>
      <w:r>
        <w:rPr/>
        <w:t>(</w:t>
      </w:r>
      <w:r>
        <w:rPr>
          <w:b/>
        </w:rPr>
        <w:t>эксплуатационно-технического обслуживания) делается отметка в книге учёта технического состояния технических средств оповещения.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8</w:t>
      </w:r>
      <w:r>
        <w:rPr/>
        <w:t>.3.2. Техническое обслуживание N 1 проводится один раз в месяц независимо от интенсивности использования технических средств оповещения и предусматривает выполнение следующих основных работ: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работы в объёме ЭТО;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детальный осмотр и чистку технических средств оповещения;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проверку работоспособности технических средств оповещения с использованием встроенных систем контроля и автономных средств измерений;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проведение при необходимости электрических и механических регулировок, а также чистки и смазки трущихся частей.</w:t>
      </w:r>
    </w:p>
    <w:p>
      <w:pPr>
        <w:pStyle w:val="Default1"/>
        <w:spacing w:lineRule="auto" w:line="276"/>
        <w:ind w:firstLine="708"/>
        <w:jc w:val="both"/>
        <w:rPr>
          <w:b/>
        </w:rPr>
      </w:pPr>
      <w:r>
        <w:rPr>
          <w:b/>
        </w:rPr>
        <w:t>Результаты ТО-1 записываются в книгу учёта технического состояния технических средств оповещения.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8</w:t>
      </w:r>
      <w:r>
        <w:rPr/>
        <w:t>.3.3. Техническое обслуживание N 2 проводится один раз в течение срока действия муниципального контракта и предусматривает выполнение следующих основных работ: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работы в объёме ТО-1;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измерение параметров и характеристик технических средств оповещения, установленных в эксплуатационной документации, и доведение их до заданных норм;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проверку и замену некачественных (неработоспособных) элементов технических средств оповещения;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проверку правильности ведения формуляров (паспортов) и другой эксплуатационной документации и порядка их хранения.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8</w:t>
      </w:r>
      <w:r>
        <w:rPr/>
        <w:t>.4 К мероприятиям эксплуатационно-технического обслуживания оборудования также относится: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- текущий ремонт, в том числе работы по замене неисправных блоков: УКБ СГС 22 М (настройка блоков УКБ: настройка и проверка блока бесперебойного питания; локализатор (проверка и настройка выходной мощности на линии); проверка сетевых предохранителей; проверка КСВ, в том числе проверка пропускной мощности фидерных узлов; настройка ip адресации и сопряжения с П166М КПУ; проверка команд "3", "5", "6"; проверка линий РФ; проверка заземления), , ББР СГС-22-М (проверка КСВ, в том числе проверка пропускной мощности фидерных узлов; настройка ip адресации и сопряжения с П166М КПУ; проверка команд «3», «5», «6», проверка сетевых предохранителей; проверка заземления).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 xml:space="preserve">- замена аккумуляторов, чипов RS 232, автоматических выключателей и однофазных счетчиков, рупоров (там, где они установлены), модернизацию и замену кабельных трасс и силового кабеля. Блоки, рупора и кабели предоставляются Заказчиком. Текущий ремонт может проводиться как по результатам ТО-1 и ТО-2, так и по требованию 3аказчика. </w:t>
      </w:r>
    </w:p>
    <w:p>
      <w:pPr>
        <w:pStyle w:val="Default1"/>
        <w:spacing w:lineRule="auto" w:line="276"/>
        <w:ind w:firstLine="708"/>
        <w:jc w:val="both"/>
        <w:rPr>
          <w:b/>
        </w:rPr>
      </w:pPr>
      <w:r>
        <w:rPr>
          <w:b/>
        </w:rPr>
        <w:t>Результаты ТО-2 и значения измеренных параметров заносятся в формуляры (паспорта) и в книгу учёта технического состояния технических средств оповещения.</w:t>
      </w:r>
    </w:p>
    <w:p>
      <w:pPr>
        <w:pStyle w:val="Default2"/>
        <w:numPr>
          <w:ilvl w:val="0"/>
          <w:numId w:val="0"/>
        </w:numPr>
        <w:spacing w:lineRule="auto" w:line="276"/>
        <w:ind w:hanging="0" w:start="0"/>
        <w:jc w:val="both"/>
        <w:rPr/>
      </w:pPr>
      <w:r>
        <w:rPr/>
        <w:t xml:space="preserve">            </w:t>
      </w:r>
      <w:r>
        <w:rPr/>
        <w:t xml:space="preserve">9. </w:t>
      </w:r>
      <w:r>
        <w:rPr/>
        <w:t>Требования к оказываемым услугам:</w:t>
      </w:r>
    </w:p>
    <w:p>
      <w:pPr>
        <w:pStyle w:val="Default1"/>
        <w:ind w:firstLine="708"/>
        <w:jc w:val="both"/>
        <w:rPr/>
      </w:pPr>
      <w:r>
        <w:rPr/>
        <w:t>- рабочее состояние радиоканала УКВ диапазона с коэффициентом готовности не ниже 0,98;</w:t>
      </w:r>
    </w:p>
    <w:p>
      <w:pPr>
        <w:pStyle w:val="Default1"/>
        <w:spacing w:lineRule="auto" w:line="276"/>
        <w:ind w:firstLine="708"/>
        <w:jc w:val="both"/>
        <w:rPr/>
      </w:pPr>
      <w:r>
        <w:rPr/>
        <w:t>- при отключении электросети, работоспособность технических средств оповещения должна сохраняться не менее 4 часов.</w:t>
      </w:r>
    </w:p>
    <w:p>
      <w:pPr>
        <w:pStyle w:val="Normal"/>
        <w:ind w:firstLine="708"/>
        <w:rPr/>
      </w:pPr>
      <w:r>
        <w:rPr/>
        <w:t>10</w:t>
      </w:r>
      <w:r>
        <w:rPr/>
        <w:t xml:space="preserve">. Обеспечение электропитанием оконечных устройств оповещения осуществляется Заказчиком. </w:t>
      </w:r>
    </w:p>
    <w:p>
      <w:pPr>
        <w:pStyle w:val="Normal"/>
        <w:ind w:firstLine="708"/>
        <w:rPr/>
      </w:pPr>
      <w:r>
        <w:rPr/>
        <w:t>1</w:t>
      </w:r>
      <w:r>
        <w:rPr/>
        <w:t>1</w:t>
      </w:r>
      <w:r>
        <w:rPr/>
        <w:t xml:space="preserve">. Обеспечение мобильной связью измерительного комплекса станции контроля уровня воды Т80-1642 осуществляется Заказчиком. </w:t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  <w:t>1</w:t>
      </w:r>
      <w:r>
        <w:rPr/>
        <w:t>2</w:t>
      </w:r>
      <w:r>
        <w:rPr/>
        <w:t>. Проведение работ в объёмах планового эксплуатационно-технического обслуживания (ЕТО, ТО-1, ТО-2) осуществляется в рабочие дни Заказчика (с понедельника по пятницу с 8:30 до 17:30).</w:t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  <w:t>Заявки на устранение неисправностей должны приниматься Исполнителем круглосуточно по средствам любого из видов связи: по указанным в реквизитах контракта</w:t>
      </w:r>
      <w:r>
        <w:rPr>
          <w:lang w:val="en-US"/>
        </w:rPr>
        <w:t xml:space="preserve"> </w:t>
      </w:r>
      <w:bookmarkStart w:id="0" w:name="_GoBack"/>
      <w:bookmarkEnd w:id="0"/>
      <w:r>
        <w:rPr/>
        <w:t>(по эл. почте, факсимильной связи, телефону). Проведение работ по восстановлению работоспособности в рамках эксплуатационного-технического обслуживания КСЭОН должно быть выполнено в технически возможный срок, не превышающий 6 (шести) часов с момента поступления заявки от Заказчика.</w:t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  <w:t>1</w:t>
      </w:r>
      <w:r>
        <w:rPr/>
        <w:t>3</w:t>
      </w:r>
      <w:r>
        <w:rPr/>
        <w:t>. Эксплуатационно-технического обслуживание локальных систем оповещения (ЛСО) потенциально опасных объектов, подключённых к КСЭОН, осуществляется за счёт средств организаций по отдельным договорам.</w:t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firstLine="709" w:start="0"/>
        <w:contextualSpacing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0" w:after="0"/>
        <w:ind w:hanging="0" w:start="0"/>
        <w:contextualSpacing/>
        <w:outlineLvl w:val="0"/>
        <w:rPr/>
      </w:pPr>
      <w:r>
        <w:rPr/>
      </w:r>
    </w:p>
    <w:p>
      <w:pPr>
        <w:pStyle w:val="Normal"/>
        <w:jc w:val="end"/>
        <w:rPr/>
      </w:pPr>
      <w:r>
        <w:rPr/>
        <w:t xml:space="preserve">Приложение № 1 </w:t>
      </w:r>
    </w:p>
    <w:p>
      <w:pPr>
        <w:pStyle w:val="Normal"/>
        <w:jc w:val="end"/>
        <w:rPr/>
      </w:pPr>
      <w:r>
        <w:rPr/>
        <w:t>к Техническому заданию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Адреса и состав технических средств оповещения КСЭОН</w:t>
      </w:r>
    </w:p>
    <w:p>
      <w:pPr>
        <w:pStyle w:val="Normal"/>
        <w:rPr/>
      </w:pPr>
      <w:r>
        <w:rPr/>
      </w:r>
    </w:p>
    <w:tbl>
      <w:tblPr>
        <w:tblW w:w="10458" w:type="dxa"/>
        <w:jc w:val="start"/>
        <w:tblInd w:w="-87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80"/>
        <w:gridCol w:w="4687"/>
        <w:gridCol w:w="3413"/>
        <w:gridCol w:w="703"/>
        <w:gridCol w:w="975"/>
      </w:tblGrid>
      <w:tr>
        <w:trPr/>
        <w:tc>
          <w:tcPr>
            <w:tcW w:w="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46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Адреса объектов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Наименование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Ед. изм.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Общее</w:t>
            </w:r>
          </w:p>
          <w:p>
            <w:pPr>
              <w:pStyle w:val="Normal"/>
              <w:jc w:val="center"/>
              <w:rPr/>
            </w:pPr>
            <w:r>
              <w:rPr/>
              <w:t>кол-во</w:t>
            </w:r>
          </w:p>
        </w:tc>
      </w:tr>
      <w:tr>
        <w:trPr>
          <w:trHeight w:val="142" w:hRule="atLeast"/>
        </w:trPr>
        <w:tc>
          <w:tcPr>
            <w:tcW w:w="68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1.</w:t>
            </w:r>
          </w:p>
        </w:tc>
        <w:tc>
          <w:tcPr>
            <w:tcW w:w="468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КСЭОН ЕДДС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г. Липецк, (пер. Рылеева, дом 30а)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Программное обеспечение ПУ СГС-22-М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6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базовой радиостанции ББР СГС-22-М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6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сопряжения ЦСО-ПК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Системный блок IntelCore i3-3220, 3.30ГГц, 3МБ, LGA1155, жёсткий диск HDD 500ГБ, Windows 7 Pro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8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Принтер HPLaserJet P1606dn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6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Монитор SamsungS19200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57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Источник бесперебойного питания IPPON SmartWinner 1500 VА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Маршрутизатор для выделенной линии (роутер) DSR-150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9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Клавиатура Genius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57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Мышь 110 Black Genius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57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Колонки SP-120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42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Автоматический выключатель ВА47-29 С16 1Р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21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П-166 М БУ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12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Терминал управления П-166М TУ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42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П-166М МРО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6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П-166М БПРУ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6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lang w:val="en-US"/>
              </w:rPr>
            </w:pPr>
            <w:r>
              <w:rPr/>
              <w:t>Ноутбук</w:t>
            </w:r>
            <w:r>
              <w:rPr>
                <w:lang w:val="en-US"/>
              </w:rPr>
              <w:t xml:space="preserve"> Acer TMP 253-E-20204G 32Mnks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6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ретрансляции звуковых потоков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96" w:hRule="atLeast"/>
        </w:trPr>
        <w:tc>
          <w:tcPr>
            <w:tcW w:w="68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2.</w:t>
            </w:r>
          </w:p>
        </w:tc>
        <w:tc>
          <w:tcPr>
            <w:tcW w:w="468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КСЭОН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с. Жёлтые Пески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(ул.Советская, д.128; ул.Буденного,59; ул. Космонавтов, д.1)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сопряжения УКБ СГС-22-М с Ethernet модемом «Спектр 48MSK»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6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Радиостанция VX-2100E-G6-25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26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УКБ СГС-22М200У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126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УБ СГС-22М200У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Громкоговоритель рупорный ГР100.02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Автоматический выключатель ВА47-29 С6 1Р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18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Счётчик однотарифный «Меркурий»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13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отключения нагрузки и грозозащиты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165" w:hRule="atLeast"/>
        </w:trPr>
        <w:tc>
          <w:tcPr>
            <w:tcW w:w="68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3.</w:t>
            </w:r>
          </w:p>
        </w:tc>
        <w:tc>
          <w:tcPr>
            <w:tcW w:w="468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КСЭОН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п. Силикатный (ул. Силикатная, д.19)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сопряжения УКБ СГС-22-М с Ethernet модемом «Спектр 48MSK»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0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Радиостанция VX-2100E-G6-25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80" w:hRule="atLeast"/>
        </w:trPr>
        <w:tc>
          <w:tcPr>
            <w:tcW w:w="68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4.</w:t>
            </w:r>
          </w:p>
        </w:tc>
        <w:tc>
          <w:tcPr>
            <w:tcW w:w="468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КСЭОН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п. Дачный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(ул. Бригадная, д. 1а; ул. Зорге, д. 92;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ул. Постышева, д. 37; ул. Светлова, д.29)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УКБ СГС-22М500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9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УКБ СГС-22М200У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Громкоговоритель рупорный ГР100.02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rPr>
          <w:trHeight w:val="12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Автоматический выключатель ВА47-29 С6 1Р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val="18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сопряжения УКБ СГС-22-М с Ethernet модемом «Спектр 48MSK»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3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Радиостанция VX-2100E-G6-25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9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Счетчик однотарифный </w:t>
            </w:r>
          </w:p>
          <w:p>
            <w:pPr>
              <w:pStyle w:val="Normal"/>
              <w:rPr/>
            </w:pPr>
            <w:r>
              <w:rPr/>
              <w:t>NP71L.1-1-3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8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отключения нагрузки и грозозащиты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5.</w:t>
            </w:r>
          </w:p>
        </w:tc>
        <w:tc>
          <w:tcPr>
            <w:tcW w:w="468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КСЭОН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п. Заречье, (ул. Полетаева, д. 44)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УКБ СГС-22М200У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11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УБ СГС-22М200У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36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Громкоговоритель рупорный ГР100.02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rPr>
          <w:trHeight w:val="12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Автоматический выключатель ВА47-29 С6 1Р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6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Счётчик однотарифный</w:t>
            </w:r>
          </w:p>
          <w:p>
            <w:pPr>
              <w:pStyle w:val="Normal"/>
              <w:rPr/>
            </w:pPr>
            <w:r>
              <w:rPr/>
              <w:t>NP71L.1-1-3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96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отключения нагрузки и грозозащиты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35" w:hRule="atLeast"/>
        </w:trPr>
        <w:tc>
          <w:tcPr>
            <w:tcW w:w="68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6.</w:t>
            </w:r>
          </w:p>
        </w:tc>
        <w:tc>
          <w:tcPr>
            <w:tcW w:w="468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КСЭОН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п. Тракторный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(ул. Ильича, д. 31; ул. Воронежская, д. 47, ул. Жуковского, д.13а, ул. Докучаева, д. 23)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сопряжения УКБ СГС-22-М с Ethernet модемом «Спектр 48MSK»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26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Радиостанция VX-2100E-G6-25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УКБ СГС-22М200У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111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Громкоговоритель рупорный ГР100.02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>
        <w:trPr>
          <w:trHeight w:val="111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Автоматический выключатель ВА47-29 С6 1Р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val="96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Счетчик однотарифный </w:t>
            </w:r>
          </w:p>
          <w:p>
            <w:pPr>
              <w:pStyle w:val="Normal"/>
              <w:rPr/>
            </w:pPr>
            <w:r>
              <w:rPr/>
              <w:t>NP71L.1-1-3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13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Блок отключения нагрузки и грозозащиты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УКБ СГС-22М500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7</w:t>
            </w:r>
          </w:p>
        </w:tc>
        <w:tc>
          <w:tcPr>
            <w:tcW w:w="468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г. Липецк (ул. Коцаря, д.1, ул. Стаханова, д.75, ул. Леонтия Кривенкова, д. 25)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УКБ СГС-22М400Н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Громкоговоритель рупорный ГР100.02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Дифференциальный автомат АЕК 16А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Антенна направленная Y4 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  <w:t>Газоразрядник СT-LA-LN lj 200А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Шкаф монтажный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>
        <w:trPr>
          <w:trHeight w:val="375" w:hRule="atLeast"/>
        </w:trPr>
        <w:tc>
          <w:tcPr>
            <w:tcW w:w="68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8</w:t>
            </w:r>
          </w:p>
        </w:tc>
        <w:tc>
          <w:tcPr>
            <w:tcW w:w="468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г. Липецк (ул. Минская, д. 7В, ул. Осканова, д.4),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г. Липецк, ул. 9 Мая, д. 20А (Липецкий политехнический техникум),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г. Липецк, ул. Циолковского, д. 31 (МБОУ СОШ №52),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г. Липецк, ул. Звездная, д. 12 (МБОУ СОШ №49),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г. Липецк, ул. Студенческий Городок, д. 10 (Липецкий машиностроительный колледж), г. Липецк, бульвар Есенина, д. 12 (ДОУ №21), г. Липецк, п. Новая Жизнь, ул. Пришкольная, д. 21 (школа №57),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>
                <w:sz w:val="24"/>
              </w:rPr>
              <w:t>г. Липецк, п. Новая Жизнь, ул. Таежная, д. 12 (МБДОУ №12)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УКБ СГС-22-МЕ400Н Л ЦКП.468354.055 (-01, -02, -03)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rPr>
          <w:trHeight w:val="37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Громкоговоритель рупорный ГР-100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>
        <w:trPr>
          <w:trHeight w:val="37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Антенна направленная Y 4 UHF L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rPr>
          <w:trHeight w:val="37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Грозоразрядник CT-LA-LN «ComTech»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rPr>
          <w:trHeight w:val="37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Однофазный счетчик электрической энергии СЕ101 R5 145 ООО "Энергомера"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rPr>
          <w:trHeight w:val="375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Дифференциальный автомат АД-12 2п, C, 16А, 30мА MAD10-2-016-C-030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Корпус металлический навесной IEK ЩУРН-1/12зо-1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9</w:t>
            </w:r>
          </w:p>
        </w:tc>
        <w:tc>
          <w:tcPr>
            <w:tcW w:w="468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г. Липецк (ул. Звездная, д. 6, (МОУ СОШ № 50), ул. Бульвар Есенина, д.7а, (МАОУ гимназия № 69), г. Липецк, ул. Свиридова, д. 12А (МАДОУ детский сад №32), г. Липецк, ул. Фрунзе, д. 91 (Липецкий металлургический колледж), г. Липецк, ул. Хренникова, д. 2 (ЛОУ детский сад №50), г. Липецк, ул. Одоевского, д. 5 (ДОУ №25), г. Липецк, ул. Рубена Ибаррури, д. 1 (СШ №62), г. Липецк, ул. Семашко, д. 68 (Гимназия №19), г. Липецк, ул. 3. Космодемьянской, д. 178 (СОШ №4 им. Л.А. Смык), г. Липецк, ул. И.Г. Гришина, д. 9А (ФГБУ Центр стандартизации и метрологии), г. Липецк:, ул. Липовская, д. 12А (ДХШ №1 им. В.С. Сорокина)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 xml:space="preserve">Система звукового оповещения КТС П-166М СЗО2 УЯИД.468354.002-04.73 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Громкоговоритель рупорный ГР-100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Антенна направленная Y 4 UHF L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Грозоразрядник CT-LA-LN «ComTech»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Однофазный счетчик электрической энергии СЕ101 R5 145 ООО "Энергомера"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Дифференциальный автомат АД-12 2п, C, 16А, 30мА MAD10-2-016-C-030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>
        <w:trPr>
          <w:trHeight w:val="150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Корпус металлический навесной IEK ЩУРН-1/12зо-1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rPr>
          <w:trHeight w:val="150" w:hRule="atLeast"/>
        </w:trPr>
        <w:tc>
          <w:tcPr>
            <w:tcW w:w="10458" w:type="dxa"/>
            <w:gridSpan w:val="5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8783" w:hRule="atLeast"/>
        </w:trPr>
        <w:tc>
          <w:tcPr>
            <w:tcW w:w="68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</w:r>
          </w:p>
        </w:tc>
        <w:tc>
          <w:tcPr>
            <w:tcW w:w="46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Первомайская, д. 58 (МБОУ СШ № 2),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Ушинского, д. 26 (МБОУ СШ № 3),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ул. Парковая, д. 5 (МБОУ СШ № 4),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З. Космодемьянской, д.178 (МБОУ СШ № 4),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Семашко, д. 5 (МБОУ СШ № 5),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Студеновская, д. 4-А (МБОУ СШ № 9),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Краснозаводская, д.8 (МБОУ СШ № 10),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пл. Торговая, д. 14 (МАОУ СШ № 15),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Циолковского, д.34/4 (МБОУ СШ №16),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пр. Победы, д. 96 (МАОУ СШ № 17),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Л. Кривенкова, д. 25 (МАОУ СШ № 18), ул. Семашко, д. 68 (МБОУ СШ № 19),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15 мкр, д. 5/2 (МБОУ СШ №21),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Гагарина, д. 84 (МБОУ СШ № 24),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 Стаханова, д. 75 (МАОУ СШ № 26),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Лутова, д. 15 (МАОУ СШ № 27),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пл. Константиновой, д.2 (МБОУ СШ № 28),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Волгоградская, д. 4 (МБОУ СШ № 31), ул. Волгоградская, д. З (МБОУ СШ № 31), ул. Октябрьская, д. 88а (МБОУ СШ № 32), бул. П. Шубина, д. 15 (МБОУ СШ № 33), ул. Минская, д. 7в (МАОУ СШ № 34),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Гагарина, д. 73 А (МБОУ СШ № 36),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Писарева, д. 37 (МБОУ СШ № 37),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Привокзальная, д.101 (МБОУ СШ №37), ул. Пришкольная, д. 21 (МБОУ СШ № 37), пр-т мира, (МБОУ СШ № 38),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Плеханова, д. 51 А (МЛОУ СШ № 44), ул. Плеханова, д. 49 (МАОУ СШ № 44),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Папина, д. 4 (МБОУ СШ № 45),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Титова, д. 8 (МБОУ СШ № 46),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Космонавтов, д. 11Б (МБОУ СШ № 47), ул. Космонавтов, д. 82/4 (МАОУ СШ № 48), ул. Звездная, д. 12 (МБОУ СШ № 49),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Вермишева, д. 16 (МБОУ СШ № 49),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Московская, д.  51А (МАОУ СШ № 51), ул. Циолковского, д. 31 (МБОУ СШ № 52), ул. Моршанская, д. 22 (МБОУ СШ № 54), ул. Ибаррури, д. 1 (МБОУ СШ № 62),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пр. Сиреневый, д. 9 (МБОУ СШ № 63),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пер. Кувшинова, д. З (МБОУ СШ № 65),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Меркулова, д. 1 А (МБОУ СШ № 66),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Стаханова, д. 17 (МБОУ СШ № 68),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Ю. Натуралистов, д.12А (МБОУ СШ №72),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Коммунистическая, д.17 (МБОУ СШООЗЗ №2),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8 Maрта, д. 22/4 (МБОУ гимназия № 1), ул. Ушинского, д.14 (Лицей №3 (корпус 1)),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Детская, д. 2-В (МБОУ СШ №6),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пр-т Мира, д. 7 (МБОУ СШ №7),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yл. Елецкая, д. 63 (МБОУ СШ № 8), </w:t>
            </w:r>
          </w:p>
          <w:p>
            <w:pPr>
              <w:pStyle w:val="Normal"/>
              <w:rPr/>
            </w:pPr>
            <w:r>
              <w:rPr/>
              <w:t>ул. Силикатная, 19 (МБОУ СШ № 11),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Гагарина, д. 24 (гимназия № 12),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Боевой проезд, д.24А (МБОУ СШ №14),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пер. Учебный, д. 1 (МБОУ СШ № 20),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п. Северный Рудник, д.27 (МБОУ СШ №22),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Ударников, д. 21 (МБОУ СШ № 23),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Ильича, д. 31 (МБОУ СШ № 25),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Политехническая, д.9 A (МБОУ СШ № 29),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С.Л. Коцаря, д. 1 (МБОУ СШ № 30),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Ракитная, д. 2 (МБОУ СШ № 35),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Гагарина, д. 123/3 (МБОУ СШ № 40),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Арсеньева, д. 38 А (МБОУ СШ №41), ул. Стаханова, д. 15 (МБОУ СШ № 42),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Звёздная, д. 6 (МБОУ СШ № 60),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9 мая, д. 42 А (МБОУ СШ № 5I),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Моршанская, д. 10 (МБОУ СШ № 54), ул. Космонавтов, д. 16 А (МБОУ СШ № 55), ул. Сержанта Кувшинина, д. 5 (МБОУ СШ № 59),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Осканова д. 4 (МБОУ СШ № 60),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Мичурина, д. 22 (МБОУ СШ № 61),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ул. Мичурина, д. 30 (Гимназия № 64),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yл. Есенина, д. 7A (Гимназия № 69),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пр. Победы, д. 130 (МБОУ СШ № 70),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пр. Победы, д. 122 (МБОУ СШ № 70)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yл. Хорошавина, д. 14 (МБОУ СШ № 70).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start"/>
              <w:rPr/>
            </w:pPr>
            <w:r>
              <w:rPr/>
              <w:t>Блок переключений универсальный П-166М БПРУ-03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</w:tr>
      <w:tr>
        <w:trPr>
          <w:trHeight w:val="647" w:hRule="atLeast"/>
        </w:trPr>
        <w:tc>
          <w:tcPr>
            <w:tcW w:w="68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jc w:val="center"/>
              <w:rPr/>
            </w:pPr>
            <w:r>
              <w:rPr/>
              <w:t>10</w:t>
            </w:r>
          </w:p>
        </w:tc>
        <w:tc>
          <w:tcPr>
            <w:tcW w:w="4687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 xml:space="preserve">Программно-технический комплекс КСЭОН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6030" w:leader="none"/>
              </w:tabs>
              <w:rPr/>
            </w:pPr>
            <w:r>
              <w:rPr/>
              <w:t>г. Липецк, п. Св. Сокол, (ж/д мост)</w:t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Станция контроля уровня воды Т80-1642 (с датчиком УДМ-110)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647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Устройство фотофиксации ДС-1050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647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Шкаф резервного питания ШРП Т2215-33 (АКБ 33 А/ч)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647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>
                <w:lang w:val="en-US"/>
              </w:rPr>
            </w:pPr>
            <w:r>
              <w:rPr/>
              <w:t>Кмопьютер</w:t>
            </w:r>
            <w:r>
              <w:rPr>
                <w:lang w:val="en-US"/>
              </w:rPr>
              <w:t xml:space="preserve"> Intel Core i5-10400F, RAM 16 </w:t>
            </w:r>
            <w:r>
              <w:rPr/>
              <w:t>ГБ</w:t>
            </w:r>
            <w:r>
              <w:rPr>
                <w:lang w:val="en-US"/>
              </w:rPr>
              <w:t xml:space="preserve">, SSD 480 </w:t>
            </w:r>
            <w:r>
              <w:rPr/>
              <w:t>ГБ</w:t>
            </w:r>
            <w:r>
              <w:rPr>
                <w:lang w:val="en-US"/>
              </w:rPr>
              <w:t xml:space="preserve">, NVIDIA GeForce RTX 2060 SUPER (8 </w:t>
            </w:r>
            <w:r>
              <w:rPr/>
              <w:t>ГБ</w:t>
            </w:r>
            <w:r>
              <w:rPr>
                <w:lang w:val="en-US"/>
              </w:rPr>
              <w:t xml:space="preserve">) 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rPr>
          <w:trHeight w:val="647" w:hRule="atLeast"/>
        </w:trPr>
        <w:tc>
          <w:tcPr>
            <w:tcW w:w="68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87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Монитор MSI 27“ PRO MP271A, черный, клавиатура, мышь</w:t>
            </w:r>
          </w:p>
        </w:tc>
        <w:tc>
          <w:tcPr>
            <w:tcW w:w="70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9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3"/>
              <w:spacing w:lineRule="auto" w:line="240"/>
              <w:jc w:val="center"/>
              <w:rPr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1"/>
      <w:numFmt w:val="decimal"/>
      <w:lvlText w:val="%1."/>
      <w:lvlJc w:val="start"/>
      <w:pPr>
        <w:tabs>
          <w:tab w:val="num" w:pos="0"/>
        </w:tabs>
        <w:ind w:start="0" w:hanging="375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11"/>
    <w:uiPriority w:val="9"/>
    <w:qFormat/>
    <w:pPr>
      <w:keepNext w:val="true"/>
      <w:keepLines/>
      <w:spacing w:lineRule="auto" w:line="259" w:before="360" w:after="80"/>
      <w:outlineLvl w:val="0"/>
    </w:pPr>
    <w:rPr>
      <w:rFonts w:ascii="Cambria" w:hAnsi="Cambria" w:asciiTheme="majorHAnsi" w:hAnsiTheme="majorHAnsi"/>
      <w:color w:themeColor="accent1" w:themeShade="bf" w:val="365F91"/>
      <w:sz w:val="40"/>
    </w:rPr>
  </w:style>
  <w:style w:type="paragraph" w:styleId="Heading2">
    <w:name w:val="heading 2"/>
    <w:next w:val="Normal"/>
    <w:link w:val="21"/>
    <w:uiPriority w:val="9"/>
    <w:qFormat/>
    <w:pPr>
      <w:widowControl/>
      <w:suppressAutoHyphens w:val="true"/>
      <w:bidi w:val="0"/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1"/>
    <w:uiPriority w:val="9"/>
    <w:qFormat/>
    <w:pPr>
      <w:widowControl/>
      <w:suppressAutoHyphens w:val="true"/>
      <w:bidi w:val="0"/>
      <w:spacing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>
      <w:rFonts w:ascii="Times New Roman" w:hAnsi="Times New Roman"/>
      <w:color w:val="000000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Style9" w:customStyle="1">
    <w:name w:val="Название объекта Знак"/>
    <w:basedOn w:val="1"/>
    <w:qFormat/>
    <w:rPr>
      <w:rFonts w:ascii="Times New Roman" w:hAnsi="Times New Roman"/>
      <w:i/>
      <w:color w:val="000000"/>
      <w:sz w:val="24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Style10" w:customStyle="1">
    <w:name w:val="Содержимое таблицы"/>
    <w:basedOn w:val="1"/>
    <w:link w:val="114"/>
    <w:qFormat/>
    <w:rPr>
      <w:rFonts w:ascii="Times New Roman" w:hAnsi="Times New Roman"/>
      <w:color w:val="000000"/>
      <w:sz w:val="24"/>
    </w:rPr>
  </w:style>
  <w:style w:type="character" w:styleId="Style11" w:customStyle="1">
    <w:name w:val="Текст выноски Знак"/>
    <w:basedOn w:val="1"/>
    <w:link w:val="BalloonText"/>
    <w:qFormat/>
    <w:rPr>
      <w:rFonts w:ascii="Segoe UI" w:hAnsi="Segoe UI"/>
      <w:color w:val="000000"/>
      <w:sz w:val="18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11" w:customStyle="1">
    <w:name w:val="Без интервала1"/>
    <w:link w:val="112"/>
    <w:qFormat/>
    <w:rPr>
      <w:rFonts w:ascii="Arial" w:hAnsi="Arial"/>
      <w:color w:val="000000"/>
      <w:sz w:val="24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111" w:customStyle="1">
    <w:name w:val="Заголовок 1 Знак1"/>
    <w:basedOn w:val="1"/>
    <w:qFormat/>
    <w:rPr>
      <w:rFonts w:ascii="Cambria" w:hAnsi="Cambria" w:asciiTheme="majorHAnsi" w:hAnsiTheme="majorHAnsi"/>
      <w:color w:themeColor="accent1" w:themeShade="bf" w:val="365F91"/>
      <w:sz w:val="40"/>
    </w:rPr>
  </w:style>
  <w:style w:type="character" w:styleId="Hyperlink">
    <w:name w:val="Hyperlink"/>
    <w:link w:val="17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2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8"/>
    </w:rPr>
  </w:style>
  <w:style w:type="character" w:styleId="Default" w:customStyle="1">
    <w:name w:val="Default"/>
    <w:link w:val="Default1"/>
    <w:qFormat/>
    <w:rPr>
      <w:rFonts w:ascii="Times New Roman" w:hAnsi="Times New Roman"/>
      <w:color w:val="000000"/>
      <w:sz w:val="24"/>
    </w:rPr>
  </w:style>
  <w:style w:type="character" w:styleId="Style12" w:customStyle="1">
    <w:name w:val="Основной текст Знак"/>
    <w:basedOn w:val="1"/>
    <w:qFormat/>
    <w:rPr>
      <w:rFonts w:ascii="Times New Roman" w:hAnsi="Times New Roman"/>
      <w:color w:val="000000"/>
      <w:sz w:val="24"/>
    </w:rPr>
  </w:style>
  <w:style w:type="character" w:styleId="Style13" w:customStyle="1">
    <w:name w:val="Заголовок таблицы"/>
    <w:basedOn w:val="Style10"/>
    <w:link w:val="115"/>
    <w:qFormat/>
    <w:rPr>
      <w:rFonts w:ascii="Times New Roman" w:hAnsi="Times New Roman"/>
      <w:b/>
      <w:color w:val="000000"/>
      <w:sz w:val="24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ConsPlusNormal" w:customStyle="1">
    <w:name w:val="ConsPlusNormal"/>
    <w:link w:val="ConsPlusNormal1"/>
    <w:qFormat/>
    <w:rPr>
      <w:rFonts w:ascii="Arial" w:hAnsi="Arial"/>
      <w:color w:val="000000"/>
      <w:sz w:val="20"/>
    </w:rPr>
  </w:style>
  <w:style w:type="character" w:styleId="13" w:customStyle="1">
    <w:name w:val="Основной текст1"/>
    <w:basedOn w:val="1"/>
    <w:link w:val="113"/>
    <w:qFormat/>
    <w:rPr>
      <w:rFonts w:ascii="Calibri" w:hAnsi="Calibri" w:asciiTheme="minorHAnsi" w:hAnsiTheme="minorHAnsi"/>
      <w:color w:val="000000"/>
      <w:sz w:val="27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14" w:customStyle="1">
    <w:name w:val="Список Знак"/>
    <w:basedOn w:val="Style12"/>
    <w:qFormat/>
    <w:rPr>
      <w:rFonts w:ascii="Times New Roman" w:hAnsi="Times New Roman"/>
      <w:color w:val="000000"/>
      <w:sz w:val="24"/>
    </w:rPr>
  </w:style>
  <w:style w:type="character" w:styleId="2115pt" w:customStyle="1">
    <w:name w:val="Основной текст (2) + 11;5 pt"/>
    <w:basedOn w:val="DefaultParagraphFont"/>
    <w:link w:val="2115pt1"/>
    <w:qFormat/>
    <w:rPr>
      <w:rFonts w:ascii="Times New Roman" w:hAnsi="Times New Roman"/>
      <w:color w:val="000000"/>
      <w:spacing w:val="0"/>
      <w:sz w:val="23"/>
      <w:u w:val="none"/>
    </w:rPr>
  </w:style>
  <w:style w:type="character" w:styleId="14" w:customStyle="1">
    <w:name w:val="Заголовок1"/>
    <w:basedOn w:val="1"/>
    <w:qFormat/>
    <w:rPr>
      <w:rFonts w:ascii="Liberation Sans" w:hAnsi="Liberation Sans"/>
      <w:color w:val="000000"/>
      <w:sz w:val="28"/>
    </w:rPr>
  </w:style>
  <w:style w:type="character" w:styleId="ConsPlusTitle" w:customStyle="1">
    <w:name w:val="ConsPlusTitle"/>
    <w:link w:val="ConsPlusTitle1"/>
    <w:qFormat/>
    <w:rPr>
      <w:rFonts w:ascii="Arial" w:hAnsi="Arial"/>
      <w:b/>
      <w:color w:val="000000"/>
      <w:sz w:val="20"/>
    </w:rPr>
  </w:style>
  <w:style w:type="character" w:styleId="15" w:customStyle="1">
    <w:name w:val="Заголовок 1 Знак"/>
    <w:basedOn w:val="DefaultParagraphFont"/>
    <w:link w:val="121"/>
    <w:qFormat/>
    <w:rPr>
      <w:rFonts w:ascii="Cambria" w:hAnsi="Cambria" w:asciiTheme="majorHAnsi" w:hAnsiTheme="majorHAnsi"/>
      <w:color w:themeColor="accent1" w:themeShade="bf" w:val="365F91"/>
      <w:sz w:val="40"/>
    </w:rPr>
  </w:style>
  <w:style w:type="character" w:styleId="Style15" w:customStyle="1">
    <w:name w:val="Подзаголовок Знак"/>
    <w:qFormat/>
    <w:rPr>
      <w:rFonts w:ascii="XO Thames" w:hAnsi="XO Thames"/>
      <w:i/>
      <w:sz w:val="24"/>
    </w:rPr>
  </w:style>
  <w:style w:type="character" w:styleId="Style16" w:customStyle="1">
    <w:name w:val="Указатель Знак"/>
    <w:basedOn w:val="1"/>
    <w:qFormat/>
    <w:rPr>
      <w:rFonts w:ascii="Times New Roman" w:hAnsi="Times New Roman"/>
      <w:color w:val="000000"/>
      <w:sz w:val="24"/>
    </w:rPr>
  </w:style>
  <w:style w:type="character" w:styleId="Style17" w:customStyle="1">
    <w:name w:val="Заголовок Знак"/>
    <w:qFormat/>
    <w:rPr>
      <w:rFonts w:ascii="XO Thames" w:hAnsi="XO Thames"/>
      <w:b/>
      <w:caps/>
      <w:sz w:val="40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21" w:customStyle="1">
    <w:name w:val="Заголовок 2 Знак"/>
    <w:qFormat/>
    <w:rPr>
      <w:rFonts w:ascii="XO Thames" w:hAnsi="XO Thames"/>
      <w:b/>
      <w:sz w:val="28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link w:val="Style12"/>
    <w:pPr>
      <w:spacing w:lineRule="auto" w:line="276" w:before="0" w:after="140"/>
    </w:pPr>
    <w:rPr/>
  </w:style>
  <w:style w:type="paragraph" w:styleId="List">
    <w:name w:val="List"/>
    <w:basedOn w:val="BodyText"/>
    <w:link w:val="Style14"/>
    <w:pPr/>
    <w:rPr/>
  </w:style>
  <w:style w:type="paragraph" w:styleId="Caption">
    <w:name w:val="caption"/>
    <w:basedOn w:val="Normal"/>
    <w:link w:val="Style9"/>
    <w:qFormat/>
    <w:pPr>
      <w:spacing w:before="120" w:after="120"/>
    </w:pPr>
    <w:rPr>
      <w:i/>
    </w:rPr>
  </w:style>
  <w:style w:type="paragraph" w:styleId="Style19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before="0" w:after="0"/>
      <w:ind w:start="2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before="0" w:after="0"/>
      <w:ind w:start="6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before="0" w:after="0"/>
      <w:ind w:start="10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before="0" w:after="0"/>
      <w:ind w:start="12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6" w:customStyle="1">
    <w:name w:val="Содержимое таблицы1"/>
    <w:basedOn w:val="Normal"/>
    <w:qFormat/>
    <w:pPr>
      <w:widowControl w:val="false"/>
    </w:pPr>
    <w:rPr/>
  </w:style>
  <w:style w:type="paragraph" w:styleId="BalloonText">
    <w:name w:val="Balloon Text"/>
    <w:basedOn w:val="Normal"/>
    <w:link w:val="Style11"/>
    <w:qFormat/>
    <w:pPr/>
    <w:rPr>
      <w:rFonts w:ascii="Segoe UI" w:hAnsi="Segoe UI"/>
      <w:sz w:val="18"/>
    </w:rPr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before="0" w:after="0"/>
      <w:ind w:start="4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2" w:customStyle="1">
    <w:name w:val="Без интервала11"/>
    <w:link w:val="11"/>
    <w:qFormat/>
    <w:pPr>
      <w:widowControl/>
      <w:suppressAutoHyphens w:val="true"/>
      <w:bidi w:val="0"/>
      <w:spacing w:before="0" w:after="0"/>
      <w:jc w:val="both"/>
    </w:pPr>
    <w:rPr>
      <w:rFonts w:ascii="Arial" w:hAnsi="Arial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17" w:customStyle="1">
    <w:name w:val="Гиперссылка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/>
      <w:color w:val="0000FF"/>
      <w:kern w:val="0"/>
      <w:sz w:val="20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2"/>
    <w:uiPriority w:val="39"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Style20" w:customStyle="1">
    <w:name w:val="Колонтитулы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Default1" w:customStyle="1">
    <w:name w:val="Default1"/>
    <w:link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18" w:customStyle="1">
    <w:name w:val="Заголовок таблицы1"/>
    <w:basedOn w:val="16"/>
    <w:qFormat/>
    <w:pPr>
      <w:widowControl/>
      <w:jc w:val="center"/>
    </w:pPr>
    <w:rPr>
      <w:b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before="0" w:after="0"/>
      <w:ind w:start="16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before="0" w:after="0"/>
      <w:ind w:start="14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sPlusNormal1" w:customStyle="1">
    <w:name w:val="ConsPlusNormal1"/>
    <w:link w:val="ConsPlusNormal"/>
    <w:qFormat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3" w:customStyle="1">
    <w:name w:val="Основной текст11"/>
    <w:basedOn w:val="Normal"/>
    <w:link w:val="13"/>
    <w:qFormat/>
    <w:pPr>
      <w:spacing w:lineRule="atLeast" w:line="0"/>
    </w:pPr>
    <w:rPr>
      <w:rFonts w:ascii="Calibri" w:hAnsi="Calibri" w:asciiTheme="minorHAnsi" w:hAnsiTheme="minorHAnsi"/>
      <w:sz w:val="27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before="0" w:after="0"/>
      <w:ind w:start="8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2115pt1" w:customStyle="1">
    <w:name w:val="Основной текст (2) + 11;5 pt1"/>
    <w:basedOn w:val="19"/>
    <w:link w:val="2115pt"/>
    <w:qFormat/>
    <w:pPr/>
    <w:rPr>
      <w:rFonts w:ascii="Times New Roman" w:hAnsi="Times New Roman"/>
      <w:sz w:val="23"/>
    </w:rPr>
  </w:style>
  <w:style w:type="paragraph" w:styleId="Title">
    <w:name w:val="Title"/>
    <w:next w:val="Normal"/>
    <w:link w:val="Style17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ConsPlusTitle1" w:customStyle="1">
    <w:name w:val="ConsPlusTitle1"/>
    <w:link w:val="ConsPlusTitle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121" w:customStyle="1">
    <w:name w:val="Заголовок 1 Знак2"/>
    <w:basedOn w:val="19"/>
    <w:link w:val="15"/>
    <w:qFormat/>
    <w:pPr/>
    <w:rPr>
      <w:rFonts w:ascii="Cambria" w:hAnsi="Cambria" w:asciiTheme="majorHAnsi" w:hAnsiTheme="majorHAnsi"/>
      <w:color w:themeColor="accent1" w:themeShade="bf" w:val="365F91"/>
      <w:sz w:val="40"/>
    </w:rPr>
  </w:style>
  <w:style w:type="paragraph" w:styleId="Subtitle">
    <w:name w:val="Subtitle"/>
    <w:next w:val="Normal"/>
    <w:link w:val="Style15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IndexHeading">
    <w:name w:val="index heading"/>
    <w:basedOn w:val="Normal"/>
    <w:link w:val="Style16"/>
    <w:pPr/>
    <w:rPr/>
  </w:style>
  <w:style w:type="paragraph" w:styleId="19" w:customStyle="1">
    <w:name w:val="Основной шрифт абзаца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0"/>
      <w:szCs w:val="20"/>
      <w:lang w:val="ru-RU" w:eastAsia="ru-RU" w:bidi="ar-SA"/>
    </w:rPr>
  </w:style>
  <w:style w:type="paragraph" w:styleId="114">
    <w:name w:val="Содержимое таблицы11"/>
    <w:basedOn w:val="Normal"/>
    <w:qFormat/>
    <w:pPr/>
    <w:rPr/>
  </w:style>
  <w:style w:type="paragraph" w:styleId="115">
    <w:name w:val="Заголовок таблицы11"/>
    <w:basedOn w:val="114"/>
    <w:qFormat/>
    <w:pPr/>
    <w:rPr/>
  </w:style>
  <w:style w:type="paragraph" w:styleId="Default2">
    <w:name w:val="Default2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Application>LibreOffice/25.8.7.3$Linux_X86_64 LibreOffice_project/30742500f2d3eb4366ac312fa33d3dcabdb3eba5</Application>
  <AppVersion>15.0000</AppVersion>
  <Pages>8</Pages>
  <Words>2362</Words>
  <Characters>13889</Characters>
  <CharactersWithSpaces>15950</CharactersWithSpaces>
  <Paragraphs>400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2023-11-30T05:13:00Z</dcterms:created>
  <dc:creator/>
  <dc:description/>
  <dc:language>ru-RU</dc:language>
  <cp:lastModifiedBy/>
  <dcterms:modified xsi:type="dcterms:W3CDTF">2026-10-21T11:20:51Z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