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 w:left="5245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  <w:sz w:val="26"/>
          <w:szCs w:val="26"/>
        </w:rPr>
        <w:t>«ОКПД2  3</w:t>
      </w:r>
      <w:r>
        <w:rPr>
          <w:rFonts w:eastAsia="Calibri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6"/>
          <w:szCs w:val="26"/>
        </w:rPr>
        <w:t>3.20.39.900</w:t>
      </w:r>
      <w:r>
        <w:rPr>
          <w:rFonts w:eastAsia="Calibri" w:ascii="Times New Roman" w:hAnsi="Times New Roman"/>
          <w:sz w:val="26"/>
          <w:szCs w:val="26"/>
        </w:rPr>
        <w:t>. Оказание услуг по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инженерно-технической защите кровель зданий ППУ-500кВ, ОПУ-500кВ, ППУ-110кВ, ППУ-220кВ Жигулевской ГЭС</w:t>
      </w:r>
      <w:r>
        <w:rPr>
          <w:rFonts w:eastAsia="Calibri" w:ascii="Times New Roman" w:hAnsi="Times New Roman"/>
          <w:sz w:val="26"/>
          <w:szCs w:val="26"/>
        </w:rPr>
        <w:t>»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keepNext w:val="true"/>
        <w:rPr>
          <w:rFonts w:ascii="Times New Roman" w:hAnsi="Times New Roman" w:eastAsia="Calibri"/>
          <w:b/>
          <w:sz w:val="28"/>
        </w:rPr>
      </w:pPr>
      <w:r>
        <w:rPr>
          <w:rFonts w:eastAsia="Calibri" w:ascii="Times New Roman" w:hAnsi="Times New Roman"/>
          <w:b/>
          <w:sz w:val="28"/>
        </w:rPr>
      </w:r>
    </w:p>
    <w:p>
      <w:pPr>
        <w:sectPr>
          <w:headerReference w:type="default" r:id="rId2"/>
          <w:type w:val="nextPage"/>
          <w:pgSz w:w="11906" w:h="16838"/>
          <w:pgMar w:left="1134" w:right="707" w:gutter="0" w:header="680" w:top="1134" w:footer="0" w:bottom="720"/>
          <w:pgNumType w:fmt="decimal"/>
          <w:formProt w:val="false"/>
          <w:textDirection w:val="lrTb"/>
          <w:docGrid w:type="default" w:linePitch="600" w:charSpace="32768"/>
        </w:sect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г. Жигулёвск</w:t>
      </w:r>
      <w:r>
        <w:br w:type="page"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3"/>
              <w:rFonts w:cs="Times New Roman" w:ascii="Times New Roman" w:hAnsi="Times New Roman"/>
            </w:rPr>
            <w:instrText xml:space="preserve"> TOC \o "1-4" \h</w:instrText>
          </w:r>
          <w:r>
            <w:rPr>
              <w:rStyle w:val="Style13"/>
              <w:rFonts w:cs="Times New Roman" w:ascii="Times New Roman" w:hAnsi="Times New Roman"/>
            </w:rPr>
            <w:fldChar w:fldCharType="separate"/>
          </w:r>
          <w:hyperlink w:anchor="_Toc226037842">
            <w:r>
              <w:rPr>
                <w:rStyle w:val="Style13"/>
                <w:rFonts w:cs="Times New Roman" w:ascii="Times New Roman" w:hAnsi="Times New Roman"/>
              </w:rPr>
              <w:t>1.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3">
            <w:r>
              <w:rPr>
                <w:rStyle w:val="Style13"/>
                <w:rFonts w:ascii="Times New Roman" w:hAnsi="Times New Roman"/>
              </w:rPr>
              <w:t>1.1.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4">
            <w:r>
              <w:rPr>
                <w:rStyle w:val="Style13"/>
                <w:rFonts w:ascii="Times New Roman" w:hAnsi="Times New Roman"/>
              </w:rPr>
              <w:t>1.2.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Наименование закупаемым услугам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5">
            <w:r>
              <w:rPr>
                <w:rStyle w:val="Style13"/>
                <w:rFonts w:ascii="Times New Roman" w:hAnsi="Times New Roman"/>
              </w:rPr>
              <w:t>1.3.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6">
            <w:r>
              <w:rPr>
                <w:rStyle w:val="Style13"/>
                <w:rFonts w:ascii="Times New Roman" w:hAnsi="Times New Roman"/>
              </w:rPr>
              <w:t>1.4.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Существующее положение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7">
            <w:r>
              <w:rPr>
                <w:rStyle w:val="Style13"/>
                <w:rFonts w:cs="Times New Roman" w:ascii="Times New Roman" w:hAnsi="Times New Roman"/>
              </w:rPr>
              <w:t>2.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226037848">
            <w:r>
              <w:rPr>
                <w:rStyle w:val="Style13"/>
                <w:rFonts w:ascii="Times New Roman" w:hAnsi="Times New Roman"/>
              </w:rPr>
              <w:t>2.1.1.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Основание на оказание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49">
            <w:r>
              <w:rPr>
                <w:rStyle w:val="Style13"/>
                <w:rFonts w:ascii="Times New Roman" w:hAnsi="Times New Roman"/>
              </w:rPr>
              <w:t>2.2.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226037850">
            <w:r>
              <w:rPr>
                <w:rStyle w:val="Style13"/>
                <w:rFonts w:cs="Times New Roman" w:ascii="Times New Roman" w:hAnsi="Times New Roman"/>
              </w:rPr>
              <w:t>3.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b w:val="false"/>
                <w:bCs w:val="false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Требования к объемам и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226037851">
            <w:r>
              <w:rPr>
                <w:rStyle w:val="Style13"/>
                <w:rFonts w:ascii="Times New Roman" w:hAnsi="Times New Roman"/>
              </w:rPr>
              <w:t>3.1.1.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Требования к объёмам и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226037852">
            <w:r>
              <w:rPr>
                <w:rStyle w:val="Style13"/>
                <w:rFonts w:ascii="Times New Roman" w:hAnsi="Times New Roman"/>
              </w:rPr>
              <w:t>3.1.2.</w:t>
            </w:r>
            <w:r>
              <w:rPr>
                <w:rStyle w:val="Style13"/>
                <w:rFonts w:eastAsia="" w:cs="" w:ascii="Times New Roman" w:hAnsi="Times New Roman" w:cstheme="minorBidi" w:eastAsiaTheme="minorEastAsia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22603785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Таблица 3. Требования по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right" w:pos="9911" w:leader="dot"/>
            </w:tabs>
            <w:rPr/>
          </w:pPr>
          <w:hyperlink w:anchor="_Toc226037854">
            <w:bookmarkStart w:id="0" w:name="_GoBack"/>
            <w:r>
              <w:rPr>
                <w:rStyle w:val="Style13"/>
                <w:rFonts w:ascii="Times New Roman" w:hAnsi="Times New Roman"/>
                <w:sz w:val="24"/>
                <w:szCs w:val="24"/>
              </w:rPr>
              <w:t>4.Требования к качеству продукции</w:t>
            </w:r>
            <w:bookmarkEnd w:id="0"/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22603785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_Toc226037855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ascii="Times New Roman" w:hAnsi="Times New Roman"/>
              </w:rPr>
              <w:t>Таблица 4. Требования к качеству оказания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226037856">
            <w:r>
              <w:rPr>
                <w:rStyle w:val="Style13"/>
                <w:rFonts w:ascii="Times New Roman" w:hAnsi="Times New Roman"/>
              </w:rPr>
              <w:t>5. Требования к документации по ценообразованию на этапе закупки</w:t>
              <w:tab/>
              <w:t>1</w:t>
            </w:r>
          </w:hyperlink>
          <w:r>
            <w:rPr>
              <w:rFonts w:ascii="Times New Roman" w:hAnsi="Times New Roman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226037857">
            <w:r>
              <w:rPr>
                <w:rStyle w:val="Style13"/>
                <w:rFonts w:ascii="Times New Roman" w:hAnsi="Times New Roman"/>
              </w:rPr>
              <w:t>6. Требования к документации по ценообразованию на этапе заключения (исполнения) договора</w:t>
              <w:tab/>
              <w:t>1</w:t>
            </w:r>
          </w:hyperlink>
          <w:r>
            <w:rPr>
              <w:rFonts w:ascii="Times New Roman" w:hAnsi="Times New Roman"/>
            </w:rPr>
            <w:t>5</w:t>
          </w:r>
        </w:p>
        <w:p>
          <w:pPr>
            <w:pStyle w:val="Normal"/>
            <w:tabs>
              <w:tab w:val="clear" w:pos="708"/>
              <w:tab w:val="right" w:pos="9911" w:leader="dot"/>
            </w:tabs>
            <w:rPr/>
          </w:pPr>
          <w:r>
            <w:rPr>
              <w:rFonts w:ascii="Times New Roman" w:hAnsi="Times New Roman"/>
              <w:b/>
              <w:bCs/>
            </w:rPr>
            <w:t>7.</w:t>
          </w:r>
          <w:r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  <w:b/>
              <w:bCs/>
            </w:rPr>
            <w:t>Приложения</w:t>
          </w:r>
          <w:hyperlink w:anchor="_Toc226037857">
            <w:r>
              <w:rPr>
                <w:rStyle w:val="Style13"/>
                <w:rFonts w:ascii="Times New Roman" w:hAnsi="Times New Roman"/>
                <w:b/>
                <w:bCs/>
              </w:rPr>
              <w:tab/>
              <w:t>1</w:t>
            </w:r>
          </w:hyperlink>
          <w:r>
            <w:rPr>
              <w:rFonts w:ascii="Times New Roman" w:hAnsi="Times New Roman"/>
              <w:b/>
              <w:bCs/>
            </w:rPr>
            <w:t>5</w:t>
          </w:r>
          <w:r>
            <w:rPr>
              <w:b/>
              <w:bCs/>
              <w:rFonts w:ascii="Times New Roman" w:hAnsi="Times New Roman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Times New Roman" w:hAnsi="Times New Roman" w:eastAsia="" w:cs="" w:cstheme="minorBidi" w:eastAsiaTheme="minorEastAsia"/>
          <w:b w:val="false"/>
          <w:bCs w:val="false"/>
          <w:color w:val="auto"/>
          <w:kern w:val="0"/>
          <w:sz w:val="22"/>
          <w:szCs w:val="22"/>
          <w:lang w:eastAsia="ru-RU" w:bidi="ar-SA"/>
        </w:rPr>
      </w:pPr>
      <w:r>
        <w:rPr>
          <w:rFonts w:eastAsia="" w:cs="" w:cstheme="minorBidi" w:eastAsiaTheme="minorEastAsia" w:ascii="Times New Roman" w:hAnsi="Times New Roman"/>
          <w:b w:val="false"/>
          <w:bCs w:val="false"/>
          <w:color w:val="auto"/>
          <w:kern w:val="0"/>
          <w:sz w:val="22"/>
          <w:szCs w:val="22"/>
          <w:lang w:eastAsia="ru-RU" w:bidi="ar-SA"/>
        </w:rPr>
      </w:r>
    </w:p>
    <w:p>
      <w:pPr>
        <w:pStyle w:val="TOC1"/>
        <w:tabs>
          <w:tab w:val="left" w:pos="708" w:leader="none"/>
          <w:tab w:val="right" w:pos="992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OC1"/>
        <w:tabs>
          <w:tab w:val="clear" w:pos="708"/>
          <w:tab w:val="right" w:pos="560" w:leader="dot"/>
          <w:tab w:val="right" w:pos="991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Calibri"/>
          <w:b/>
          <w:i/>
          <w:i/>
          <w:sz w:val="22"/>
        </w:rPr>
      </w:pPr>
      <w:r>
        <w:rPr>
          <w:rFonts w:eastAsia="Calibri" w:cs="Calibri" w:ascii="Times New Roman" w:hAnsi="Times New Roman"/>
          <w:b/>
          <w:i/>
          <w:sz w:val="22"/>
        </w:rPr>
      </w:r>
    </w:p>
    <w:p>
      <w:pPr>
        <w:pStyle w:val="Heading1"/>
        <w:rPr>
          <w:rFonts w:ascii="Times New Roman" w:hAnsi="Times New Roman"/>
        </w:rPr>
      </w:pPr>
      <w:bookmarkStart w:id="1" w:name="_Toc226035807"/>
      <w:bookmarkStart w:id="2" w:name="_Toc226037842"/>
      <w:r>
        <w:rPr>
          <w:rFonts w:ascii="Times New Roman" w:hAnsi="Times New Roman"/>
        </w:rPr>
        <w:t>Общие сведения</w:t>
      </w:r>
      <w:bookmarkEnd w:id="1"/>
      <w:bookmarkEnd w:id="2"/>
    </w:p>
    <w:p>
      <w:pPr>
        <w:pStyle w:val="Heading2"/>
        <w:rPr>
          <w:rFonts w:ascii="Times New Roman" w:hAnsi="Times New Roman"/>
        </w:rPr>
      </w:pPr>
      <w:bookmarkStart w:id="3" w:name="_Toc226035808"/>
      <w:bookmarkStart w:id="4" w:name="_Toc226037843"/>
      <w:r>
        <w:rPr>
          <w:rFonts w:ascii="Times New Roman" w:hAnsi="Times New Roman"/>
        </w:rPr>
        <w:t>Обозначения и сокращения</w:t>
      </w:r>
      <w:bookmarkEnd w:id="3"/>
      <w:bookmarkEnd w:id="4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ПАО «РусГидро» - «Жигулевская ГЭС»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7"/>
                <w:lang w:val="en-US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СМР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rFonts w:ascii="Times New Roman" w:hAnsi="Times New Roman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ТГ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Трансформаторная группа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rFonts w:ascii="Times New Roman" w:hAnsi="Times New Roman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Гидротехнические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Линейный аппаратный зал на 4-м этаже административного корпуса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БПЛА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Беспилотные летательные аппараты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СВН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Средства воздушного нападения</w:t>
            </w:r>
          </w:p>
        </w:tc>
      </w:tr>
    </w:tbl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rPr>
          <w:rFonts w:ascii="Times New Roman" w:hAnsi="Times New Roman"/>
        </w:rPr>
      </w:pPr>
      <w:bookmarkStart w:id="5" w:name="_Toc226035809"/>
      <w:bookmarkStart w:id="6" w:name="_Toc226037844"/>
      <w:r>
        <w:rPr>
          <w:rFonts w:ascii="Times New Roman" w:hAnsi="Times New Roman"/>
        </w:rPr>
        <w:t>Наименование закупаем</w:t>
      </w:r>
      <w:bookmarkEnd w:id="5"/>
      <w:bookmarkEnd w:id="6"/>
      <w:r>
        <w:rPr>
          <w:rFonts w:ascii="Times New Roman" w:hAnsi="Times New Roman"/>
        </w:rPr>
        <w:t>ых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«ОКПД2 33.20.39.900. Оказание услуг по инженерно-технической защите кровель зданий ППУ-500кВ, ОПУ-500кВ, ППУ-110кВ, ППУ-220кВ Жигулевской ГЭС»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Heading2"/>
        <w:rPr>
          <w:rFonts w:ascii="Times New Roman" w:hAnsi="Times New Roman"/>
        </w:rPr>
      </w:pPr>
      <w:bookmarkStart w:id="7" w:name="_Toc226035810"/>
      <w:bookmarkStart w:id="8" w:name="_Toc226037845"/>
      <w:r>
        <w:rPr>
          <w:rFonts w:ascii="Times New Roman" w:hAnsi="Times New Roman"/>
        </w:rPr>
        <w:t xml:space="preserve">Цель </w:t>
      </w:r>
      <w:bookmarkEnd w:id="7"/>
      <w:bookmarkEnd w:id="8"/>
      <w:r>
        <w:rPr>
          <w:rFonts w:ascii="Times New Roman" w:hAnsi="Times New Roman"/>
        </w:rPr>
        <w:t>оказания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hd w:fill="FFFFFF" w:val="clear"/>
        </w:rPr>
        <w:tab/>
        <w:t>Целью оказания услуг является защита от разрушающих воздействий БПЛА кровель зданий Филиала ПАО «РусГидро» – «Жигулевская ГЭС».</w:t>
      </w:r>
    </w:p>
    <w:p>
      <w:pPr>
        <w:pStyle w:val="Normal"/>
        <w:ind w:firstLine="68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В соответствии паспортом безопасности филиала ПАО «РусГидро» - «Жигулевская ГЭС» от 07.07.2025 года (инв. № 562с от 26.09.2025) базовой угрозой является нападение на объект с помощью беспилотных летательных аппаратов (БПЛА).</w:t>
      </w:r>
    </w:p>
    <w:p>
      <w:pPr>
        <w:pStyle w:val="Normal"/>
        <w:ind w:firstLine="737"/>
        <w:jc w:val="both"/>
        <w:rPr/>
      </w:pPr>
      <w:r>
        <w:rPr>
          <w:rFonts w:ascii="Times New Roman" w:hAnsi="Times New Roman"/>
          <w:shd w:fill="auto" w:val="clear"/>
        </w:rPr>
        <w:t xml:space="preserve">Для атаки наиболее вероятно использование таранного удара БПЛА («камикадзе») самолетного типа, среднего или тяжёлого класса («Бобёр», «Лютый», </w:t>
      </w:r>
      <w:r>
        <w:rPr>
          <w:rStyle w:val="Strong"/>
          <w:rFonts w:ascii="Times New Roman" w:hAnsi="Times New Roman"/>
          <w:b w:val="false"/>
          <w:bCs w:val="false"/>
          <w:shd w:fill="auto" w:val="clear"/>
        </w:rPr>
        <w:t>UJ-25</w:t>
      </w:r>
      <w:r>
        <w:rPr>
          <w:rFonts w:ascii="Times New Roman" w:hAnsi="Times New Roman"/>
          <w:shd w:fill="auto" w:val="clear"/>
        </w:rPr>
        <w:t xml:space="preserve">), движущегося со скоростью 130 — 200 км/ч, с массой боевой части от 20 до 80 кг.  </w:t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rPr>
          <w:rFonts w:ascii="Times New Roman" w:hAnsi="Times New Roman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Heading2"/>
        <w:rPr>
          <w:rFonts w:ascii="Times New Roman" w:hAnsi="Times New Roman"/>
        </w:rPr>
      </w:pPr>
      <w:bookmarkStart w:id="9" w:name="_Toc226037846"/>
      <w:bookmarkStart w:id="10" w:name="_Toc226035811"/>
      <w:r>
        <w:rPr>
          <w:rFonts w:ascii="Times New Roman" w:hAnsi="Times New Roman"/>
        </w:rPr>
        <w:t>Существующее положение</w:t>
      </w:r>
      <w:bookmarkEnd w:id="9"/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ind w:firstLine="680" w:left="0" w:right="0"/>
        <w:jc w:val="lef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Жигулёвская ГЭС расположена по адресу: Российская Федерация, 445350, Самарская область, город Жигулевск, Московское шоссе, дом 2.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rFonts w:ascii="Times New Roman" w:hAnsi="Times New Roman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-6"/>
          <w:kern w:val="0"/>
          <w:sz w:val="24"/>
          <w:szCs w:val="24"/>
          <w:shd w:fill="auto" w:val="clear"/>
          <w:lang w:val="ru-RU" w:eastAsia="ru-RU" w:bidi="ar-SA"/>
        </w:rPr>
        <w:t>В целях исполнения приказа ПАО «РусГидро» от 30.06.2026 №474</w:t>
        <w:br/>
        <w:t>«О пассивной защите важнейших объектов Группы РусГидро» в</w:t>
      </w:r>
      <w:r>
        <w:rPr>
          <w:rFonts w:ascii="Times New Roman" w:hAnsi="Times New Roman"/>
          <w:shd w:fill="auto" w:val="clear"/>
        </w:rPr>
        <w:t xml:space="preserve"> рамках Протокола совместного совещания о  выполнении мероприятий по повышению защищенности Жигулевской ГЭС, предлагаемых технических решениях и сроках их реализации от 13 августа 2026 года существует необходимость оказания услуг по инженерно-технической защите кровель зданий ППУ ОРУ-110кВ, 220кВ, 500кВ, ОПУ-500кВ.</w:t>
      </w:r>
    </w:p>
    <w:p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Иные требования и сведения общего характера</w:t>
      </w:r>
    </w:p>
    <w:p>
      <w:pPr>
        <w:pStyle w:val="Heading2"/>
        <w:numPr>
          <w:ilvl w:val="0"/>
          <w:numId w:val="0"/>
        </w:numPr>
        <w:ind w:hanging="0" w:left="432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Требования к участникам закупки: отсутствие в реестре недобросовестных поставщиков ФАС.</w:t>
      </w:r>
      <w:r>
        <w:rPr>
          <w:rFonts w:ascii="Times New Roman" w:hAnsi="Times New Roman"/>
          <w:b w:val="false"/>
          <w:bCs w:val="false"/>
        </w:rPr>
        <w:t xml:space="preserve">  </w:t>
      </w:r>
    </w:p>
    <w:p>
      <w:pPr>
        <w:pStyle w:val="Heading1"/>
        <w:ind w:hanging="426" w:left="993"/>
        <w:rPr>
          <w:rFonts w:ascii="Times New Roman" w:hAnsi="Times New Roman"/>
        </w:rPr>
      </w:pPr>
      <w:bookmarkStart w:id="11" w:name="_Toc226035812"/>
      <w:bookmarkStart w:id="12" w:name="_Toc226037847"/>
      <w:r>
        <w:rPr>
          <w:rFonts w:ascii="Times New Roman" w:hAnsi="Times New Roman"/>
        </w:rPr>
        <w:t>Таблица 1. Перечень объектов заказчика</w:t>
      </w:r>
      <w:bookmarkEnd w:id="11"/>
      <w:bookmarkEnd w:id="12"/>
    </w:p>
    <w:tbl>
      <w:tblPr>
        <w:tblW w:w="9968" w:type="dxa"/>
        <w:jc w:val="left"/>
        <w:tblInd w:w="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5"/>
        <w:gridCol w:w="2220"/>
        <w:gridCol w:w="1815"/>
        <w:gridCol w:w="2145"/>
        <w:gridCol w:w="3233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объекта </w:t>
              <w:br/>
            </w:r>
            <w:r>
              <w:rPr>
                <w:rFonts w:ascii="Times New Roman" w:hAnsi="Times New Roman"/>
                <w:i/>
                <w:iCs/>
              </w:rPr>
              <w:t>(место оказания услуг)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Филиал ПАО “РусГидро”-“Жигулевская ГЭС”, Российская Федерация, Самарская обл., г. Жигулевск, Московское шоссе д.2, 445350,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001127</w:t>
            </w:r>
          </w:p>
        </w:tc>
        <w:tc>
          <w:tcPr>
            <w:tcW w:w="32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Эксплуатирующая организация: Филиал ПАО “РусГидро”-“Жигулевская ГЭС”</w:t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2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10056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3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10009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4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10008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Heading3"/>
        <w:numPr>
          <w:ilvl w:val="0"/>
          <w:numId w:val="0"/>
        </w:numPr>
        <w:ind w:hanging="0" w:left="72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3"/>
        <w:rPr>
          <w:rFonts w:ascii="Times New Roman" w:hAnsi="Times New Roman"/>
        </w:rPr>
      </w:pPr>
      <w:bookmarkStart w:id="13" w:name="_Toc226035813"/>
      <w:bookmarkStart w:id="14" w:name="_Toc226037848"/>
      <w:r>
        <w:rPr>
          <w:rFonts w:ascii="Times New Roman" w:hAnsi="Times New Roman"/>
        </w:rPr>
        <w:t xml:space="preserve">Основание на </w:t>
      </w:r>
      <w:bookmarkEnd w:id="13"/>
      <w:bookmarkEnd w:id="14"/>
      <w:r>
        <w:rPr>
          <w:rFonts w:ascii="Times New Roman" w:hAnsi="Times New Roman"/>
        </w:rPr>
        <w:t>оказание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 Исполнение поручения Президента Российской Федерации от 10.04.2026 № Пр-867.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СЗ №2.141-ДСП от 08.07.2026 о повышении уровня защищенности персонала осуществляющего функции оперативно-технологического управления объектами и сохранения управляемости оборудованием объектов гидрогенерации ПАО «РусГидро».</w:t>
      </w:r>
    </w:p>
    <w:p>
      <w:pPr>
        <w:pStyle w:val="ListParagraph"/>
        <w:ind w:hanging="1080" w:left="235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hanging="1080" w:left="1728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bookmarkStart w:id="15" w:name="_Toc226037849"/>
      <w:bookmarkStart w:id="16" w:name="_Toc226035814"/>
      <w:r>
        <w:rPr>
          <w:rFonts w:ascii="Times New Roman" w:hAnsi="Times New Roman"/>
        </w:rPr>
        <w:t xml:space="preserve">Информация в отношении исполнения договора, </w:t>
      </w:r>
      <w:bookmarkStart w:id="17" w:name="_Hlk46492347"/>
      <w:r>
        <w:rPr>
          <w:rFonts w:ascii="Times New Roman" w:hAnsi="Times New Roman"/>
        </w:rPr>
        <w:t xml:space="preserve">которая должна быть учтена при подготовке заявки </w:t>
      </w:r>
      <w:bookmarkEnd w:id="17"/>
      <w:r>
        <w:rPr>
          <w:rFonts w:ascii="Times New Roman" w:hAnsi="Times New Roman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5"/>
      <w:bookmarkEnd w:id="16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2.2.1. Заказчик назначает представителя для оперативного рассмотрения и решения технических и организационных вопросов, связанных с оказанием услуг.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Для оказания услуг Заказчик предоставляет автомобильные краны, на безвозмездной основе в соответствии с Приказом ПАО «РусГидро» от 29.10.2021 №1013 «Методика выполнения процесса взаимодействия персонала филиалов ПАО «РусГидро» и подрядных организаций при эксплуатации подъемных сооружений». При безвозмездной форме предоставления </w:t>
      </w:r>
      <w:r>
        <w:rPr>
          <w:rFonts w:ascii="Times New Roman" w:hAnsi="Times New Roman"/>
          <w:bCs/>
        </w:rPr>
        <w:t>Исполнитель</w:t>
      </w:r>
      <w:r>
        <w:rPr>
          <w:rFonts w:ascii="Times New Roman" w:hAnsi="Times New Roman"/>
        </w:rPr>
        <w:t xml:space="preserve"> обязан исключить из расчетов на оказание услуг затраты на использование кранов, где используются данные грузоподъёмные механизмы.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Заказчик обеспечивает </w:t>
      </w:r>
      <w:r>
        <w:rPr>
          <w:rFonts w:ascii="Times New Roman" w:hAnsi="Times New Roman"/>
          <w:bCs/>
        </w:rPr>
        <w:t>Исполнителю</w:t>
      </w:r>
      <w:r>
        <w:rPr>
          <w:rFonts w:ascii="Times New Roman" w:hAnsi="Times New Roman"/>
        </w:rPr>
        <w:t xml:space="preserve"> возможность подключения  к имеющимся у Заказчика бытовым источникам электроснабжения, водоснабжения, канализации для целей оказания услуг.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2.2.4 Ознакомление </w:t>
      </w:r>
      <w:r>
        <w:rPr>
          <w:rFonts w:ascii="Times New Roman" w:hAnsi="Times New Roman"/>
          <w:bCs/>
        </w:rPr>
        <w:t>Исполнителя</w:t>
      </w:r>
      <w:r>
        <w:rPr>
          <w:rFonts w:ascii="Times New Roman" w:hAnsi="Times New Roman"/>
        </w:rPr>
        <w:t xml:space="preserve"> с локальными нормативными актами заказчика, устанавливающими требования по охране труда, промышленной и пожарной безопасности, охране окружающей среды, правилами пропускного и внутриобъектового режима Заказчика. Предоставление </w:t>
      </w:r>
      <w:r>
        <w:rPr>
          <w:rFonts w:ascii="Times New Roman" w:hAnsi="Times New Roman"/>
          <w:bCs/>
        </w:rPr>
        <w:t>Исполнителю</w:t>
      </w:r>
      <w:r>
        <w:rPr>
          <w:rFonts w:ascii="Times New Roman" w:hAnsi="Times New Roman"/>
        </w:rPr>
        <w:t xml:space="preserve"> необходимой для оказания услуг конструкторскую, проектную документацию, в том числе: план размещения объектов, схемы транспортных перемещений внутри цехов и на территории электростанции, схемы постов энергоносителей.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предоставляются Заказчиком без дополнительной платы со стороны </w:t>
      </w:r>
      <w:r>
        <w:rPr>
          <w:rFonts w:ascii="Times New Roman" w:hAnsi="Times New Roman"/>
          <w:bCs/>
        </w:rPr>
        <w:t>Исполнителя</w:t>
      </w:r>
      <w:r>
        <w:rPr>
          <w:rFonts w:ascii="Times New Roman" w:hAnsi="Times New Roman"/>
        </w:rPr>
        <w:t>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Электроэнергия: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Вода;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Содержание пожарной и сторожевой охраны;</w:t>
      </w:r>
    </w:p>
    <w:p>
      <w:pPr>
        <w:pStyle w:val="Heading1"/>
        <w:ind w:hanging="5038" w:left="4820"/>
        <w:rPr>
          <w:rFonts w:ascii="Times New Roman" w:hAnsi="Times New Roman"/>
        </w:rPr>
      </w:pPr>
      <w:bookmarkStart w:id="18" w:name="_Toc226037850"/>
      <w:bookmarkStart w:id="19" w:name="_Toc226035815"/>
      <w:bookmarkEnd w:id="19"/>
      <w:r>
        <w:rPr>
          <w:rFonts w:ascii="Times New Roman" w:hAnsi="Times New Roman"/>
        </w:rPr>
        <w:t xml:space="preserve">Требования к объемам и срокам </w:t>
      </w:r>
      <w:bookmarkEnd w:id="18"/>
      <w:r>
        <w:rPr>
          <w:rFonts w:ascii="Times New Roman" w:hAnsi="Times New Roman"/>
        </w:rPr>
        <w:t>оказания услуг</w:t>
      </w:r>
    </w:p>
    <w:p>
      <w:pPr>
        <w:pStyle w:val="Heading3"/>
        <w:rPr>
          <w:rFonts w:ascii="Times New Roman" w:hAnsi="Times New Roman"/>
        </w:rPr>
      </w:pPr>
      <w:bookmarkStart w:id="20" w:name="_Toc226035816"/>
      <w:bookmarkStart w:id="21" w:name="_Toc226037851"/>
      <w:r>
        <w:rPr>
          <w:rFonts w:ascii="Times New Roman" w:hAnsi="Times New Roman"/>
        </w:rPr>
        <w:t xml:space="preserve">Требования к объёмам и срокам </w:t>
      </w:r>
      <w:bookmarkEnd w:id="20"/>
      <w:bookmarkEnd w:id="21"/>
      <w:r>
        <w:rPr>
          <w:rFonts w:ascii="Times New Roman" w:hAnsi="Times New Roman"/>
        </w:rPr>
        <w:t xml:space="preserve">оказания услуг </w:t>
      </w:r>
    </w:p>
    <w:p>
      <w:pPr>
        <w:pStyle w:val="Heading1"/>
        <w:numPr>
          <w:ilvl w:val="0"/>
          <w:numId w:val="0"/>
        </w:numPr>
        <w:ind w:hanging="0"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0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7"/>
        <w:gridCol w:w="3821"/>
        <w:gridCol w:w="2656"/>
        <w:gridCol w:w="2660"/>
      </w:tblGrid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 / этапа оказания услуг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>
        <w:trPr/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№425205 (Приложение №2 к настоящим ТТ)</w:t>
            </w:r>
          </w:p>
        </w:tc>
      </w:tr>
      <w:tr>
        <w:trPr>
          <w:trHeight w:val="572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№425228 (Приложение №2 к настоящим ТТ)</w:t>
            </w:r>
          </w:p>
        </w:tc>
      </w:tr>
      <w:tr>
        <w:trPr>
          <w:trHeight w:val="840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№425226 (Приложение №2 к настоящим ТТ)</w:t>
            </w:r>
          </w:p>
        </w:tc>
      </w:tr>
      <w:tr>
        <w:trPr>
          <w:trHeight w:val="840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№42527 (Приложение №2 к настоящим ТТ)</w:t>
            </w:r>
          </w:p>
        </w:tc>
      </w:tr>
    </w:tbl>
    <w:p>
      <w:pPr>
        <w:pStyle w:val="Heading3"/>
        <w:rPr>
          <w:rFonts w:ascii="Times New Roman" w:hAnsi="Times New Roman"/>
        </w:rPr>
      </w:pPr>
      <w:bookmarkStart w:id="22" w:name="_Toc226035818"/>
      <w:bookmarkStart w:id="23" w:name="_Toc226037852"/>
      <w:r>
        <w:rPr>
          <w:rFonts w:ascii="Times New Roman" w:hAnsi="Times New Roman"/>
        </w:rPr>
        <w:t xml:space="preserve">Требования к срокам </w:t>
      </w:r>
      <w:bookmarkEnd w:id="22"/>
      <w:bookmarkEnd w:id="23"/>
      <w:r>
        <w:rPr>
          <w:rFonts w:ascii="Times New Roman" w:hAnsi="Times New Roman"/>
        </w:rPr>
        <w:t>оказания услуг</w:t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24" w:name="_Toc226037853"/>
      <w:bookmarkStart w:id="25" w:name="_Toc226035819"/>
      <w:r>
        <w:rPr>
          <w:rFonts w:ascii="Times New Roman" w:hAnsi="Times New Roman"/>
          <w:sz w:val="24"/>
        </w:rPr>
        <w:t xml:space="preserve">Таблица 3. </w:t>
      </w:r>
      <w:bookmarkStart w:id="26" w:name="_Hlk50465284"/>
      <w:r>
        <w:rPr>
          <w:rFonts w:ascii="Times New Roman" w:hAnsi="Times New Roman"/>
          <w:sz w:val="24"/>
        </w:rPr>
        <w:t xml:space="preserve">Требования по срокам </w:t>
      </w:r>
      <w:bookmarkEnd w:id="24"/>
      <w:bookmarkEnd w:id="25"/>
      <w:bookmarkEnd w:id="26"/>
      <w:r>
        <w:rPr>
          <w:rFonts w:ascii="Times New Roman" w:hAnsi="Times New Roman"/>
          <w:sz w:val="24"/>
        </w:rPr>
        <w:t>оказания услуг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9"/>
        <w:gridCol w:w="2679"/>
        <w:gridCol w:w="3221"/>
        <w:gridCol w:w="3211"/>
      </w:tblGrid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услуг/ этапа оказания услуг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началу срока оказания услуг / этапа оказания услуг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окончанию срока оказания услуг / этапа оказания услуг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кровли 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0" w:top="615" w:footer="0" w:bottom="720"/>
          <w:pgNumType w:fmt="decimal"/>
          <w:formProt w:val="false"/>
          <w:textDirection w:val="lrTb"/>
          <w:docGrid w:type="default" w:linePitch="600" w:charSpace="32768"/>
        </w:sectPr>
      </w:pPr>
      <w:r>
        <w:br w:type="page"/>
      </w:r>
    </w:p>
    <w:p>
      <w:pPr>
        <w:pStyle w:val="Heading2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27" w:name="_Toc226035820"/>
      <w:bookmarkStart w:id="28" w:name="_Toc226037854"/>
      <w:r>
        <w:rPr>
          <w:rFonts w:ascii="Times New Roman" w:hAnsi="Times New Roman"/>
        </w:rPr>
        <w:t xml:space="preserve">4.Требования к качеству </w:t>
      </w:r>
      <w:bookmarkEnd w:id="27"/>
      <w:bookmarkEnd w:id="28"/>
      <w:r>
        <w:rPr>
          <w:rFonts w:ascii="Times New Roman" w:hAnsi="Times New Roman"/>
        </w:rPr>
        <w:t>услуг</w:t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29" w:name="_Toc226035821"/>
      <w:bookmarkStart w:id="30" w:name="_Toc226037855"/>
      <w:r>
        <w:rPr>
          <w:rFonts w:ascii="Times New Roman" w:hAnsi="Times New Roman"/>
          <w:sz w:val="24"/>
        </w:rPr>
        <w:t xml:space="preserve">Таблица 4. Требования к качеству </w:t>
      </w:r>
      <w:bookmarkEnd w:id="29"/>
      <w:bookmarkEnd w:id="30"/>
      <w:r>
        <w:rPr>
          <w:rFonts w:ascii="Times New Roman" w:hAnsi="Times New Roman"/>
          <w:sz w:val="24"/>
        </w:rPr>
        <w:t>услуг</w:t>
      </w:r>
    </w:p>
    <w:p>
      <w:pPr>
        <w:pStyle w:val="Normal"/>
        <w:snapToGrid w:val="false"/>
        <w:spacing w:before="0"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Наименование услуг/этапа оказания услуг (позиция № 1,2 Таблицы 2): Оказание услуг по инженерно-технической защите кровель зданий ППУ-500кВ, ОПУ-500кВ, ППУ-110кВ, ППУ-220кВ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91"/>
        <w:gridCol w:w="4830"/>
        <w:gridCol w:w="9191"/>
      </w:tblGrid>
      <w:tr>
        <w:trPr>
          <w:trHeight w:val="276" w:hRule="atLeast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параметра</w:t>
            </w:r>
          </w:p>
        </w:tc>
        <w:tc>
          <w:tcPr>
            <w:tcW w:w="9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59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оказанию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Общие требования к оказанию услуг</w:t>
            </w:r>
          </w:p>
        </w:tc>
      </w:tr>
      <w:tr>
        <w:trPr>
          <w:trHeight w:val="1220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Услуги оказываются в соответствии: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- С Приложением №4 к настоящим ТТ.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- С графиком производства работ, согласованным с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оказанию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выполняются в соответствии с ведомостями объемов (Приложение № 2 к настоящим ТТ);</w:t>
            </w:r>
          </w:p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Весь объем материалов, приспособлений, инструмента и оборудования, необходимый для оказания услуг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приобретает и поставляет к месту оказания услуг самостоятельно без привлечения Заказчика.</w:t>
            </w:r>
          </w:p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Требования в области охраны окружающей среды к подрядным организациям, оказывающим услуги на территории Филиала ПАО «РусГидро» - «Жигулевская ГЭС» (Приложение № 5 к настоящим ТТ);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При оказании услуг Исполнитель должен руководствоваться следующими национальными, отраслевыми и корпоративными (ПАО «РусГидро») НТД: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firstLine="13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15.12.2020 № 903н. "Правила по охране труда при эксплуатации электроустановок" (действующая редакция);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4 октября 2022г. № 1070 "Правила технической эксплуатации электрических станций и сетей Российской Федерации" (действующая редакция);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 (утв. Приказом Ростехнадзора 26.11.2020 № 461);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«Правила организации технического обслуживания и ремонта объектов электроэнергетики» утвержденных приказом Минэнерго РФ № 1013 от 25.10.17;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«Правила по охране труда при размещении, монтаже, техническом обслуживании и ремонте технологического оборудования» утвержденных приказом Минтруд РФ №833н от 27.11.2020;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Действующих требований в области охраны труда и пожарной безопасности.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28.10.2020 N 753н «Правила по охране труда при погрузочно-разгрузочных работах и размещении грузов»;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16.11.2020 N 782н «Правила по охране труда при работе на высоте».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Минтруда России от 27.11.2020 </w:t>
            </w:r>
            <w:r>
              <w:rPr>
                <w:rFonts w:ascii="Times New Roman" w:hAnsi="Times New Roman"/>
                <w:lang w:val="en-US"/>
              </w:rPr>
              <w:t>N</w:t>
            </w:r>
            <w:r>
              <w:rPr>
                <w:rFonts w:ascii="Times New Roman" w:hAnsi="Times New Roman"/>
              </w:rPr>
              <w:t xml:space="preserve"> 61411 “Об утверждении Правил по охране труда при работе с инструментами и приспособлениями”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закон от 21 июля 1997г. № 117-ФЗ “О безопасности гидротехнических сооружений” (Редакция от 11.06.2021)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42" w:leader="none"/>
              </w:tabs>
              <w:ind w:hanging="0"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21.06.2021 № 468 « О порядке проведения строительного контроля при осуществлении строительства, реконструкции и капитального ремонта (далее - строительство) объектов капитального строительства».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42" w:leader="none"/>
              </w:tabs>
              <w:ind w:hanging="0" w:left="4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обслуживания.»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организации оказания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Организационно-технические мероприятия по допуску персонала Исполнителя.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57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Услуги оказываются в соответствии с НТД, требованиями, указанными в п. 1.1.3 раздела 1.1 таблицы 4 настоящих ТТ;</w:t>
            </w:r>
          </w:p>
          <w:p>
            <w:pPr>
              <w:pStyle w:val="ListParagraph"/>
              <w:widowControl w:val="false"/>
              <w:ind w:hanging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Обеспечение техники безопасности при оказании услуг – технические и организационные возможности, комплектность персонала, обеспечение персонала СИЗ, безопасность оказания услуг должны соответствовать характеру оказываемых услуг.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  <w:tab/>
              <w:t xml:space="preserve">Организационно-технические мероприятия по допуску персонала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к оказаниюуслуг осуществляются в соответствии с Приказом № 82 04.02.2022 «Методика допуска персонала подрядных организаций к выполнению работ на объектах Общества» (Приложение № 4 к ТТ).</w:t>
            </w:r>
          </w:p>
          <w:p>
            <w:pPr>
              <w:pStyle w:val="ListParagraph"/>
              <w:widowControl w:val="false"/>
              <w:ind w:hanging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Подготовку мест оказания услуг и допуск к ним осуществляет персонал Заказчика.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Согласование со службой эксплуатации Заказчика мест подключения временных коммуникаций (технические условия на подключения выдаются после получения от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официального запроса с указанием потребных ресурсов в количественных и качественных показателях);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Инженерная подготовка и оборудование площадки, монтаж ограждений, переходов, лестниц и т. д., осуществляется в соответствии с ППР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на оказание соответствующего вида услуг;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Входной контроль поступающих материалов должен включать проверку: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 наличия соответствующих сертификатов;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 наличия и надлежащего заполнения документа о качестве и соответствии приведенных в нем данных -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 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 правильности складирования и хранения;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д) комплектность поставляемых материалов.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Текущий контроль должен включать в себя надзор за правильностью и последовательностью выполнения отдельных технологических операций.</w:t>
            </w:r>
          </w:p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113" w:right="227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Приемочный контроль Перечень этапов и видов оказанных услуг, подлежащих приемке, должен быть согласован с Заказчиком.</w:t>
            </w:r>
          </w:p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113" w:right="227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Персонал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обеспечивает поддержание чистоты в местах оказания услуг, своевременную уборку указанной (выделенной) Заказчиком площадки.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при оказании услуг обеспечивает соблюдение санитарных требований и требований в области охраны окружающей среды к обращению с отходами, установленных законодательством Российской Федерации законодательства.</w:t>
            </w:r>
          </w:p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113" w:right="227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обеспечивает сохранность и возврат Заказчику материалов, демонтированного оборудования или его частей (в том числе черных и цветных металлов), выбывших из эксплуатации в результате оказания услуг.</w:t>
            </w:r>
          </w:p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 xml:space="preserve">13. </w:t>
            </w:r>
            <w:r>
              <w:rPr>
                <w:rFonts w:ascii="Times New Roman" w:hAnsi="Times New Roman"/>
                <w:bCs/>
                <w:lang w:eastAsia="en-US"/>
              </w:rPr>
              <w:t>Исполнитель</w:t>
            </w:r>
            <w:r>
              <w:rPr>
                <w:rFonts w:ascii="Times New Roman" w:hAnsi="Times New Roman"/>
                <w:lang w:eastAsia="en-US"/>
              </w:rPr>
              <w:t xml:space="preserve"> своевременно предупреждает Заказчика о необходимости оказания дополнительных услуг.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к организации пропускного и внутри объектового режимов на охраняемой территории Жигулевской ГЭС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При оказании услуг на территории филиала ПАО «РусГидро»-«Жигулевская ГЭС» соблюдать:</w:t>
            </w:r>
          </w:p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-Положение по пропускному и внутриобъектовому режимам Филиала ПАО «РусГидро» - «Жигулевская ГЭС» (Приложение № 3 к настоящим ТТ).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Требование к способам оказания услуг охраны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993" w:leader="none"/>
              </w:tabs>
              <w:suppressAutoHyphens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Оказывать содействие сотрудникам службы безопасности, </w:t>
            </w:r>
            <w:r>
              <w:rPr>
                <w:rFonts w:ascii="Times New Roman" w:hAnsi="Times New Roman"/>
                <w:iCs/>
              </w:rPr>
              <w:t xml:space="preserve">а именно: по требованию </w:t>
            </w:r>
            <w:r>
              <w:rPr>
                <w:rFonts w:ascii="Times New Roman" w:hAnsi="Times New Roman"/>
              </w:rPr>
              <w:t xml:space="preserve">предъявлять для осмотра при входе/выходе ручную кладь, предоставлять для досмотра </w:t>
            </w:r>
            <w:r>
              <w:rPr>
                <w:rFonts w:ascii="Times New Roman" w:hAnsi="Times New Roman"/>
                <w:iCs/>
              </w:rPr>
              <w:t xml:space="preserve">техническими средствами охраны, имеющимися на охраняемом Объекте (переносными и стационарными), </w:t>
            </w:r>
            <w:r>
              <w:rPr>
                <w:rFonts w:ascii="Times New Roman" w:hAnsi="Times New Roman"/>
              </w:rPr>
              <w:t xml:space="preserve">транспортные средства при въезде/выезде/передвижении по охраняемой территории </w:t>
            </w:r>
            <w:r>
              <w:rPr>
                <w:rFonts w:ascii="Times New Roman" w:hAnsi="Times New Roman"/>
                <w:iCs/>
              </w:rPr>
              <w:t>с целью недопущения проноса/провоза на охраняемый Объект вооружения, взрывчатых веществ и самодельных взрывных устройств, и их элементов, а также других запрещенных предметов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персонала Исполнителя комплектами СИЗ.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Допуск персонала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для оказания услуг осуществляется при наличии комплекта СИЗ. Комплекты СИЗ персонала обеспечивается силами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применяемым при оказании услуг оборудованию, материалам, технологиям, программно-аппаратным средствам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Материалы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выполнении работ должны применяться новые, не использованные ранее материалы, соответствие которых нормативным требованиям подтверждено декларацией о соответствии или сертификатом соответствия.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Материалы, необходимые для выполнения работ согласно ВО доставляются на место оказания услуг. (Приложе</w:t>
            </w:r>
            <w:r>
              <w:rPr>
                <w:rFonts w:ascii="Times New Roman" w:hAnsi="Times New Roman"/>
                <w:shd w:fill="auto" w:val="clear"/>
              </w:rPr>
              <w:t>ние № 2 к ТТ);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Изменения в номенклатуре, марках, поставляемых материалов допускается только по письменному согласованию с Заказчиком.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Требования к материально-техническим ресурсам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kern w:val="0"/>
                <w:lang w:eastAsia="ru-RU"/>
              </w:rPr>
              <w:t>Исполнитель</w:t>
            </w:r>
            <w:r>
              <w:rPr>
                <w:rFonts w:ascii="Times New Roman" w:hAnsi="Times New Roman"/>
                <w:kern w:val="0"/>
                <w:lang w:eastAsia="ru-RU"/>
              </w:rPr>
              <w:t xml:space="preserve"> обязан иметь собственное или привлекаемое (по договорам)  оборудование и инструмент. Требования к наличию материально-технических ресурсов (МТР) указаны в Приложении № 8 к настоящим ТТ.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контролю качества оказываемых услуг и материалов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1.4.1</w:t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Требования к качеству материалов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поставляемые материалы должны быть представлены заводские паспорта, сертификаты качества, техническая документация в полном объеме на бумажном носителе (1 экземпляр) и в электронном носителе (1 экземпляр).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1.4.2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оказании услуг должны применяться материалы, соответствие которых нормативным требованиям подтверждено декларацией о соответствии или сертификатом соответствия.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1.4.3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Доставку материалов осуществить не менее, чем за 20 календарных дней до начала оказания услуг и без попутного груза ,в соответствии с потребностью для соблюдения календарного графика, обеспечивающего оказание услуг и исключающего простой персонала по причине отсутствия МТР.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7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1.4.4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поставляемые и применяемые материалы должны быть новыми и не использованными ранее.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1.4.5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материалов, не соответствующих локальным сметным расчетам, допускается, если они по своим свойствам и техническим характеристикам не ниже требуемых, только после письменного согласования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контролю качества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оказываемых услуг должен включать в себя надзор за правильностью и последовательностью выполнения отдельных технологических операций.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Приемочный контроль. Перечень этапов и видов услуг, подлежащих приемке, должен быть согласован с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персоналу </w:t>
            </w:r>
            <w:r>
              <w:rPr>
                <w:rFonts w:ascii="Times New Roman" w:hAnsi="Times New Roman"/>
                <w:b/>
                <w:lang w:val="en-US"/>
              </w:rPr>
              <w:t xml:space="preserve"> И</w:t>
            </w:r>
            <w:r>
              <w:rPr>
                <w:rFonts w:ascii="Times New Roman" w:hAnsi="Times New Roman"/>
                <w:b/>
                <w:bCs/>
                <w:lang w:val="en-US"/>
              </w:rPr>
              <w:t>сполнителя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Требования к персоналу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Наличие у </w:t>
            </w:r>
            <w:r>
              <w:rPr>
                <w:rFonts w:ascii="Times New Roman" w:hAnsi="Times New Roman"/>
                <w:bCs/>
                <w:iCs/>
              </w:rPr>
              <w:t>Исполнителя</w:t>
            </w:r>
            <w:r>
              <w:rPr>
                <w:rFonts w:ascii="Times New Roman" w:hAnsi="Times New Roman"/>
                <w:iCs/>
              </w:rPr>
              <w:t xml:space="preserve"> или у привлекаемых субподрядчиков собственного или привлеченного (по трудовым либо гражданско-правовым договорам) квалифицированного персонала в количестве, не менее указанного в Приложении № 6 к ТТ.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о субподрядных организациях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Указать, приложить документы, подтверждающие готовность и возможность субподрядчиков выполнить работы.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безопасности оказания услуг и охране труда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1.6.1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безопасности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Услуги оказываются в условиях действующего предприятия: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284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открытых и полуоткрытых производственных площадках в стесненных условиях: с наличием в зоне производства работ действующего технологического оборудования или движения технологического транспорта;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ind w:hanging="284" w:left="320"/>
              <w:jc w:val="both"/>
              <w:rPr>
                <w:rFonts w:ascii="Times New Roman" w:hAnsi="Times New Roman"/>
              </w:rPr>
            </w:pPr>
            <w:r>
              <w:rPr/>
              <w:t>Вблизи объектов, находящихся под высоким напряжением, в том числе в охранной зоне действующей воздушной линии электропередачи;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ind w:hanging="284" w:left="320"/>
              <w:jc w:val="both"/>
              <w:rPr>
                <w:rFonts w:ascii="Times New Roman" w:hAnsi="Times New Roman"/>
              </w:rPr>
            </w:pPr>
            <w:r>
              <w:rPr>
                <w:rFonts w:eastAsia="Calibri"/>
              </w:rPr>
              <w:t>Требующие применение страховочных привязей;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ind w:hanging="0" w:left="0"/>
              <w:rPr/>
            </w:pPr>
            <w:r>
              <w:rPr>
                <w:rStyle w:val="Style7"/>
                <w:rFonts w:ascii="Times New Roman" w:hAnsi="Times New Roman"/>
                <w:b w:val="false"/>
                <w:i w:val="false"/>
                <w:shd w:fill="auto" w:val="clear"/>
              </w:rPr>
              <w:t>-    На высоте (свыше 4 м).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1.6.2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безопасности оказываемых услуг.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охране окружающей среды, промышленной и пожарной безопасности, охране труда, а также все прочие законы и нормативные акты, относящиеся к сфере деятельности.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обязан направлять на объекты заказчика персонал, обученный правилам безопасного оказания услуг и имеющий все необходимые допуски, а также представлять документы на русском языке, подтверждающие аттестацию персонала на оказание соответствующих видов услуг.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Требования к результатам оказания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Общие требования к результатам </w:t>
            </w:r>
            <w:r>
              <w:rPr>
                <w:rFonts w:ascii="Times New Roman" w:hAnsi="Times New Roman"/>
                <w:b/>
                <w:bCs/>
              </w:rPr>
              <w:t>оказания услуг</w:t>
            </w:r>
          </w:p>
        </w:tc>
      </w:tr>
      <w:tr>
        <w:trPr>
          <w:trHeight w:val="61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en-US"/>
              </w:rPr>
              <w:t>Требования к р</w:t>
            </w:r>
            <w:r>
              <w:rPr>
                <w:rFonts w:ascii="Times New Roman" w:hAnsi="Times New Roman"/>
                <w:bCs/>
              </w:rPr>
              <w:t>езультат</w:t>
            </w:r>
            <w:r>
              <w:rPr>
                <w:rFonts w:ascii="Times New Roman" w:hAnsi="Times New Roman"/>
                <w:bCs/>
                <w:lang w:val="en-US"/>
              </w:rPr>
              <w:t>ам</w:t>
            </w:r>
            <w:r>
              <w:rPr>
                <w:rFonts w:ascii="Times New Roman" w:hAnsi="Times New Roman"/>
                <w:bCs/>
              </w:rPr>
              <w:t xml:space="preserve"> оказания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комплекса услуг производится в таком объеме, который позволяет начать эксплуатацию результатов работ без закупки Заказчиком дополнительных объемов оборудования и услуг.</w:t>
            </w:r>
          </w:p>
        </w:tc>
      </w:tr>
      <w:tr>
        <w:trPr>
          <w:trHeight w:val="61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60"/>
              <w:ind w:hanging="29"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информационной безопасности должны обеспечиваться на всех стадиях оказания услуг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 в соответствии с Федеральными законами №152 от 27.07.2006 «О персональных данных» и № 98 от 29.07.2004 «О коммерческой тайне», а также Политикой информационной безопасности ПАО «РусГидро» в новой редакции (Приложение № 10)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Требования к порядку приемки результатов оказанных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  <w:lang w:val="en-US"/>
              </w:rPr>
              <w:t>о</w:t>
            </w:r>
            <w:r>
              <w:rPr>
                <w:rFonts w:ascii="Times New Roman" w:hAnsi="Times New Roman"/>
              </w:rPr>
              <w:t>к приемки результатов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78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считаются оказанными после приёмки объекта комиссией филиала с оформлением отчётной документации со стороны Исполнителя.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оформлению документации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ind w:hanging="0" w:left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uppressAutoHyphens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По завершении выполнения Работ в отношении каждого Объекта и готовности последнего к эксплуатации </w:t>
            </w: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представляет Заказчику подписанные со своей стороны: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</w:t>
              <w:tab/>
              <w:t>Акт об оказанных услугах в 2 (двух) экземплярах с приложением</w:t>
            </w:r>
          </w:p>
          <w:p>
            <w:pPr>
              <w:pStyle w:val="Normal"/>
              <w:widowControl w:val="false"/>
              <w:ind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     </w:t>
            </w:r>
            <w:r>
              <w:rPr>
                <w:rFonts w:ascii="Times New Roman" w:hAnsi="Times New Roman"/>
                <w:iCs/>
              </w:rPr>
              <w:t>приемо-сдаточной и исполнительной документации в 2 (двух) экземплярах, а      именно: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акты приемки объектов;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акты освидетельствования скрытых работ;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сертификаты качества и технические паспорта на используемые материалы и оборудование;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исполнительные схемы;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документы подтверждающие проведение контроля качества и входного контроля применяемых строительных материалов, изделий и комплектующих.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Комплекты приемо-сдаточной и исполнительной документации предоставляются на каждый этап отдельно.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ответственности и гарантиям </w:t>
            </w:r>
            <w:r>
              <w:rPr>
                <w:rFonts w:ascii="Times New Roman" w:hAnsi="Times New Roman"/>
                <w:b/>
                <w:bCs/>
              </w:rPr>
              <w:t>Исполнителя</w:t>
            </w:r>
          </w:p>
        </w:tc>
      </w:tr>
      <w:tr>
        <w:trPr>
          <w:trHeight w:val="309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на результат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на результат оказанных услуг должен составлять 36 месяцев с даты подписания Акта об оказанных услугах.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</w:t>
            </w:r>
            <w:r>
              <w:rPr>
                <w:rFonts w:ascii="Times New Roman" w:hAnsi="Times New Roman"/>
                <w:b/>
                <w:bCs/>
              </w:rPr>
              <w:t>Исполнителю</w:t>
            </w:r>
            <w:r>
              <w:rPr>
                <w:rFonts w:ascii="Times New Roman" w:hAnsi="Times New Roman"/>
                <w:b/>
              </w:rPr>
              <w:t xml:space="preserve">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субподрядным организациям, привлекаемым к оказанию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В случае привлечения к оказанию услуг субподрядных организаций </w:t>
            </w: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</w:tc>
      </w:tr>
    </w:tbl>
    <w:p>
      <w:pPr>
        <w:sectPr>
          <w:headerReference w:type="default" r:id="rId5"/>
          <w:headerReference w:type="first" r:id="rId6"/>
          <w:footerReference w:type="default" r:id="rId7"/>
          <w:type w:val="nextPage"/>
          <w:pgSz w:orient="landscape" w:w="16838" w:h="11906"/>
          <w:pgMar w:left="992" w:right="1134" w:gutter="0" w:header="0" w:top="680" w:footer="0" w:bottom="851"/>
          <w:pgNumType w:fmt="decimal"/>
          <w:formProt w:val="false"/>
          <w:textDirection w:val="lrTb"/>
          <w:docGrid w:type="default" w:linePitch="600" w:charSpace="32768"/>
        </w:sectPr>
      </w:pPr>
      <w:r>
        <w:br w:type="page"/>
      </w:r>
    </w:p>
    <w:p>
      <w:pPr>
        <w:pStyle w:val="Heading1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bookmarkStart w:id="31" w:name="_Toc226035822"/>
      <w:bookmarkStart w:id="32" w:name="_Toc226037856"/>
      <w:r>
        <w:rPr>
          <w:rFonts w:ascii="Times New Roman" w:hAnsi="Times New Roman"/>
          <w:sz w:val="24"/>
        </w:rPr>
        <w:t xml:space="preserve">5. </w:t>
      </w:r>
      <w:bookmarkEnd w:id="31"/>
      <w:bookmarkEnd w:id="32"/>
      <w:r>
        <w:rPr>
          <w:rStyle w:val="Style7"/>
          <w:rFonts w:ascii="Times New Roman" w:hAnsi="Times New Roman"/>
          <w:b/>
          <w:i w:val="false"/>
          <w:iCs w:val="false"/>
          <w:sz w:val="24"/>
          <w:shd w:fill="auto" w:val="clear"/>
        </w:rPr>
        <w:t>Требования к документации по ценообразованию на этапе закупки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Дополнительные документы по ценообразованию в состав заявки Участника не включаются.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/>
          <w:bCs/>
          <w:i w:val="false"/>
          <w:sz w:val="24"/>
          <w:shd w:fill="auto" w:val="clear"/>
        </w:rPr>
        <w:t>6.</w:t>
      </w: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 xml:space="preserve"> </w:t>
      </w:r>
      <w:r>
        <w:rPr>
          <w:rStyle w:val="Style7"/>
          <w:rFonts w:ascii="Times New Roman" w:hAnsi="Times New Roman"/>
          <w:b/>
          <w:bCs/>
          <w:i w:val="false"/>
          <w:sz w:val="24"/>
          <w:shd w:fill="auto" w:val="clear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При составлении расчетов на выполнение работ, применять в обязательном порядке “Требования к оформлению и составлению расчетов на оказание услуг” в соответствии с Приложением № 1 к настоящим техническим требованиям.</w:t>
      </w:r>
    </w:p>
    <w:p>
      <w:pPr>
        <w:pStyle w:val="Normal"/>
        <w:spacing w:lineRule="auto" w:line="240" w:before="0" w:after="12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</w:rPr>
        <w:t>7</w:t>
      </w:r>
      <w:bookmarkStart w:id="33" w:name="_Toc226035823"/>
      <w:bookmarkStart w:id="34" w:name="_Toc226037857"/>
      <w:r>
        <w:rPr>
          <w:rFonts w:ascii="Times New Roman" w:hAnsi="Times New Roman"/>
          <w:b/>
          <w:bCs/>
          <w:sz w:val="24"/>
        </w:rPr>
        <w:t>. Приложения</w:t>
      </w:r>
      <w:bookmarkEnd w:id="33"/>
      <w:bookmarkEnd w:id="34"/>
      <w:r>
        <w:rPr>
          <w:rFonts w:ascii="Times New Roman" w:hAnsi="Times New Roman"/>
          <w:b/>
          <w:bCs/>
          <w:sz w:val="24"/>
        </w:rPr>
        <w:t>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1. </w:t>
      </w:r>
      <w:r>
        <w:rPr>
          <w:rFonts w:ascii="Times New Roman" w:hAnsi="Times New Roman"/>
        </w:rPr>
        <w:t>Требования к оформлению и составлению сметной документации на оказание услуг.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2. </w:t>
      </w:r>
      <w:r>
        <w:rPr>
          <w:rFonts w:ascii="Times New Roman" w:hAnsi="Times New Roman"/>
        </w:rPr>
        <w:t>Ведомости объемов работ.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3. </w:t>
      </w:r>
      <w:r>
        <w:rPr>
          <w:rFonts w:ascii="Times New Roman" w:hAnsi="Times New Roman"/>
        </w:rPr>
        <w:t>Положение по пропускному и внутриобъектовому режимам Филиала ПАО «РусГидро» - «Жигулёвская ГЭС».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Приложение № 4.</w:t>
      </w:r>
      <w:r>
        <w:rPr>
          <w:rFonts w:ascii="Times New Roman" w:hAnsi="Times New Roman"/>
        </w:rPr>
        <w:t xml:space="preserve"> Методика допуска персонала подрядных организаций к выполнению работ на объектах Общества.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5. </w:t>
      </w:r>
      <w:r>
        <w:rPr>
          <w:rFonts w:ascii="Times New Roman" w:hAnsi="Times New Roman"/>
          <w:b w:val="false"/>
          <w:bCs w:val="false"/>
        </w:rPr>
        <w:t>Требования в области охраны окружающей среды к подрядным организациям, выполняющим работы на территории Филиала ПАО «РусГидро» - «Жигулевская ГЭС».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Приложение № 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false"/>
          <w:bCs w:val="false"/>
        </w:rPr>
        <w:t>Требования к количественному составу и квалификации персонала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7. </w:t>
      </w:r>
      <w:r>
        <w:rPr>
          <w:rFonts w:ascii="Times New Roman" w:hAnsi="Times New Roman"/>
          <w:b w:val="false"/>
          <w:bCs w:val="false"/>
        </w:rPr>
        <w:t>Порядок разработки и согласования ППР.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8. </w:t>
      </w:r>
      <w:r>
        <w:rPr>
          <w:rFonts w:ascii="Times New Roman" w:hAnsi="Times New Roman"/>
          <w:b w:val="false"/>
          <w:bCs w:val="false"/>
        </w:rPr>
        <w:t>Требования к материально-техническим ресурсам, необходимым для выполнения работ.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9. </w:t>
      </w:r>
      <w:r>
        <w:rPr>
          <w:rFonts w:ascii="Times New Roman" w:hAnsi="Times New Roman"/>
          <w:b w:val="false"/>
          <w:bCs w:val="false"/>
        </w:rPr>
        <w:t>Методика взаимодействия персонала филиала и подрядных организаций при эксплуатации ПС.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b/>
          <w:bCs/>
        </w:rPr>
        <w:t>Приложение № 10.</w:t>
      </w:r>
      <w:r>
        <w:rPr/>
        <w:t xml:space="preserve">  Политика информационной безопасности ПАО «РусГидро»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783"/>
        <w:gridCol w:w="4848"/>
      </w:tblGrid>
      <w:tr>
        <w:trPr>
          <w:trHeight w:val="1814" w:hRule="atLeast"/>
        </w:trPr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главного инженера по технической части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 / М.В. Блинов/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  20___ г.</w:t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безопасности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 / М.Г. Кирьянов/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  20___ г.</w:t>
            </w:r>
          </w:p>
        </w:tc>
      </w:tr>
      <w:tr>
        <w:trPr>
          <w:trHeight w:val="1814" w:hRule="atLeast"/>
        </w:trPr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Начальник службы безопасности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А.Н. Пуртов/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  Ф.И.О.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Начальник СПСР, ТПиР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Т.И. Лукоянова/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 Ф.И.О.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</w:tr>
      <w:tr>
        <w:trPr>
          <w:trHeight w:val="1814" w:hRule="atLeast"/>
        </w:trPr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Начальник отдела закупок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А.В. Ефремов/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  Ф.И.О.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4"/>
              </w:rPr>
              <w:t>производственно-технической службы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Р.Е. Лессик/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 Ф.И.О.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</w:tr>
      <w:tr>
        <w:trPr>
          <w:trHeight w:val="1814" w:hRule="atLeast"/>
        </w:trPr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Руководитель юридической группы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________________ / Д.В. Давыдов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Начальник СОТ и ПК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С.Л. Михайлов/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    Ф.И.О.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</w:tr>
      <w:tr>
        <w:trPr>
          <w:trHeight w:val="1814" w:hRule="atLeast"/>
        </w:trPr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Руководитель группы ГТСиПЗ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___________ / А.В. Солдатов/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подпись                 Ф.И.О.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ОМТО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 / Д.А. Ганин/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«____»___________  20___ г.</w:t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spacing w:before="6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w="11906" w:h="16838"/>
      <w:pgMar w:left="1701" w:right="709" w:gutter="0" w:header="709" w:top="1134" w:footer="0" w:bottom="992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Footer"/>
      <w:rPr>
        <w:lang w:val="en-US"/>
      </w:rPr>
    </w:pPr>
    <w:r>
      <w:rPr>
        <w:lang w:val="en-U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>«УТВЕРЖДАЮ»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 xml:space="preserve"> </w:t>
    </w:r>
    <w:r>
      <w:rPr>
        <w:bCs/>
        <w:shd w:fill="FFFFFF" w:val="clear"/>
      </w:rPr>
      <w:t xml:space="preserve">Первый заместитель директора -                                                                                                              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>- Главный инженер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>Филиала ПАО «РусГидро»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 xml:space="preserve">      </w:t>
    </w:r>
    <w:r>
      <w:rPr>
        <w:bCs/>
        <w:shd w:fill="FFFFFF" w:val="clear"/>
      </w:rPr>
      <w:t>«Жигулевская ГЭС»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 xml:space="preserve">                                                                                  </w:t>
    </w:r>
    <w:r>
      <w:rPr>
        <w:bCs/>
        <w:shd w:fill="FFFFFF" w:val="clear"/>
      </w:rPr>
      <w:t xml:space="preserve">___________ А.И. Богданов </w:t>
    </w:r>
  </w:p>
  <w:p>
    <w:pPr>
      <w:pStyle w:val="Normal"/>
      <w:keepNext w:val="true"/>
      <w:keepLines/>
      <w:jc w:val="right"/>
      <w:rPr>
        <w:highlight w:val="white"/>
      </w:rPr>
    </w:pPr>
    <w:r>
      <w:rPr>
        <w:bCs/>
        <w:shd w:fill="FFFFFF" w:val="clear"/>
      </w:rPr>
      <w:t xml:space="preserve">           </w:t>
    </w:r>
    <w:r>
      <w:rPr>
        <w:bCs/>
        <w:shd w:fill="FFFFFF" w:val="clear"/>
      </w:rPr>
      <w:t>«      »  _________  2026 г</w:t>
    </w:r>
    <w:r>
      <w:rPr>
        <w:b/>
        <w:bCs/>
        <w:shd w:fill="FFFFFF" w:val="clear"/>
      </w:rPr>
      <w:t>.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:lang w:val="ru-RU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pStyle w:val="Heading4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pStyle w:val="Heading5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pStyle w:val="Heading6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pStyle w:val="Heading7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pStyle w:val="Heading8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pStyle w:val="Heading9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999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929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1.1.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erif CJK SC" w:cs="Arial Unicode MS"/>
      <w:color w:val="000000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outlineLvl w:val="1"/>
    </w:pPr>
    <w:rPr>
      <w:i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</w:rPr>
  </w:style>
  <w:style w:type="paragraph" w:styleId="Heading4">
    <w:name w:val="Heading 4"/>
    <w:basedOn w:val="Heading3"/>
    <w:next w:val="Normal"/>
    <w:qFormat/>
    <w:pPr>
      <w:numPr>
        <w:ilvl w:val="3"/>
        <w:numId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CharLFO1LVL1" w:customStyle="1">
    <w:name w:val="WW_CharLFO1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1LVL2" w:customStyle="1">
    <w:name w:val="WW_CharLFO1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1z0" w:customStyle="1">
    <w:name w:val="WW8Num1z0"/>
    <w:qFormat/>
    <w:rPr>
      <w:rFonts w:ascii="Times New Roman" w:hAnsi="Times New Roman" w:eastAsia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8Num1z1" w:customStyle="1">
    <w:name w:val="WW8Num1z1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2z0" w:customStyle="1">
    <w:name w:val="WW8Num2z0"/>
    <w:qFormat/>
    <w:rPr>
      <w:rFonts w:ascii="Times New Roman" w:hAnsi="Times New Roman" w:eastAsia="Times New Roman" w:cs="Times New Roman"/>
    </w:rPr>
  </w:style>
  <w:style w:type="character" w:styleId="WW8Num2z1" w:customStyle="1">
    <w:name w:val="WW8Num2z1"/>
    <w:qFormat/>
    <w:rPr>
      <w:rFonts w:ascii="Courier New" w:hAnsi="Courier New" w:eastAsia="Courier New" w:cs="Courier New"/>
    </w:rPr>
  </w:style>
  <w:style w:type="character" w:styleId="WW8Num2z2" w:customStyle="1">
    <w:name w:val="WW8Num2z2"/>
    <w:qFormat/>
    <w:rPr>
      <w:rFonts w:ascii="Wingdings" w:hAnsi="Wingdings" w:eastAsia="Wingdings" w:cs="Wingdings"/>
    </w:rPr>
  </w:style>
  <w:style w:type="character" w:styleId="WW8Num2z3" w:customStyle="1">
    <w:name w:val="WW8Num2z3"/>
    <w:qFormat/>
    <w:rPr>
      <w:rFonts w:ascii="Symbol" w:hAnsi="Symbol" w:eastAsia="Symbol" w:cs="Symbol"/>
    </w:rPr>
  </w:style>
  <w:style w:type="character" w:styleId="WW8Num5z0" w:customStyle="1">
    <w:name w:val="WW8Num5z0"/>
    <w:qFormat/>
    <w:rPr>
      <w:b/>
      <w:bCs w:val="false"/>
      <w:sz w:val="24"/>
      <w:szCs w:val="24"/>
    </w:rPr>
  </w:style>
  <w:style w:type="character" w:styleId="WW8Num5z1" w:customStyle="1">
    <w:name w:val="WW8Num5z1"/>
    <w:qFormat/>
    <w:rPr>
      <w:b/>
      <w:bCs/>
      <w:sz w:val="24"/>
      <w:szCs w:val="24"/>
    </w:rPr>
  </w:style>
  <w:style w:type="character" w:styleId="WW8Num5z2" w:customStyle="1">
    <w:name w:val="WW8Num5z2"/>
    <w:qFormat/>
    <w:rPr>
      <w:b/>
      <w:sz w:val="24"/>
      <w:szCs w:val="24"/>
    </w:rPr>
  </w:style>
  <w:style w:type="character" w:styleId="WW8Num5z3" w:customStyle="1">
    <w:name w:val="WW8Num5z3"/>
    <w:qFormat/>
    <w:rPr>
      <w:b/>
      <w:sz w:val="24"/>
    </w:rPr>
  </w:style>
  <w:style w:type="character" w:styleId="WW8Num6z0" w:customStyle="1">
    <w:name w:val="WW8Num6z0"/>
    <w:qFormat/>
    <w:rPr>
      <w:b w:val="false"/>
      <w:i w:val="false"/>
    </w:rPr>
  </w:style>
  <w:style w:type="character" w:styleId="WW8Num6z1" w:customStyle="1">
    <w:name w:val="WW8Num6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7z0" w:customStyle="1">
    <w:name w:val="WW8Num7z0"/>
    <w:qFormat/>
    <w:rPr>
      <w:b/>
      <w:bCs w:val="false"/>
      <w:sz w:val="24"/>
      <w:szCs w:val="24"/>
    </w:rPr>
  </w:style>
  <w:style w:type="character" w:styleId="WW8Num7z1" w:customStyle="1">
    <w:name w:val="WW8Num7z1"/>
    <w:qFormat/>
    <w:rPr>
      <w:b/>
      <w:bCs/>
      <w:sz w:val="24"/>
      <w:szCs w:val="24"/>
    </w:rPr>
  </w:style>
  <w:style w:type="character" w:styleId="WW8Num7z2" w:customStyle="1">
    <w:name w:val="WW8Num7z2"/>
    <w:qFormat/>
    <w:rPr>
      <w:b/>
      <w:sz w:val="24"/>
      <w:szCs w:val="24"/>
    </w:rPr>
  </w:style>
  <w:style w:type="character" w:styleId="WW8Num7z3" w:customStyle="1">
    <w:name w:val="WW8Num7z3"/>
    <w:qFormat/>
    <w:rPr>
      <w:b/>
      <w:sz w:val="24"/>
    </w:rPr>
  </w:style>
  <w:style w:type="character" w:styleId="WW8Num8z4" w:customStyle="1">
    <w:name w:val="WW8Num8z4"/>
    <w:qFormat/>
    <w:rPr>
      <w:rFonts w:ascii="Times New Roman" w:hAnsi="Times New Roman" w:eastAsia="Times New Roman" w:cs="Times New Roman"/>
    </w:rPr>
  </w:style>
  <w:style w:type="character" w:styleId="WW8Num9z0" w:customStyle="1">
    <w:name w:val="WW8Num9z0"/>
    <w:qFormat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/>
    <w:rPr>
      <w:rFonts w:ascii="Courier New" w:hAnsi="Courier New" w:eastAsia="Courier New" w:cs="Courier New"/>
    </w:rPr>
  </w:style>
  <w:style w:type="character" w:styleId="WW8Num9z2" w:customStyle="1">
    <w:name w:val="WW8Num9z2"/>
    <w:qFormat/>
    <w:rPr>
      <w:rFonts w:ascii="Wingdings" w:hAnsi="Wingdings" w:eastAsia="Wingdings" w:cs="Wingdings"/>
    </w:rPr>
  </w:style>
  <w:style w:type="character" w:styleId="WW8Num9z3" w:customStyle="1">
    <w:name w:val="WW8Num9z3"/>
    <w:qFormat/>
    <w:rPr>
      <w:rFonts w:ascii="Symbol" w:hAnsi="Symbol" w:eastAsia="Symbol" w:cs="Symbol"/>
    </w:rPr>
  </w:style>
  <w:style w:type="character" w:styleId="WW8Num10z0" w:customStyle="1">
    <w:name w:val="WW8Num10z0"/>
    <w:qFormat/>
    <w:rPr>
      <w:rFonts w:ascii="Symbol" w:hAnsi="Symbol" w:eastAsia="Symbol" w:cs="Symbol"/>
    </w:rPr>
  </w:style>
  <w:style w:type="character" w:styleId="WW8Num10z1" w:customStyle="1">
    <w:name w:val="WW8Num10z1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WW8Num1z3" w:customStyle="1">
    <w:name w:val="WW8Num1z3"/>
    <w:qFormat/>
    <w:rPr>
      <w:rFonts w:ascii="Symbol" w:hAnsi="Symbol" w:eastAsia="Symbol" w:cs="Symbol"/>
    </w:rPr>
  </w:style>
  <w:style w:type="character" w:styleId="WW8Num4z0" w:customStyle="1">
    <w:name w:val="WW8Num4z0"/>
    <w:qFormat/>
    <w:rPr>
      <w:b/>
      <w:bCs w:val="false"/>
      <w:sz w:val="24"/>
      <w:szCs w:val="24"/>
    </w:rPr>
  </w:style>
  <w:style w:type="character" w:styleId="WW8Num4z1" w:customStyle="1">
    <w:name w:val="WW8Num4z1"/>
    <w:qFormat/>
    <w:rPr>
      <w:b/>
      <w:bCs/>
      <w:sz w:val="24"/>
      <w:szCs w:val="24"/>
    </w:rPr>
  </w:style>
  <w:style w:type="character" w:styleId="WW8Num4z2" w:customStyle="1">
    <w:name w:val="WW8Num4z2"/>
    <w:qFormat/>
    <w:rPr>
      <w:b/>
      <w:sz w:val="24"/>
      <w:szCs w:val="24"/>
    </w:rPr>
  </w:style>
  <w:style w:type="character" w:styleId="WW8Num4z3" w:customStyle="1">
    <w:name w:val="WW8Num4z3"/>
    <w:qFormat/>
    <w:rPr>
      <w:b/>
      <w:sz w:val="24"/>
    </w:rPr>
  </w:style>
  <w:style w:type="character" w:styleId="WW8Num6z2" w:customStyle="1">
    <w:name w:val="WW8Num6z2"/>
    <w:qFormat/>
    <w:rPr>
      <w:b/>
      <w:sz w:val="24"/>
      <w:szCs w:val="24"/>
    </w:rPr>
  </w:style>
  <w:style w:type="character" w:styleId="WW8Num6z3" w:customStyle="1">
    <w:name w:val="WW8Num6z3"/>
    <w:qFormat/>
    <w:rPr>
      <w:b/>
      <w:sz w:val="24"/>
    </w:rPr>
  </w:style>
  <w:style w:type="character" w:styleId="WW8Num11z0" w:customStyle="1">
    <w:name w:val="WW8Num11z0"/>
    <w:qFormat/>
    <w:rPr>
      <w:rFonts w:ascii="Times New Roman" w:hAnsi="Times New Roman" w:eastAsia="Times New Roman" w:cs="Times New Roman"/>
    </w:rPr>
  </w:style>
  <w:style w:type="character" w:styleId="WW8Num11z1" w:customStyle="1">
    <w:name w:val="WW8Num11z1"/>
    <w:qFormat/>
    <w:rPr>
      <w:rFonts w:ascii="Courier New" w:hAnsi="Courier New" w:eastAsia="Courier New" w:cs="Courier New"/>
    </w:rPr>
  </w:style>
  <w:style w:type="character" w:styleId="WW8Num11z2" w:customStyle="1">
    <w:name w:val="WW8Num11z2"/>
    <w:qFormat/>
    <w:rPr>
      <w:rFonts w:ascii="Wingdings" w:hAnsi="Wingdings" w:eastAsia="Wingdings" w:cs="Wingdings"/>
    </w:rPr>
  </w:style>
  <w:style w:type="character" w:styleId="WW8Num11z3" w:customStyle="1">
    <w:name w:val="WW8Num11z3"/>
    <w:qFormat/>
    <w:rPr>
      <w:rFonts w:ascii="Symbol" w:hAnsi="Symbol" w:eastAsia="Symbol" w:cs="Symbol"/>
    </w:rPr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i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" w:customStyle="1">
    <w:name w:val="Название Знак"/>
    <w:qFormat/>
    <w:rPr>
      <w:sz w:val="28"/>
    </w:rPr>
  </w:style>
  <w:style w:type="character" w:styleId="Style1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2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 w:customStyle="1">
    <w:name w:val="Электронная подпись Знак"/>
    <w:qFormat/>
    <w:rPr>
      <w:rFonts w:eastAsia="Calibri"/>
      <w:sz w:val="24"/>
      <w:szCs w:val="24"/>
    </w:rPr>
  </w:style>
  <w:style w:type="character" w:styleId="12" w:customStyle="1">
    <w:name w:val="Подпункт Знак1"/>
    <w:qFormat/>
    <w:rPr>
      <w:sz w:val="28"/>
    </w:rPr>
  </w:style>
  <w:style w:type="character" w:styleId="Style4" w:customStyle="1">
    <w:name w:val="Текст сноски Знак"/>
    <w:qFormat/>
    <w:rPr/>
  </w:style>
  <w:style w:type="character" w:styleId="Style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6" w:customStyle="1">
    <w:name w:val="Абзац списка Знак"/>
    <w:qFormat/>
    <w:rPr>
      <w:rFonts w:eastAsia="Calibri"/>
      <w:sz w:val="24"/>
      <w:szCs w:val="24"/>
    </w:rPr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Style8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</w:rPr>
  </w:style>
  <w:style w:type="character" w:styleId="Style9" w:customStyle="1">
    <w:name w:val="Верхний колонтитул Знак"/>
    <w:qFormat/>
    <w:rPr>
      <w:sz w:val="24"/>
      <w:szCs w:val="24"/>
    </w:rPr>
  </w:style>
  <w:style w:type="character" w:styleId="Style10" w:customStyle="1">
    <w:name w:val="Текст примечания Знак"/>
    <w:qFormat/>
    <w:rPr/>
  </w:style>
  <w:style w:type="character" w:styleId="Style11" w:customStyle="1">
    <w:name w:val="Текст концевой сноски Знак"/>
    <w:basedOn w:val="DefaultParagraphFont"/>
    <w:qFormat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4" w:customStyle="1">
    <w:name w:val="УРОВЕНЬ_1. Знак"/>
    <w:qFormat/>
    <w:rPr>
      <w:rFonts w:eastAsia="Calibri"/>
      <w:caps/>
      <w:sz w:val="28"/>
      <w:szCs w:val="28"/>
    </w:rPr>
  </w:style>
  <w:style w:type="character" w:styleId="15" w:customStyle="1">
    <w:name w:val="Неразрешенное упоминание1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16" w:customStyle="1">
    <w:name w:val="Просмотренная гиперссылка1"/>
    <w:qFormat/>
    <w:rPr>
      <w:color w:val="954F72"/>
      <w:u w:val="single"/>
    </w:rPr>
  </w:style>
  <w:style w:type="character" w:styleId="Style12" w:customStyle="1">
    <w:name w:val="Символ сноски"/>
    <w:qFormat/>
    <w:rPr>
      <w:vertAlign w:val="superscript"/>
    </w:rPr>
  </w:style>
  <w:style w:type="character" w:styleId="WW-" w:customStyle="1">
    <w:name w:val="WW-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yle14" w:customStyle="1">
    <w:name w:val="Символ концевой сноски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Нижний колонтитул Знак"/>
    <w:qFormat/>
    <w:rPr>
      <w:sz w:val="24"/>
      <w:szCs w:val="28"/>
    </w:rPr>
  </w:style>
  <w:style w:type="character" w:styleId="WW-1" w:customStyle="1">
    <w:name w:val="WW-Символ концевой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17" w:customStyle="1">
    <w:name w:val="Основной шрифт абзаца1"/>
    <w:qFormat/>
    <w:rPr/>
  </w:style>
  <w:style w:type="character" w:styleId="WW8Num12z2" w:customStyle="1">
    <w:name w:val="WW8Num12z2"/>
    <w:qFormat/>
    <w:rPr/>
  </w:style>
  <w:style w:type="character" w:styleId="WW8Num12z1" w:customStyle="1">
    <w:name w:val="WW8Num12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12z0" w:customStyle="1">
    <w:name w:val="WW8Num12z0"/>
    <w:qFormat/>
    <w:rPr>
      <w:b w:val="false"/>
      <w:i w:val="false"/>
    </w:rPr>
  </w:style>
  <w:style w:type="character" w:styleId="WW8Num8z3" w:customStyle="1">
    <w:name w:val="WW8Num8z3"/>
    <w:qFormat/>
    <w:rPr>
      <w:rFonts w:ascii="Symbol" w:hAnsi="Symbol" w:eastAsia="Symbol" w:cs="Symbol"/>
    </w:rPr>
  </w:style>
  <w:style w:type="character" w:styleId="WW8Num8z2" w:customStyle="1">
    <w:name w:val="WW8Num8z2"/>
    <w:qFormat/>
    <w:rPr/>
  </w:style>
  <w:style w:type="character" w:styleId="WW8Num8z1" w:customStyle="1">
    <w:name w:val="WW8Num8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8z0" w:customStyle="1">
    <w:name w:val="WW8Num8z0"/>
    <w:qFormat/>
    <w:rPr>
      <w:b w:val="false"/>
      <w:i w:val="false"/>
    </w:rPr>
  </w:style>
  <w:style w:type="character" w:styleId="WW8Num3z0" w:customStyle="1">
    <w:name w:val="WW8Num3z0"/>
    <w:qFormat/>
    <w:rPr>
      <w:rFonts w:ascii="Times New Roman" w:hAnsi="Times New Roman" w:eastAsia="Calibri" w:cs="Times New Roman"/>
    </w:rPr>
  </w:style>
  <w:style w:type="character" w:styleId="WWCharLFO2LVL1" w:customStyle="1">
    <w:name w:val="WW_CharLFO2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2LVL2" w:customStyle="1">
    <w:name w:val="WW_CharLFO2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3LVL1" w:customStyle="1">
    <w:name w:val="WW_CharLFO3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3LVL2" w:customStyle="1">
    <w:name w:val="WW_CharLFO3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4LVL1" w:customStyle="1">
    <w:name w:val="WW_CharLFO4LVL1"/>
    <w:qFormat/>
    <w:rPr>
      <w:rFonts w:ascii="Times New Roman" w:hAnsi="Times New Roman" w:cs="Times New Roman"/>
    </w:rPr>
  </w:style>
  <w:style w:type="character" w:styleId="WWCharLFO4LVL2" w:customStyle="1">
    <w:name w:val="WW_CharLFO4LVL2"/>
    <w:qFormat/>
    <w:rPr>
      <w:rFonts w:ascii="Courier New" w:hAnsi="Courier New" w:cs="Courier New"/>
    </w:rPr>
  </w:style>
  <w:style w:type="character" w:styleId="WWCharLFO4LVL3" w:customStyle="1">
    <w:name w:val="WW_CharLFO4LVL3"/>
    <w:qFormat/>
    <w:rPr>
      <w:rFonts w:ascii="Wingdings" w:hAnsi="Wingdings" w:cs="Wingdings"/>
    </w:rPr>
  </w:style>
  <w:style w:type="character" w:styleId="WWCharLFO4LVL4" w:customStyle="1">
    <w:name w:val="WW_CharLFO4LVL4"/>
    <w:qFormat/>
    <w:rPr>
      <w:rFonts w:ascii="Symbol" w:hAnsi="Symbol" w:cs="Symbol"/>
    </w:rPr>
  </w:style>
  <w:style w:type="character" w:styleId="WWCharLFO4LVL5" w:customStyle="1">
    <w:name w:val="WW_CharLFO4LVL5"/>
    <w:qFormat/>
    <w:rPr>
      <w:rFonts w:ascii="Courier New" w:hAnsi="Courier New" w:cs="Courier New"/>
    </w:rPr>
  </w:style>
  <w:style w:type="character" w:styleId="WWCharLFO4LVL6" w:customStyle="1">
    <w:name w:val="WW_CharLFO4LVL6"/>
    <w:qFormat/>
    <w:rPr>
      <w:rFonts w:ascii="Wingdings" w:hAnsi="Wingdings" w:cs="Wingdings"/>
    </w:rPr>
  </w:style>
  <w:style w:type="character" w:styleId="WWCharLFO4LVL7" w:customStyle="1">
    <w:name w:val="WW_CharLFO4LVL7"/>
    <w:qFormat/>
    <w:rPr>
      <w:rFonts w:ascii="Symbol" w:hAnsi="Symbol" w:cs="Symbol"/>
    </w:rPr>
  </w:style>
  <w:style w:type="character" w:styleId="WWCharLFO4LVL8" w:customStyle="1">
    <w:name w:val="WW_CharLFO4LVL8"/>
    <w:qFormat/>
    <w:rPr>
      <w:rFonts w:ascii="Courier New" w:hAnsi="Courier New" w:cs="Courier New"/>
    </w:rPr>
  </w:style>
  <w:style w:type="character" w:styleId="WWCharLFO4LVL9" w:customStyle="1">
    <w:name w:val="WW_CharLFO4LVL9"/>
    <w:qFormat/>
    <w:rPr>
      <w:rFonts w:ascii="Wingdings" w:hAnsi="Wingdings" w:cs="Wingdings"/>
    </w:rPr>
  </w:style>
  <w:style w:type="character" w:styleId="WWCharLFO7LVL1" w:customStyle="1">
    <w:name w:val="WW_CharLFO7LVL1"/>
    <w:qFormat/>
    <w:rPr>
      <w:b/>
      <w:bCs w:val="false"/>
      <w:sz w:val="24"/>
      <w:szCs w:val="24"/>
    </w:rPr>
  </w:style>
  <w:style w:type="character" w:styleId="WWCharLFO7LVL2" w:customStyle="1">
    <w:name w:val="WW_CharLFO7LVL2"/>
    <w:qFormat/>
    <w:rPr>
      <w:b/>
      <w:bCs/>
      <w:sz w:val="24"/>
      <w:szCs w:val="24"/>
    </w:rPr>
  </w:style>
  <w:style w:type="character" w:styleId="WWCharLFO7LVL3" w:customStyle="1">
    <w:name w:val="WW_CharLFO7LVL3"/>
    <w:qFormat/>
    <w:rPr>
      <w:b/>
      <w:sz w:val="24"/>
      <w:szCs w:val="24"/>
    </w:rPr>
  </w:style>
  <w:style w:type="character" w:styleId="WWCharLFO7LVL4" w:customStyle="1">
    <w:name w:val="WW_CharLFO7LVL4"/>
    <w:qFormat/>
    <w:rPr>
      <w:b/>
      <w:sz w:val="24"/>
    </w:rPr>
  </w:style>
  <w:style w:type="character" w:styleId="WWCharLFO8LVL1" w:customStyle="1">
    <w:name w:val="WW_CharLFO8LVL1"/>
    <w:qFormat/>
    <w:rPr>
      <w:b w:val="false"/>
      <w:i w:val="false"/>
    </w:rPr>
  </w:style>
  <w:style w:type="character" w:styleId="WWCharLFO8LVL2" w:customStyle="1">
    <w:name w:val="WW_CharLFO8LVL2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CharLFO9LVL1" w:customStyle="1">
    <w:name w:val="WW_CharLFO9LVL1"/>
    <w:qFormat/>
    <w:rPr>
      <w:b/>
      <w:bCs w:val="false"/>
      <w:sz w:val="24"/>
      <w:szCs w:val="24"/>
    </w:rPr>
  </w:style>
  <w:style w:type="character" w:styleId="WWCharLFO9LVL2" w:customStyle="1">
    <w:name w:val="WW_CharLFO9LVL2"/>
    <w:qFormat/>
    <w:rPr>
      <w:b/>
      <w:bCs/>
      <w:sz w:val="24"/>
      <w:szCs w:val="24"/>
    </w:rPr>
  </w:style>
  <w:style w:type="character" w:styleId="WWCharLFO9LVL3" w:customStyle="1">
    <w:name w:val="WW_CharLFO9LVL3"/>
    <w:qFormat/>
    <w:rPr>
      <w:b/>
      <w:sz w:val="24"/>
      <w:szCs w:val="24"/>
    </w:rPr>
  </w:style>
  <w:style w:type="character" w:styleId="WWCharLFO9LVL4" w:customStyle="1">
    <w:name w:val="WW_CharLFO9LVL4"/>
    <w:qFormat/>
    <w:rPr>
      <w:b/>
      <w:sz w:val="24"/>
    </w:rPr>
  </w:style>
  <w:style w:type="character" w:styleId="WWCharLFO10LVL5" w:customStyle="1">
    <w:name w:val="WW_CharLFO10LVL5"/>
    <w:qFormat/>
    <w:rPr>
      <w:rFonts w:ascii="Times New Roman" w:hAnsi="Times New Roman" w:cs="Times New Roman"/>
    </w:rPr>
  </w:style>
  <w:style w:type="character" w:styleId="WWCharLFO11LVL1" w:customStyle="1">
    <w:name w:val="WW_CharLFO11LVL1"/>
    <w:qFormat/>
    <w:rPr>
      <w:rFonts w:ascii="Times New Roman" w:hAnsi="Times New Roman" w:cs="Times New Roman"/>
    </w:rPr>
  </w:style>
  <w:style w:type="character" w:styleId="WWCharLFO11LVL2" w:customStyle="1">
    <w:name w:val="WW_CharLFO11LVL2"/>
    <w:qFormat/>
    <w:rPr>
      <w:rFonts w:ascii="Courier New" w:hAnsi="Courier New" w:cs="Courier New"/>
    </w:rPr>
  </w:style>
  <w:style w:type="character" w:styleId="WWCharLFO11LVL3" w:customStyle="1">
    <w:name w:val="WW_CharLFO11LVL3"/>
    <w:qFormat/>
    <w:rPr>
      <w:rFonts w:ascii="Wingdings" w:hAnsi="Wingdings" w:cs="Wingdings"/>
    </w:rPr>
  </w:style>
  <w:style w:type="character" w:styleId="WWCharLFO11LVL4" w:customStyle="1">
    <w:name w:val="WW_CharLFO11LVL4"/>
    <w:qFormat/>
    <w:rPr>
      <w:rFonts w:ascii="Symbol" w:hAnsi="Symbol" w:cs="Symbol"/>
    </w:rPr>
  </w:style>
  <w:style w:type="character" w:styleId="WWCharLFO11LVL5" w:customStyle="1">
    <w:name w:val="WW_CharLFO11LVL5"/>
    <w:qFormat/>
    <w:rPr>
      <w:rFonts w:ascii="Courier New" w:hAnsi="Courier New" w:cs="Courier New"/>
    </w:rPr>
  </w:style>
  <w:style w:type="character" w:styleId="WWCharLFO11LVL6" w:customStyle="1">
    <w:name w:val="WW_CharLFO11LVL6"/>
    <w:qFormat/>
    <w:rPr>
      <w:rFonts w:ascii="Wingdings" w:hAnsi="Wingdings" w:cs="Wingdings"/>
    </w:rPr>
  </w:style>
  <w:style w:type="character" w:styleId="WWCharLFO11LVL7" w:customStyle="1">
    <w:name w:val="WW_CharLFO11LVL7"/>
    <w:qFormat/>
    <w:rPr>
      <w:rFonts w:ascii="Symbol" w:hAnsi="Symbol" w:cs="Symbol"/>
    </w:rPr>
  </w:style>
  <w:style w:type="character" w:styleId="WWCharLFO11LVL8" w:customStyle="1">
    <w:name w:val="WW_CharLFO11LVL8"/>
    <w:qFormat/>
    <w:rPr>
      <w:rFonts w:ascii="Courier New" w:hAnsi="Courier New" w:cs="Courier New"/>
    </w:rPr>
  </w:style>
  <w:style w:type="character" w:styleId="WWCharLFO11LVL9" w:customStyle="1">
    <w:name w:val="WW_CharLFO11LVL9"/>
    <w:qFormat/>
    <w:rPr>
      <w:rFonts w:ascii="Wingdings" w:hAnsi="Wingdings" w:cs="Wingdings"/>
    </w:rPr>
  </w:style>
  <w:style w:type="character" w:styleId="WWCharOUTLINELVL1" w:customStyle="1">
    <w:name w:val="WW_CharOUTLINE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OUTLINELVL2" w:customStyle="1">
    <w:name w:val="WW_CharOUTLINE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18" w:customStyle="1">
    <w:name w:val="Символ сноски1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" w:customStyle="1">
    <w:name w:val="index heading111"/>
    <w:basedOn w:val="Title"/>
    <w:qFormat/>
    <w:pPr>
      <w:suppressLineNumbers/>
    </w:pPr>
    <w:rPr>
      <w:b/>
      <w:bCs/>
      <w:sz w:val="32"/>
      <w:szCs w:val="32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" w:customStyle="1">
    <w:name w:val="Caption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" w:customStyle="1">
    <w:name w:val="Caption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" w:customStyle="1">
    <w:name w:val="Caption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" w:customStyle="1">
    <w:name w:val="Caption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" w:customStyle="1">
    <w:name w:val="Caption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" w:customStyle="1">
    <w:name w:val="Caption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" w:customStyle="1">
    <w:name w:val="Caption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" w:customStyle="1">
    <w:name w:val="Caption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" w:customStyle="1">
    <w:name w:val="Caption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" w:customStyle="1">
    <w:name w:val="Caption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" w:customStyle="1">
    <w:name w:val="Caption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" w:customStyle="1">
    <w:name w:val="Caption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1" w:customStyle="1">
    <w:name w:val="caption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11111111111111111111111111111" w:customStyle="1">
    <w:name w:val="caption1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11111111111111111111111111111" w:customStyle="1">
    <w:name w:val="caption11111111111111111111111111111111111"/>
    <w:basedOn w:val="Normal"/>
    <w:qFormat/>
    <w:pPr>
      <w:suppressLineNumbers/>
      <w:spacing w:before="120" w:after="120"/>
    </w:pPr>
    <w:rPr>
      <w:rFonts w:cs="Mangal;Courier New"/>
      <w:i/>
      <w:iCs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11111111111111111111111111111" w:customStyle="1">
    <w:name w:val="caption1111111111111111111111111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1" w:customStyle="1">
    <w:name w:val="Раздел положения"/>
    <w:basedOn w:val="Normal"/>
    <w:qFormat/>
    <w:p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qFormat/>
    <w:pPr>
      <w:numPr>
        <w:ilvl w:val="0"/>
        <w:numId w:val="3"/>
      </w:numPr>
      <w:spacing w:before="80" w:after="80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9" w:customStyle="1">
    <w:name w:val="Шапка 1"/>
    <w:basedOn w:val="Normal"/>
    <w:qFormat/>
    <w:pPr>
      <w:pBdr>
        <w:bottom w:val="double" w:sz="12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double" w:sz="12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double" w:sz="12" w:space="1" w:color="000000"/>
      </w:pBdr>
      <w:spacing w:before="240" w:after="360"/>
      <w:jc w:val="center"/>
    </w:pPr>
    <w:rPr>
      <w:b/>
    </w:rPr>
  </w:style>
  <w:style w:type="paragraph" w:styleId="110" w:customStyle="1">
    <w:name w:val="Название1"/>
    <w:basedOn w:val="Normal"/>
    <w:qFormat/>
    <w:pPr>
      <w:jc w:val="center"/>
    </w:pPr>
    <w:rPr>
      <w:szCs w:val="20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BodyTextIndent">
    <w:name w:val="Body Text Indent"/>
    <w:basedOn w:val="Normal"/>
    <w:pPr>
      <w:ind w:hanging="0" w:left="360"/>
    </w:pPr>
    <w:rPr/>
  </w:style>
  <w:style w:type="paragraph" w:styleId="Footer">
    <w:name w:val="Foot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Cs w:val="20"/>
    </w:rPr>
  </w:style>
  <w:style w:type="paragraph" w:styleId="Style24" w:customStyle="1">
    <w:name w:val="Подпункт"/>
    <w:basedOn w:val="Normal"/>
    <w:qFormat/>
    <w:pPr>
      <w:snapToGrid w:val="false"/>
      <w:spacing w:lineRule="auto" w:line="360"/>
      <w:ind w:hanging="1134" w:left="1134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uiPriority w:val="39"/>
    <w:pPr>
      <w:ind w:hanging="0" w:left="280"/>
    </w:pPr>
    <w:rPr>
      <w:rFonts w:cs="Calibri"/>
      <w:sz w:val="20"/>
      <w:szCs w:val="20"/>
    </w:rPr>
  </w:style>
  <w:style w:type="paragraph" w:styleId="Style25" w:customStyle="1">
    <w:name w:val="Раздел регламента"/>
    <w:basedOn w:val="Normal"/>
    <w:qFormat/>
    <w:pPr/>
    <w:rPr/>
  </w:style>
  <w:style w:type="paragraph" w:styleId="Style26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1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/>
    </w:rPr>
  </w:style>
  <w:style w:type="paragraph" w:styleId="TOC9">
    <w:name w:val="TOC 9"/>
    <w:basedOn w:val="Normal"/>
    <w:next w:val="Normal"/>
    <w:pPr>
      <w:ind w:hanging="0" w:left="1960"/>
    </w:pPr>
    <w:rPr>
      <w:rFonts w:ascii="Calibri" w:hAnsi="Calibri" w:eastAsia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/>
    </w:pPr>
    <w:rPr>
      <w:rFonts w:ascii="Calibri" w:hAnsi="Calibri" w:eastAsia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</w:rPr>
  </w:style>
  <w:style w:type="paragraph" w:styleId="Subtitle">
    <w:name w:val="Subtitle"/>
    <w:basedOn w:val="Normal"/>
    <w:next w:val="Normal"/>
    <w:qFormat/>
    <w:pPr>
      <w:ind w:firstLine="709" w:left="1066"/>
    </w:pPr>
    <w:rPr>
      <w:rFonts w:ascii="Cambria" w:hAnsi="Cambria" w:eastAsia="Cambria" w:cs="Cambria"/>
      <w:i/>
      <w:iCs/>
      <w:color w:val="4F81BD"/>
      <w:spacing w:val="15"/>
    </w:rPr>
  </w:style>
  <w:style w:type="paragraph" w:styleId="ListParagraph">
    <w:name w:val="List Paragraph"/>
    <w:basedOn w:val="Normal"/>
    <w:qFormat/>
    <w:pPr>
      <w:ind w:hanging="0" w:left="720"/>
    </w:pPr>
    <w:rPr>
      <w:rFonts w:eastAsia="Calibri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 w:cs="Calibri"/>
      <w:i/>
      <w:iCs/>
      <w:sz w:val="20"/>
      <w:szCs w:val="2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before="480" w:after="0"/>
    </w:pPr>
    <w:rPr>
      <w:rFonts w:ascii="Cambria" w:hAnsi="Cambria" w:eastAsia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</w:rPr>
  </w:style>
  <w:style w:type="paragraph" w:styleId="Style28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0"/>
      <w:szCs w:val="20"/>
      <w:lang w:val="en-US"/>
    </w:rPr>
  </w:style>
  <w:style w:type="paragraph" w:styleId="34" w:customStyle="1">
    <w:name w:val="Нумерованный список ур3"/>
    <w:basedOn w:val="Normal"/>
    <w:qFormat/>
    <w:pPr/>
    <w:rPr>
      <w:rFonts w:ascii="Garamond" w:hAnsi="Garamond" w:eastAsia="Garamond" w:cs="Garamond"/>
      <w:szCs w:val="20"/>
    </w:rPr>
  </w:style>
  <w:style w:type="paragraph" w:styleId="311" w:customStyle="1">
    <w:name w:val="Список 31"/>
    <w:basedOn w:val="Normal"/>
    <w:qFormat/>
    <w:pPr>
      <w:spacing w:before="120" w:after="0"/>
    </w:pPr>
    <w:rPr>
      <w:rFonts w:ascii="Garamond" w:hAnsi="Garamond" w:eastAsia="Garamond" w:cs="Garamond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0"/>
        <w:numId w:val="2"/>
      </w:numPr>
      <w:spacing w:before="120" w:after="0"/>
    </w:pPr>
    <w:rPr>
      <w:rFonts w:ascii="Garamond" w:hAnsi="Garamond" w:eastAsia="Garamond" w:cs="Garamond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Times New Roman" w:cs="Arial"/>
      <w:color w:val="000000"/>
      <w:kern w:val="2"/>
      <w:sz w:val="20"/>
      <w:szCs w:val="20"/>
      <w:lang w:val="ru-RU" w:eastAsia="zh-CN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Style29" w:customStyle="1">
    <w:name w:val="Пункт"/>
    <w:basedOn w:val="Normal"/>
    <w:qFormat/>
    <w:pPr>
      <w:spacing w:lineRule="auto" w:line="360" w:before="120" w:after="0"/>
      <w:ind w:hanging="1134" w:left="1134" w:right="800"/>
    </w:pPr>
    <w:rPr>
      <w:rFonts w:ascii="Arial" w:hAnsi="Arial" w:eastAsia="Arial" w:cs="Arial"/>
      <w:b/>
      <w:i/>
      <w:szCs w:val="20"/>
    </w:rPr>
  </w:style>
  <w:style w:type="paragraph" w:styleId="112" w:customStyle="1">
    <w:name w:val="Абзац списка1"/>
    <w:basedOn w:val="Normal"/>
    <w:qFormat/>
    <w:pPr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Style3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</w:rPr>
  </w:style>
  <w:style w:type="paragraph" w:styleId="Style31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qFormat/>
    <w:pPr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3" w:customStyle="1">
    <w:name w:val="УРОВЕНЬ_(а)"/>
    <w:basedOn w:val="ListParagraph"/>
    <w:qFormat/>
    <w:pPr>
      <w:spacing w:lineRule="exact" w:line="360" w:before="120" w:after="0"/>
      <w:outlineLvl w:val="3"/>
    </w:pPr>
    <w:rPr>
      <w:sz w:val="26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outlineLvl w:val="4"/>
    </w:pPr>
    <w:rPr>
      <w:sz w:val="26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</w:pPr>
    <w:rPr>
      <w:sz w:val="26"/>
    </w:rPr>
  </w:style>
  <w:style w:type="paragraph" w:styleId="36" w:customStyle="1">
    <w:name w:val="УРОВЕНЬ_Абзац_тип3"/>
    <w:basedOn w:val="ListParagraph"/>
    <w:qFormat/>
    <w:pPr>
      <w:spacing w:lineRule="exact" w:line="360" w:before="120" w:after="0"/>
    </w:pPr>
    <w:rPr>
      <w:sz w:val="26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0"/>
        <w:numId w:val="8"/>
      </w:numPr>
      <w:spacing w:lineRule="exact" w:line="360" w:before="120" w:after="120"/>
      <w:jc w:val="right"/>
      <w:outlineLvl w:val="3"/>
    </w:pPr>
    <w:rPr>
      <w:sz w:val="26"/>
    </w:rPr>
  </w:style>
  <w:style w:type="paragraph" w:styleId="113" w:customStyle="1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hanging="567" w:left="567"/>
    </w:pPr>
    <w:rPr>
      <w:rFonts w:ascii="Arial" w:hAnsi="Arial" w:eastAsia="Times New Roman" w:cs="Arial"/>
      <w:bCs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outlineLvl w:val="0"/>
    </w:pPr>
    <w:rPr>
      <w:b/>
      <w:szCs w:val="20"/>
    </w:rPr>
  </w:style>
  <w:style w:type="paragraph" w:styleId="Style35" w:customStyle="1">
    <w:name w:val="Таблица текст"/>
    <w:basedOn w:val="Normal"/>
    <w:qFormat/>
    <w:pPr>
      <w:spacing w:before="40" w:after="40"/>
      <w:ind w:hanging="0" w:left="57" w:right="57"/>
    </w:pPr>
    <w:rPr>
      <w:szCs w:val="2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14" w:customStyle="1">
    <w:name w:val="УРОВЕНЬ_1."/>
    <w:basedOn w:val="ListParagraph"/>
    <w:qFormat/>
    <w:pPr>
      <w:keepNext w:val="true"/>
      <w:keepLines/>
      <w:spacing w:lineRule="auto" w:line="276" w:before="240" w:after="120"/>
      <w:outlineLvl w:val="0"/>
    </w:pPr>
    <w:rPr>
      <w:caps/>
      <w:sz w:val="28"/>
    </w:rPr>
  </w:style>
  <w:style w:type="paragraph" w:styleId="TOC6">
    <w:name w:val="TOC 6"/>
    <w:basedOn w:val="Normal"/>
    <w:next w:val="Normal"/>
    <w:pPr>
      <w:ind w:hanging="0" w:left="1120"/>
    </w:pPr>
    <w:rPr>
      <w:rFonts w:ascii="Calibri" w:hAnsi="Calibri" w:eastAsia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/>
    </w:pPr>
    <w:rPr>
      <w:rFonts w:ascii="Calibri" w:hAnsi="Calibri" w:eastAsia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left="1680"/>
    </w:pPr>
    <w:rPr>
      <w:rFonts w:ascii="Calibri" w:hAnsi="Calibri" w:eastAsia="Calibri" w:cs="Calibri"/>
      <w:sz w:val="20"/>
      <w:szCs w:val="20"/>
    </w:rPr>
  </w:style>
  <w:style w:type="paragraph" w:styleId="312" w:customStyle="1">
    <w:name w:val="Основной текст с отступом 31"/>
    <w:basedOn w:val="Normal"/>
    <w:qFormat/>
    <w:pPr>
      <w:spacing w:before="0" w:after="120"/>
      <w:ind w:hanging="0" w:left="283"/>
    </w:pPr>
    <w:rPr>
      <w:color w:val="00000A"/>
      <w:sz w:val="16"/>
      <w:szCs w:val="16"/>
    </w:rPr>
  </w:style>
  <w:style w:type="paragraph" w:styleId="37" w:customStyle="1">
    <w:name w:val="Абзац списка3"/>
    <w:basedOn w:val="Normal"/>
    <w:qFormat/>
    <w:pPr>
      <w:ind w:hanging="0" w:left="720"/>
    </w:pPr>
    <w:rPr>
      <w:rFonts w:eastAsia="Calibri"/>
      <w:color w:val="00000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zh-CN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РГ_номер текста табл"/>
    <w:basedOn w:val="ListParagraph"/>
    <w:qFormat/>
    <w:pPr>
      <w:ind w:hanging="0" w:left="0"/>
    </w:pPr>
    <w:rPr>
      <w:rFonts w:ascii="Calibri" w:hAnsi="Calibri" w:cs="Calibri"/>
    </w:rPr>
  </w:style>
  <w:style w:type="paragraph" w:styleId="115" w:customStyle="1">
    <w:name w:val="1.1. таблица"/>
    <w:basedOn w:val="Style39"/>
    <w:qFormat/>
    <w:pPr>
      <w:numPr>
        <w:ilvl w:val="0"/>
        <w:numId w:val="6"/>
      </w:numPr>
    </w:pPr>
    <w:rPr/>
  </w:style>
  <w:style w:type="paragraph" w:styleId="116" w:customStyle="1">
    <w:name w:val="Указатель1"/>
    <w:basedOn w:val="Normal"/>
    <w:qFormat/>
    <w:pPr>
      <w:suppressLineNumbers/>
    </w:pPr>
    <w:rPr/>
  </w:style>
  <w:style w:type="paragraph" w:styleId="117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Style40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OutlineListStyle" w:customStyle="1">
    <w:name w:val="WW_OutlineListStyle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3587</TotalTime>
  <Application>AlterOffice/2026.2.0.0$Linux_X86_64 LibreOffice_project/bc4ef1adf80b36c7a6365f8ed6cbf29021361edd</Application>
  <AppVersion>15.0000</AppVersion>
  <Pages>14</Pages>
  <Words>2975</Words>
  <Characters>20902</Characters>
  <CharactersWithSpaces>23994</CharactersWithSpaces>
  <Paragraphs>375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2024-12-24T09:03:00Z</dcterms:created>
  <dc:creator>Быстров Олег Геннадьевич</dc:creator>
  <dc:description/>
  <dc:language>ru-RU</dc:language>
  <cp:lastModifiedBy>koltcovami@corp.gidroogk.com</cp:lastModifiedBy>
  <cp:lastPrinted>2026-03-27T10:33:00Z</cp:lastPrinted>
  <dcterms:modified xsi:type="dcterms:W3CDTF">2026-10-13T11:16:28Z</dcterms:modified>
  <cp:revision>292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