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39856287"/>
      <w:bookmarkStart w:id="1" w:name="_Toc137554584"/>
      <w:bookmarkStart w:id="2" w:name="_Toc141696704"/>
      <w:bookmarkStart w:id="3" w:name="_Toc139856287"/>
      <w:bookmarkStart w:id="4" w:name="_Toc137554584"/>
      <w:bookmarkStart w:id="5" w:name="_Toc141696704"/>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375545841"/>
      <w:bookmarkStart w:id="7" w:name="_Toc1416967041"/>
      <w:bookmarkStart w:id="8" w:name="_Toc1398562871"/>
      <w:bookmarkStart w:id="9" w:name="_Toc1375545841"/>
      <w:bookmarkStart w:id="10" w:name="_Toc1416967041"/>
      <w:bookmarkStart w:id="11" w:name="_Toc139856287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pPr>
      <w:r>
        <w:rPr>
          <w:rFonts w:eastAsia="Calibri"/>
          <w:b/>
          <w:sz w:val="26"/>
          <w:szCs w:val="26"/>
        </w:rPr>
        <w:t>Технические требования</w:t>
      </w:r>
      <w:bookmarkStart w:id="12" w:name="primary-header__title"/>
      <w:bookmarkEnd w:id="12"/>
      <w:r>
        <w:rPr>
          <w:rFonts w:eastAsia="Calibri"/>
          <w:b/>
          <w:sz w:val="26"/>
          <w:szCs w:val="26"/>
        </w:rPr>
        <w:t xml:space="preserve"> </w:t>
      </w:r>
    </w:p>
    <w:p>
      <w:pPr>
        <w:pStyle w:val="Normal"/>
        <w:jc w:val="center"/>
        <w:rPr>
          <w:rFonts w:eastAsia="Calibri"/>
          <w:b/>
          <w:sz w:val="26"/>
          <w:szCs w:val="26"/>
        </w:rPr>
      </w:pPr>
      <w:r>
        <w:rPr>
          <w:rFonts w:eastAsia="Calibri"/>
          <w:b/>
          <w:sz w:val="26"/>
          <w:szCs w:val="26"/>
        </w:rPr>
      </w:r>
    </w:p>
    <w:p>
      <w:pPr>
        <w:pStyle w:val="Normal"/>
        <w:jc w:val="center"/>
        <w:rPr/>
      </w:pPr>
      <w:r>
        <w:rPr>
          <w:rStyle w:val="Style8"/>
          <w:rFonts w:eastAsia="Calibri" w:cs="Times New Roman"/>
          <w:b w:val="false"/>
          <w:bCs w:val="false"/>
          <w:i w:val="false"/>
          <w:iCs w:val="false"/>
          <w:color w:val="000000"/>
          <w:kern w:val="0"/>
          <w:sz w:val="26"/>
          <w:szCs w:val="26"/>
          <w:u w:val="none"/>
          <w:shd w:fill="auto" w:val="clear"/>
          <w:lang w:val="ru-RU" w:eastAsia="ru-RU" w:bidi="ar-SA"/>
        </w:rPr>
        <w:t>ОКПД2 26.30.23 Поставка системы проводной связи для нужд Волжского филиала</w:t>
      </w:r>
    </w:p>
    <w:p>
      <w:pPr>
        <w:pStyle w:val="Normal"/>
        <w:jc w:val="center"/>
        <w:rPr>
          <w:rStyle w:val="Style8"/>
          <w:rFonts w:eastAsia="Calibri" w:cs="Times New Roman"/>
          <w:b w:val="false"/>
          <w:bCs w:val="false"/>
          <w:i w:val="false"/>
          <w:i w:val="false"/>
          <w:iCs w:val="false"/>
          <w:color w:val="000000"/>
          <w:kern w:val="0"/>
          <w:sz w:val="26"/>
          <w:szCs w:val="26"/>
          <w:u w:val="none"/>
          <w:shd w:fill="auto" w:val="clear"/>
          <w:lang w:val="ru-RU" w:eastAsia="ru-RU" w:bidi="ar-SA"/>
        </w:rPr>
      </w:pPr>
      <w:r>
        <w:rPr>
          <w:rFonts w:eastAsia="Calibri" w:cs="Times New Roman"/>
          <w:b w:val="false"/>
          <w:bCs w:val="false"/>
          <w:i w:val="false"/>
          <w:iCs w:val="false"/>
          <w:color w:val="000000"/>
          <w:kern w:val="0"/>
          <w:sz w:val="26"/>
          <w:szCs w:val="26"/>
          <w:u w:val="none"/>
          <w:shd w:fill="auto" w:val="clear"/>
          <w:lang w:val="ru-RU" w:eastAsia="ru-RU" w:bidi="ar-SA"/>
        </w:rPr>
      </w:r>
    </w:p>
    <w:p>
      <w:pPr>
        <w:pStyle w:val="Normal"/>
        <w:jc w:val="center"/>
        <w:rPr/>
      </w:pPr>
      <w:r>
        <w:rPr>
          <w:rStyle w:val="Style8"/>
          <w:rFonts w:eastAsia="Calibri" w:cs="Times New Roman"/>
          <w:b w:val="false"/>
          <w:bCs w:val="false"/>
          <w:i w:val="false"/>
          <w:iCs w:val="false"/>
          <w:color w:val="000000"/>
          <w:kern w:val="0"/>
          <w:sz w:val="26"/>
          <w:szCs w:val="26"/>
          <w:u w:val="none"/>
          <w:shd w:fill="auto" w:val="clear"/>
          <w:lang w:val="ru-RU" w:eastAsia="ru-RU" w:bidi="ar-SA"/>
        </w:rPr>
        <w:t>лот №</w:t>
      </w:r>
    </w:p>
    <w:p>
      <w:pPr>
        <w:pStyle w:val="Normal"/>
        <w:widowControl w:val="false"/>
        <w:tabs>
          <w:tab w:val="clear" w:pos="708"/>
          <w:tab w:val="left" w:pos="426" w:leader="none"/>
        </w:tabs>
        <w:spacing w:before="120" w:after="120"/>
        <w:jc w:val="center"/>
        <w:rPr>
          <w:rStyle w:val="Style8"/>
          <w:rFonts w:ascii="Times New Roman" w:hAnsi="Times New Roman" w:eastAsia="Calibri" w:cs="Times New Roman"/>
          <w:bCs/>
          <w:i w:val="false"/>
          <w:i w:val="false"/>
          <w:color w:val="auto"/>
          <w:kern w:val="0"/>
          <w:sz w:val="26"/>
          <w:szCs w:val="26"/>
          <w:shd w:fill="auto" w:val="clear"/>
          <w:lang w:val="ru-RU" w:eastAsia="ru-RU" w:bidi="ar-SA"/>
        </w:rPr>
      </w:pPr>
      <w:r>
        <w:rPr>
          <w:rFonts w:eastAsia="Calibri" w:cs="Times New Roman"/>
          <w:bCs/>
          <w:i w:val="false"/>
          <w:color w:val="000000"/>
          <w:kern w:val="0"/>
          <w:sz w:val="26"/>
          <w:szCs w:val="26"/>
          <w:shd w:fill="auto" w:val="clear"/>
          <w:lang w:val="ru-RU" w:eastAsia="ru-RU" w:bidi="ar-SA"/>
        </w:rPr>
      </w:r>
    </w:p>
    <w:p>
      <w:pPr>
        <w:pStyle w:val="Normal"/>
        <w:keepNext w:val="true"/>
        <w:keepLines/>
        <w:jc w:val="center"/>
        <w:rPr>
          <w:rStyle w:val="Style8"/>
          <w:rFonts w:eastAsia="Calibri"/>
          <w:bCs/>
          <w:i w:val="false"/>
          <w:i w:val="false"/>
          <w:color w:val="C9211E"/>
          <w:sz w:val="26"/>
          <w:szCs w:val="26"/>
          <w:shd w:fill="auto" w:val="clear"/>
        </w:rPr>
      </w:pPr>
      <w:r>
        <w:rPr>
          <w:rFonts w:eastAsia="Calibri"/>
          <w:bCs/>
          <w:i w:val="false"/>
          <w:color w:val="C9211E"/>
          <w:sz w:val="26"/>
          <w:szCs w:val="26"/>
          <w:shd w:fill="auto" w:val="clear"/>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Heading4"/>
        <w:numPr>
          <w:ilvl w:val="0"/>
          <w:numId w:val="0"/>
        </w:numPr>
        <w:ind w:hanging="0" w:left="0"/>
        <w:rPr/>
      </w:pPr>
      <w:r>
        <w:rPr/>
      </w:r>
    </w:p>
    <w:p>
      <w:pPr>
        <w:pStyle w:val="Heading4"/>
        <w:numPr>
          <w:ilvl w:val="1"/>
          <w:numId w:val="3"/>
        </w:numPr>
        <w:rPr/>
      </w:pPr>
      <w:bookmarkStart w:id="13" w:name="_Toc46743506"/>
      <w:bookmarkStart w:id="14" w:name="_Toc184220612"/>
      <w:r>
        <w:rPr/>
        <w:t>Наименование закупаемой продукции</w:t>
      </w:r>
      <w:bookmarkEnd w:id="13"/>
      <w:bookmarkEnd w:id="14"/>
    </w:p>
    <w:p>
      <w:pPr>
        <w:pStyle w:val="Normal"/>
        <w:widowControl w:val="false"/>
        <w:tabs>
          <w:tab w:val="clear" w:pos="708"/>
          <w:tab w:val="left" w:pos="426" w:leader="none"/>
        </w:tabs>
        <w:spacing w:before="120" w:after="120"/>
        <w:rPr>
          <w:rStyle w:val="Style8"/>
          <w:b w:val="false"/>
          <w:bCs/>
          <w:sz w:val="24"/>
          <w:szCs w:val="24"/>
        </w:rPr>
      </w:pPr>
      <w:r>
        <w:rPr>
          <w:rFonts w:eastAsia="Calibri"/>
          <w:sz w:val="24"/>
          <w:szCs w:val="24"/>
          <w:lang w:eastAsia="x-none"/>
        </w:rPr>
        <w:t>ОКПД2 26.30.23 Поставка системы проводной связи для нужд Волжского филиала (далее — Продукция)</w:t>
      </w:r>
    </w:p>
    <w:p>
      <w:pPr>
        <w:pStyle w:val="Heading4"/>
        <w:numPr>
          <w:ilvl w:val="1"/>
          <w:numId w:val="3"/>
        </w:numPr>
        <w:spacing w:before="240" w:after="60"/>
        <w:ind w:hanging="431" w:left="431"/>
        <w:rPr/>
      </w:pPr>
      <w:bookmarkStart w:id="15" w:name="_Toc184220613"/>
      <w:bookmarkStart w:id="16" w:name="_Toc46743507"/>
      <w:r>
        <w:rPr/>
        <w:t xml:space="preserve">Цель </w:t>
      </w:r>
      <w:bookmarkEnd w:id="16"/>
      <w:r>
        <w:rPr>
          <w:lang w:val="ru-RU"/>
        </w:rPr>
        <w:t>использования закупаемой продукции:</w:t>
      </w:r>
      <w:bookmarkEnd w:id="15"/>
      <w:r>
        <w:rPr>
          <w:lang w:val="ru-RU"/>
        </w:rPr>
        <w:t xml:space="preserve"> </w:t>
      </w:r>
    </w:p>
    <w:p>
      <w:pPr>
        <w:pStyle w:val="Heading4"/>
        <w:spacing w:before="240" w:after="60"/>
        <w:ind w:hanging="0" w:left="0"/>
        <w:jc w:val="both"/>
        <w:rPr/>
      </w:pPr>
      <w:bookmarkStart w:id="17" w:name="_Toc184220614_Копия_1"/>
      <w:r>
        <w:rPr>
          <w:rStyle w:val="Style8"/>
          <w:b w:val="false"/>
          <w:bCs w:val="false"/>
          <w:i w:val="false"/>
          <w:shd w:fill="auto" w:val="clear"/>
          <w:lang w:val="ru-RU"/>
        </w:rPr>
        <w:t xml:space="preserve">Закупаемая продукция предназначена для выполнения работ на Волжской ГЭС для исполнения </w:t>
      </w:r>
      <w:bookmarkEnd w:id="17"/>
      <w:r>
        <w:rPr>
          <w:rStyle w:val="Style8"/>
          <w:rFonts w:eastAsia="Calibri" w:cs="Times New Roman"/>
          <w:b w:val="false"/>
          <w:bCs w:val="false"/>
          <w:i w:val="false"/>
          <w:color w:val="000000"/>
          <w:kern w:val="0"/>
          <w:sz w:val="24"/>
          <w:szCs w:val="24"/>
          <w:shd w:fill="auto" w:val="clear"/>
          <w:lang w:val="ru-RU" w:eastAsia="x-none" w:bidi="ar-SA"/>
        </w:rPr>
        <w:t>Договора  №</w:t>
      </w:r>
      <w:r>
        <w:rPr>
          <w:rStyle w:val="Style8"/>
          <w:rFonts w:eastAsia="Calibri" w:cs="Times New Roman"/>
          <w:b w:val="false"/>
          <w:bCs w:val="false"/>
          <w:i w:val="false"/>
          <w:color w:val="000000"/>
          <w:kern w:val="0"/>
          <w:sz w:val="24"/>
          <w:szCs w:val="24"/>
          <w:shd w:fill="FFFF00" w:val="clear"/>
          <w:lang w:val="ru-RU" w:eastAsia="x-none" w:bidi="ar-SA"/>
        </w:rPr>
        <w:t xml:space="preserve"> 4-ТПиР-ПРИ-БЕЗ-2018/ВЖ43/18 от 27.03.2018 г. «Модернизация комплексной системы безопасности филиала ПАО «РусГидро»-«Волжская ГЭС» им. Ф.Г. Логинова»</w:t>
      </w:r>
      <w:r>
        <w:rPr>
          <w:rStyle w:val="Style8"/>
          <w:rFonts w:eastAsia="Calibri" w:cs="Times New Roman"/>
          <w:b w:val="false"/>
          <w:bCs w:val="false"/>
          <w:i w:val="false"/>
          <w:color w:val="000000"/>
          <w:kern w:val="0"/>
          <w:sz w:val="24"/>
          <w:szCs w:val="24"/>
          <w:shd w:fill="auto" w:val="clear"/>
          <w:lang w:val="ru-RU" w:eastAsia="x-none" w:bidi="ar-SA"/>
        </w:rPr>
        <w:t>, заключенный между ПАО «РусГидро» и АО «Гидроремонт-ВКК».</w:t>
      </w:r>
    </w:p>
    <w:p>
      <w:pPr>
        <w:pStyle w:val="Heading4"/>
        <w:spacing w:before="240" w:after="60"/>
        <w:ind w:hanging="0" w:left="0"/>
        <w:jc w:val="both"/>
        <w:rPr>
          <w:rStyle w:val="Style8"/>
          <w:b w:val="false"/>
          <w:bCs w:val="false"/>
          <w:i w:val="false"/>
          <w:i w:val="false"/>
          <w:color w:val="000000"/>
          <w:shd w:fill="auto" w:val="clear"/>
          <w:lang w:val="ru-RU"/>
        </w:rPr>
      </w:pPr>
      <w:r>
        <w:rPr>
          <w:b w:val="false"/>
          <w:bCs w:val="false"/>
          <w:i w:val="false"/>
          <w:color w:val="000000"/>
          <w:shd w:fill="auto" w:val="clear"/>
          <w:lang w:val="ru-RU"/>
        </w:rPr>
      </w:r>
    </w:p>
    <w:p>
      <w:pPr>
        <w:pStyle w:val="Heading1"/>
        <w:keepLines/>
        <w:numPr>
          <w:ilvl w:val="0"/>
          <w:numId w:val="3"/>
        </w:numPr>
        <w:ind w:hanging="357" w:left="357"/>
        <w:jc w:val="center"/>
        <w:rPr>
          <w:color w:val="000000"/>
        </w:rPr>
      </w:pPr>
      <w:bookmarkStart w:id="18" w:name="_Toc184220615"/>
      <w:bookmarkStart w:id="19" w:name="_Toc51339693"/>
      <w:bookmarkStart w:id="20" w:name="_Toc50125126"/>
      <w:bookmarkStart w:id="21" w:name="_Toc46743510"/>
      <w:bookmarkEnd w:id="20"/>
      <w:bookmarkEnd w:id="21"/>
      <w:r>
        <w:rPr>
          <w:iCs/>
          <w:color w:val="000000"/>
        </w:rPr>
        <w:t>Требования к продукции</w:t>
      </w:r>
      <w:bookmarkEnd w:id="18"/>
      <w:bookmarkEnd w:id="19"/>
    </w:p>
    <w:p>
      <w:pPr>
        <w:pStyle w:val="Heading4"/>
        <w:numPr>
          <w:ilvl w:val="1"/>
          <w:numId w:val="3"/>
        </w:numPr>
        <w:rPr/>
      </w:pPr>
      <w:bookmarkStart w:id="22" w:name="_Toc184220616"/>
      <w:r>
        <w:rPr/>
        <w:t xml:space="preserve">Требования к объемам и срокам </w:t>
      </w:r>
      <w:r>
        <w:rPr>
          <w:lang w:val="ru-RU"/>
        </w:rPr>
        <w:t>поставки</w:t>
      </w:r>
      <w:bookmarkEnd w:id="22"/>
    </w:p>
    <w:p>
      <w:pPr>
        <w:pStyle w:val="Heading3"/>
        <w:numPr>
          <w:ilvl w:val="2"/>
          <w:numId w:val="3"/>
        </w:numPr>
        <w:rPr/>
      </w:pPr>
      <w:bookmarkStart w:id="23" w:name="_Toc184220617"/>
      <w:r>
        <w:rPr>
          <w:lang w:val="ru-RU"/>
        </w:rPr>
        <w:t>Перечень и объем закупаемой продукции</w:t>
      </w:r>
      <w:bookmarkEnd w:id="23"/>
    </w:p>
    <w:p>
      <w:pPr>
        <w:pStyle w:val="Heading1"/>
        <w:keepLines/>
        <w:tabs>
          <w:tab w:val="clear" w:pos="0"/>
        </w:tabs>
        <w:spacing w:before="240" w:after="60"/>
        <w:ind w:hanging="0" w:left="0"/>
        <w:rPr>
          <w:sz w:val="24"/>
          <w:szCs w:val="24"/>
          <w:lang w:val="ru-RU"/>
        </w:rPr>
      </w:pPr>
      <w:bookmarkStart w:id="24" w:name="_Toc184220618"/>
      <w:bookmarkStart w:id="25"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5"/>
      <w:r>
        <w:rPr>
          <w:sz w:val="24"/>
          <w:szCs w:val="24"/>
          <w:lang w:val="ru-RU"/>
        </w:rPr>
        <w:t>и объем закупаемой продукции</w:t>
      </w:r>
      <w:bookmarkEnd w:id="24"/>
    </w:p>
    <w:tbl>
      <w:tblPr>
        <w:tblW w:w="10007"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776"/>
        <w:gridCol w:w="7384"/>
        <w:gridCol w:w="960"/>
        <w:gridCol w:w="886"/>
      </w:tblGrid>
      <w:tr>
        <w:trPr/>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w:t>
            </w:r>
          </w:p>
          <w:p>
            <w:pPr>
              <w:pStyle w:val="Normal"/>
              <w:keepNext w:val="true"/>
              <w:widowControl w:val="false"/>
              <w:jc w:val="center"/>
              <w:rPr>
                <w:sz w:val="20"/>
                <w:szCs w:val="20"/>
              </w:rPr>
            </w:pPr>
            <w:r>
              <w:rPr>
                <w:sz w:val="20"/>
                <w:szCs w:val="20"/>
              </w:rPr>
              <w:t>п/п</w:t>
            </w:r>
          </w:p>
        </w:tc>
        <w:tc>
          <w:tcPr>
            <w:tcW w:w="7384"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0"/>
                <w:szCs w:val="20"/>
              </w:rPr>
            </w:pPr>
            <w:r>
              <w:rPr>
                <w:sz w:val="20"/>
                <w:szCs w:val="20"/>
              </w:rPr>
              <w:t>Наименование продукции</w:t>
            </w:r>
          </w:p>
        </w:tc>
        <w:tc>
          <w:tcPr>
            <w:tcW w:w="960"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0"/>
                <w:szCs w:val="20"/>
              </w:rPr>
            </w:pPr>
            <w:r>
              <w:rPr>
                <w:sz w:val="20"/>
                <w:szCs w:val="20"/>
              </w:rPr>
              <w:t>Ед.изм.</w:t>
            </w:r>
          </w:p>
        </w:tc>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Кол-во</w:t>
            </w:r>
          </w:p>
        </w:tc>
      </w:tr>
      <w:tr>
        <w:trPr/>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1</w:t>
            </w:r>
          </w:p>
        </w:tc>
        <w:tc>
          <w:tcPr>
            <w:tcW w:w="7384" w:type="dxa"/>
            <w:tcBorders>
              <w:top w:val="single" w:sz="4" w:space="0" w:color="000000"/>
              <w:left w:val="single" w:sz="4" w:space="0" w:color="000000"/>
              <w:bottom w:val="single" w:sz="4" w:space="0" w:color="000000"/>
            </w:tcBorders>
          </w:tcPr>
          <w:p>
            <w:pPr>
              <w:pStyle w:val="Normal"/>
              <w:widowControl w:val="false"/>
              <w:jc w:val="center"/>
              <w:rPr>
                <w:sz w:val="20"/>
                <w:szCs w:val="20"/>
              </w:rPr>
            </w:pPr>
            <w:r>
              <w:rPr>
                <w:b/>
                <w:sz w:val="20"/>
                <w:szCs w:val="20"/>
              </w:rPr>
              <w:t>2</w:t>
            </w:r>
          </w:p>
        </w:tc>
        <w:tc>
          <w:tcPr>
            <w:tcW w:w="960" w:type="dxa"/>
            <w:tcBorders>
              <w:top w:val="single" w:sz="4" w:space="0" w:color="000000"/>
              <w:left w:val="single" w:sz="4" w:space="0" w:color="000000"/>
              <w:bottom w:val="single" w:sz="4" w:space="0" w:color="000000"/>
            </w:tcBorders>
          </w:tcPr>
          <w:p>
            <w:pPr>
              <w:pStyle w:val="Normal"/>
              <w:widowControl w:val="false"/>
              <w:jc w:val="center"/>
              <w:rPr>
                <w:sz w:val="20"/>
                <w:szCs w:val="20"/>
              </w:rPr>
            </w:pPr>
            <w:r>
              <w:rPr>
                <w:sz w:val="20"/>
                <w:szCs w:val="20"/>
              </w:rPr>
              <w:t>4</w:t>
            </w:r>
          </w:p>
        </w:tc>
        <w:tc>
          <w:tcPr>
            <w:tcW w:w="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5</w:t>
            </w:r>
          </w:p>
        </w:tc>
      </w:tr>
      <w:tr>
        <w:trPr/>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7384" w:type="dxa"/>
            <w:tcBorders>
              <w:top w:val="single" w:sz="4" w:space="0" w:color="000000"/>
              <w:left w:val="single" w:sz="4" w:space="0" w:color="000000"/>
              <w:bottom w:val="single" w:sz="4" w:space="0" w:color="000000"/>
            </w:tcBorders>
            <w:vAlign w:val="center"/>
          </w:tcPr>
          <w:p>
            <w:pPr>
              <w:pStyle w:val="Normal"/>
              <w:bidi w:val="0"/>
              <w:jc w:val="left"/>
              <w:rPr/>
            </w:pPr>
            <w:r>
              <w:rPr>
                <w:b w:val="false"/>
                <w:i w:val="false"/>
                <w:strike w:val="false"/>
                <w:dstrike w:val="false"/>
                <w:outline w:val="false"/>
                <w:shadow w:val="false"/>
                <w:color w:val="000000"/>
                <w:sz w:val="20"/>
                <w:szCs w:val="20"/>
                <w:u w:val="none"/>
                <w:em w:val="none"/>
              </w:rPr>
              <w:t>Кабель телефонной связи ПРППМ 2х0,9</w:t>
            </w:r>
          </w:p>
        </w:tc>
        <w:tc>
          <w:tcPr>
            <w:tcW w:w="960" w:type="dxa"/>
            <w:tcBorders>
              <w:top w:val="single" w:sz="4" w:space="0" w:color="000000"/>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886"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199</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1.2</w:t>
            </w:r>
          </w:p>
        </w:tc>
        <w:tc>
          <w:tcPr>
            <w:tcW w:w="7384" w:type="dxa"/>
            <w:tcBorders>
              <w:left w:val="single" w:sz="4" w:space="0" w:color="000000"/>
              <w:bottom w:val="single" w:sz="4" w:space="0" w:color="000000"/>
            </w:tcBorders>
            <w:vAlign w:val="center"/>
          </w:tcPr>
          <w:p>
            <w:pPr>
              <w:pStyle w:val="Normal"/>
              <w:bidi w:val="0"/>
              <w:jc w:val="left"/>
              <w:rPr>
                <w:rFonts w:ascii="Times New Roman" w:hAnsi="Times New Roman"/>
                <w:sz w:val="20"/>
                <w:szCs w:val="20"/>
              </w:rPr>
            </w:pPr>
            <w:r>
              <w:rPr>
                <w:b w:val="false"/>
                <w:i w:val="false"/>
                <w:strike w:val="false"/>
                <w:dstrike w:val="false"/>
                <w:outline w:val="false"/>
                <w:shadow w:val="false"/>
                <w:color w:val="000000"/>
                <w:sz w:val="20"/>
                <w:szCs w:val="20"/>
                <w:u w:val="none"/>
                <w:em w:val="none"/>
              </w:rPr>
              <w:t>Кабель телефонный ТППэп-НДГ 5х2х0,4</w:t>
            </w:r>
          </w:p>
          <w:p>
            <w:pPr>
              <w:pStyle w:val="Normal"/>
              <w:widowControl/>
              <w:suppressAutoHyphens w:val="true"/>
              <w:spacing w:before="0" w:after="0"/>
              <w:ind w:hanging="0" w:left="0" w:right="0"/>
              <w:jc w:val="left"/>
              <w:rPr>
                <w:rFonts w:ascii="Times New Roman" w:hAnsi="Times New Roman"/>
                <w:sz w:val="20"/>
                <w:szCs w:val="20"/>
              </w:rPr>
            </w:pPr>
            <w:r>
              <w:rPr>
                <w:sz w:val="20"/>
                <w:szCs w:val="20"/>
              </w:rPr>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5 187</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1.3</w:t>
            </w:r>
          </w:p>
        </w:tc>
        <w:tc>
          <w:tcPr>
            <w:tcW w:w="7384" w:type="dxa"/>
            <w:tcBorders>
              <w:left w:val="single" w:sz="4" w:space="0" w:color="000000"/>
              <w:bottom w:val="single" w:sz="4" w:space="0" w:color="000000"/>
            </w:tcBorders>
            <w:vAlign w:val="center"/>
          </w:tcPr>
          <w:p>
            <w:pPr>
              <w:pStyle w:val="Normal"/>
              <w:bidi w:val="0"/>
              <w:jc w:val="left"/>
              <w:rPr>
                <w:rFonts w:ascii="Times New Roman" w:hAnsi="Times New Roman"/>
                <w:sz w:val="20"/>
                <w:szCs w:val="20"/>
              </w:rPr>
            </w:pPr>
            <w:r>
              <w:rPr>
                <w:b w:val="false"/>
                <w:i w:val="false"/>
                <w:strike w:val="false"/>
                <w:dstrike w:val="false"/>
                <w:outline w:val="false"/>
                <w:shadow w:val="false"/>
                <w:color w:val="000000"/>
                <w:sz w:val="20"/>
                <w:szCs w:val="20"/>
                <w:u w:val="none"/>
                <w:em w:val="none"/>
              </w:rPr>
              <w:t>Кабель телефонный ТППэп-НДГ 20х2х0,4</w:t>
            </w:r>
          </w:p>
          <w:p>
            <w:pPr>
              <w:pStyle w:val="Normal"/>
              <w:widowControl/>
              <w:suppressAutoHyphens w:val="true"/>
              <w:spacing w:before="0" w:after="0"/>
              <w:ind w:hanging="0" w:left="0" w:right="0"/>
              <w:jc w:val="lef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2 800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1.4</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Настенный шкаф 507х507х231 с вертикальным расположением кассеты и плат Шкаф 4U DX-500-BX-96</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1.5</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Кассета с кросс-платой (19"/4U) с блоком питания Кассета DX-500N-Cr-64D</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1.6</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управления (абонентский кластер) (исп.C) для конфигурации Dual с двумя ИКМ- трактами. Поддерживает ведомственные протоколы сигнализаций. Закупка дополнительных лицензий не требуется Модуль DX-500L-ADK DUAL-C</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1.7</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Гибридный модуль на шестнадцать внутренних аналоговых абонентов и восемь цифровых портов Upo Модуль электронный DX-500N-16S/8UpN</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1.8</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на 16 внутренних аналоговых абонентов Модуль электронный DX-500N-16S</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1.9</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на 16 внутренних аналоговых абонентов (устанавливается на модуль 16S) Модуль электронный DX-500N-16SD</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1.10</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для модулей расширения, длина 5 м Кабель DX-Cabl-AK-S-5 верхний</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1.11</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для модулей расширения, длина 5 м Кабель DX-Cabl-AK-S-5 нижний</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1.12</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для модулей ADK DUAL, длина 5 м Кабель ADK-5</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1.13</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Цифровой пульт (комплект цифрового пульта связи, 6-строчный дисплей с подсветкой и регулируемым наклоном, 8 предустановленных клавиш, 6 свободно программируемых клавиш, клавиши быстрого набора и клавиши переключения линий, полнодуплексная громкая связь, разъем для подключения гарнитуры, USB-разъем) PS-OS40T</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1.14</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Консоль к цифровому пульту (комплект приставки на 90 клавиш к цифровому пульту на базе OpenStage Busy Lamp Field 40 с блоком питания) PS-OS90</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1.15</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Аппарат телефонный Телта-2125ЦБ, прямая связь, без НН, настольное исполнение Телта-2125ЦБ</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1.16</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Антивандальный всепогодный промышленный телефон Termit PublicPhone WHS101HL</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25</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1.17</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Преобразователь интерфейсов 2 порта RS232 - Ethernet (предназначен для управления УПАТС через Ethernet) GL-MC-UTPRS2-232</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1.18</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Блок питания для преобразователя MDR-20-24</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1.19</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Автономный аудиорегистратор Smart Logger BOX STC-H730</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1.20</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Автономный аудиорегистратор Smart Logger BOX STC-H732</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1.21</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Сервер централизованного сбора, хранения и анализа аудиоинформации многоканальной системы записи переговоров, регистрации и архивирования звуковых сигналов</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1.22</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Программное обеспечение для конфигурирования и администрирования УПАТС «МиниКом DX-500» DX-РМО-ПО</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1.23</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Коробка распределительная на 200 пар DB-200P</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1.24</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Плинт LSA-PLUS 2/10 с размыкаемыми контактами DM-10P</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1.25</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Размыкаемый модуль на 1 пару с защитой по перенапряжению, 250В МВТ-1Н</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b w:val="false"/>
                <w:bCs w:val="false"/>
                <w:color w:val="000000"/>
                <w:kern w:val="0"/>
                <w:sz w:val="20"/>
                <w:szCs w:val="20"/>
                <w:lang w:val="ru-RU" w:eastAsia="ru-RU" w:bidi="ar-SA"/>
              </w:rPr>
              <w:t>50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1.26</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Коробка распределительная на 30 пар O-DB-30P</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1.27</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Розетка телефонная BLANCA наружная телефонная RJ11, с изолирующей пластиной, молочный</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1.28</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Телефонный коннектор NIKOMAX RJ11/6P4C NMC-RJ64RE06UC1-100</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100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1.29</w:t>
            </w:r>
          </w:p>
        </w:tc>
        <w:tc>
          <w:tcPr>
            <w:tcW w:w="7384"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Короб с направляющими, белый TA-GN 100x40</w:t>
            </w:r>
          </w:p>
        </w:tc>
        <w:tc>
          <w:tcPr>
            <w:tcW w:w="960"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88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40</w:t>
            </w:r>
          </w:p>
        </w:tc>
      </w:tr>
    </w:tbl>
    <w:p>
      <w:pPr>
        <w:pStyle w:val="Heading3"/>
        <w:numPr>
          <w:ilvl w:val="2"/>
          <w:numId w:val="3"/>
        </w:numPr>
        <w:rPr>
          <w:lang w:val="ru-RU"/>
        </w:rPr>
      </w:pPr>
      <w:bookmarkStart w:id="26" w:name="_Toc184220619"/>
      <w:bookmarkStart w:id="27" w:name="_Toc51339696"/>
      <w:bookmarkStart w:id="28" w:name="_Toc75446577"/>
      <w:bookmarkEnd w:id="28"/>
      <w:r>
        <w:rPr>
          <w:lang w:val="ru-RU"/>
        </w:rPr>
        <w:t xml:space="preserve">Требования </w:t>
      </w:r>
      <w:bookmarkEnd w:id="27"/>
      <w:r>
        <w:rPr>
          <w:lang w:val="ru-RU"/>
        </w:rPr>
        <w:t>к срокам поставки продукции и оказания сопутствующих услуг</w:t>
      </w:r>
      <w:bookmarkEnd w:id="26"/>
    </w:p>
    <w:p>
      <w:pPr>
        <w:pStyle w:val="Heading1"/>
        <w:keepLines/>
        <w:tabs>
          <w:tab w:val="clear" w:pos="0"/>
        </w:tabs>
        <w:spacing w:before="240" w:after="60"/>
        <w:ind w:hanging="0" w:left="0"/>
        <w:rPr>
          <w:sz w:val="24"/>
          <w:szCs w:val="24"/>
          <w:lang w:val="ru-RU"/>
        </w:rPr>
      </w:pPr>
      <w:bookmarkStart w:id="29" w:name="_Toc184220620"/>
      <w:bookmarkStart w:id="30" w:name="_Toc51339697"/>
      <w:bookmarkStart w:id="31" w:name="_Toc50125127"/>
      <w:bookmarkStart w:id="32" w:name="_Toc501251261"/>
      <w:bookmarkEnd w:id="32"/>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3" w:name="_Hlk50465284"/>
      <w:r>
        <w:rPr>
          <w:sz w:val="24"/>
          <w:szCs w:val="24"/>
        </w:rPr>
        <w:t xml:space="preserve">Требования по срокам </w:t>
      </w:r>
      <w:bookmarkEnd w:id="30"/>
      <w:bookmarkEnd w:id="31"/>
      <w:bookmarkEnd w:id="33"/>
      <w:r>
        <w:rPr>
          <w:sz w:val="24"/>
          <w:szCs w:val="24"/>
          <w:lang w:val="ru-RU"/>
        </w:rPr>
        <w:t>поставки продукции</w:t>
      </w:r>
      <w:bookmarkEnd w:id="29"/>
      <w:r>
        <w:rPr>
          <w:sz w:val="24"/>
          <w:szCs w:val="24"/>
          <w:lang w:val="ru-RU"/>
        </w:rPr>
        <w:t xml:space="preserve"> </w:t>
      </w:r>
    </w:p>
    <w:tbl>
      <w:tblPr>
        <w:tblW w:w="10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67"/>
        <w:gridCol w:w="3313"/>
        <w:gridCol w:w="2940"/>
        <w:gridCol w:w="3039"/>
      </w:tblGrid>
      <w:tr>
        <w:trPr/>
        <w:tc>
          <w:tcPr>
            <w:tcW w:w="7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3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9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0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67"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3313"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4"/>
                <w:szCs w:val="24"/>
              </w:rPr>
            </w:pPr>
            <w:r>
              <w:rPr>
                <w:b w:val="false"/>
                <w:i w:val="false"/>
                <w:strike w:val="false"/>
                <w:dstrike w:val="false"/>
                <w:outline w:val="false"/>
                <w:shadow w:val="false"/>
                <w:sz w:val="24"/>
                <w:szCs w:val="24"/>
                <w:u w:val="none"/>
                <w:em w:val="none"/>
              </w:rPr>
              <w:t>ОКПД2 26.30.23 Поставка системы проводной связи для нужд Волжского филиала</w:t>
            </w:r>
          </w:p>
        </w:tc>
        <w:tc>
          <w:tcPr>
            <w:tcW w:w="2940"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С даты подписания договора</w:t>
            </w:r>
          </w:p>
        </w:tc>
        <w:tc>
          <w:tcPr>
            <w:tcW w:w="3039"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color w:val="000000"/>
                <w:sz w:val="24"/>
                <w:szCs w:val="24"/>
              </w:rPr>
              <w:t>В течение 60 календарных дней, с даты подписания договора*</w:t>
            </w:r>
          </w:p>
        </w:tc>
      </w:tr>
      <w:tr>
        <w:trPr/>
        <w:tc>
          <w:tcPr>
            <w:tcW w:w="10059" w:type="dxa"/>
            <w:gridSpan w:val="4"/>
            <w:tcBorders>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*сроки установлены согласно требованиям договора подряда указанного в п.1.3</w:t>
            </w:r>
          </w:p>
        </w:tc>
      </w:tr>
    </w:tbl>
    <w:p>
      <w:pPr>
        <w:pStyle w:val="Heading4"/>
        <w:numPr>
          <w:ilvl w:val="1"/>
          <w:numId w:val="3"/>
        </w:numPr>
        <w:rPr/>
      </w:pPr>
      <w:bookmarkStart w:id="34" w:name="_Toc184220621"/>
      <w:bookmarkStart w:id="35" w:name="_Toc46743511"/>
      <w:bookmarkStart w:id="36" w:name="_Toc75446580"/>
      <w:bookmarkEnd w:id="36"/>
      <w:r>
        <w:rPr/>
        <w:t xml:space="preserve">Требования к </w:t>
      </w:r>
      <w:bookmarkEnd w:id="35"/>
      <w:r>
        <w:rPr>
          <w:lang w:val="ru-RU"/>
        </w:rPr>
        <w:t>качеству продукции</w:t>
      </w:r>
      <w:bookmarkEnd w:id="34"/>
    </w:p>
    <w:p>
      <w:pPr>
        <w:pStyle w:val="Heading1"/>
        <w:tabs>
          <w:tab w:val="clear" w:pos="0"/>
        </w:tabs>
        <w:spacing w:before="240" w:after="60"/>
        <w:ind w:hanging="0" w:left="0"/>
        <w:rPr>
          <w:sz w:val="24"/>
          <w:szCs w:val="24"/>
        </w:rPr>
      </w:pPr>
      <w:bookmarkStart w:id="37" w:name="_Toc184220622"/>
      <w:r>
        <w:rPr>
          <w:sz w:val="24"/>
          <w:szCs w:val="24"/>
        </w:rPr>
        <w:t>Таблица </w:t>
      </w:r>
      <w:r>
        <w:rPr>
          <w:sz w:val="24"/>
          <w:szCs w:val="24"/>
          <w:lang w:val="ru-RU"/>
        </w:rPr>
        <w:t>3</w:t>
      </w:r>
      <w:r>
        <w:rPr>
          <w:sz w:val="24"/>
          <w:szCs w:val="24"/>
        </w:rPr>
        <w:t xml:space="preserve">. Требования к </w:t>
      </w:r>
      <w:bookmarkEnd w:id="37"/>
      <w:r>
        <w:rPr>
          <w:sz w:val="24"/>
          <w:szCs w:val="24"/>
          <w:lang w:val="ru-RU"/>
        </w:rPr>
        <w:t>качеству продукции</w:t>
      </w:r>
      <w:r>
        <w:rPr>
          <w:sz w:val="24"/>
          <w:szCs w:val="24"/>
        </w:rPr>
        <w:t xml:space="preserve"> </w:t>
      </w:r>
    </w:p>
    <w:p>
      <w:pPr>
        <w:pStyle w:val="Normal"/>
        <w:jc w:val="both"/>
        <w:rPr>
          <w:sz w:val="24"/>
          <w:szCs w:val="24"/>
        </w:rPr>
      </w:pPr>
      <w:r>
        <w:rPr>
          <w:b/>
          <w:bCs/>
          <w:sz w:val="24"/>
          <w:szCs w:val="24"/>
        </w:rPr>
        <w:t>Наименование продукции:</w:t>
      </w:r>
      <w:r>
        <w:rPr>
          <w:b w:val="false"/>
          <w:bCs w:val="false"/>
          <w:sz w:val="24"/>
          <w:szCs w:val="24"/>
        </w:rPr>
        <w:t xml:space="preserve"> ОКПД2 26.30.23 Поставка системы проводной связи для нужд Волжского филиала</w:t>
      </w:r>
    </w:p>
    <w:tbl>
      <w:tblPr>
        <w:tblStyle w:val="affff6"/>
        <w:tblW w:w="1003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672"/>
        <w:gridCol w:w="5674"/>
        <w:gridCol w:w="1298"/>
        <w:gridCol w:w="1248"/>
        <w:gridCol w:w="1141"/>
      </w:tblGrid>
      <w:tr>
        <w:trPr/>
        <w:tc>
          <w:tcPr>
            <w:tcW w:w="672" w:type="dxa"/>
            <w:vMerge w:val="restart"/>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5674" w:type="dxa"/>
            <w:vMerge w:val="restart"/>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bCs/>
                <w:kern w:val="0"/>
                <w:sz w:val="20"/>
                <w:szCs w:val="20"/>
                <w:lang w:val="ru-RU" w:eastAsia="ru-RU" w:bidi="ar-SA"/>
              </w:rPr>
              <w:t>Наименование параметра</w:t>
            </w:r>
          </w:p>
        </w:tc>
        <w:tc>
          <w:tcPr>
            <w:tcW w:w="1298" w:type="dxa"/>
            <w:vMerge w:val="restart"/>
            <w:tcBorders>
              <w:right w:val="nil"/>
            </w:tcBorders>
            <w:vAlign w:val="center"/>
          </w:tcPr>
          <w:p>
            <w:pPr>
              <w:pStyle w:val="Normal"/>
              <w:widowControl w:val="false"/>
              <w:spacing w:before="0" w:after="0"/>
              <w:jc w:val="center"/>
              <w:rPr>
                <w:rFonts w:ascii="Times New Roman" w:hAnsi="Times New Roman"/>
                <w:sz w:val="20"/>
                <w:szCs w:val="20"/>
              </w:rPr>
            </w:pPr>
            <w:r>
              <w:rPr>
                <w:rFonts w:eastAsia="Times New Roman"/>
                <w:b/>
                <w:bCs/>
                <w:sz w:val="20"/>
                <w:szCs w:val="20"/>
                <w:lang w:eastAsia="ru-RU"/>
              </w:rPr>
              <w:t>Требование заказчика</w:t>
            </w:r>
          </w:p>
        </w:tc>
        <w:tc>
          <w:tcPr>
            <w:tcW w:w="2389" w:type="dxa"/>
            <w:gridSpan w:val="2"/>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Способ подтверждения участником соответствия требованиям</w:t>
            </w:r>
          </w:p>
        </w:tc>
      </w:tr>
      <w:tr>
        <w:trPr/>
        <w:tc>
          <w:tcPr>
            <w:tcW w:w="672" w:type="dxa"/>
            <w:vMerge w:val="continue"/>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5674" w:type="dxa"/>
            <w:vMerge w:val="continue"/>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1298" w:type="dxa"/>
            <w:vMerge w:val="continue"/>
            <w:tcBorders>
              <w:right w:val="nil"/>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1248" w:type="dxa"/>
            <w:tcBorders>
              <w:top w:val="nil"/>
              <w:right w:val="nil"/>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Согласие с требованием/ указание характеристик</w:t>
            </w:r>
          </w:p>
        </w:tc>
        <w:tc>
          <w:tcPr>
            <w:tcW w:w="1141" w:type="dxa"/>
            <w:tcBorders>
              <w:top w:val="nil"/>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Предоставление подтверждающего документа или иной способ подтверждения</w:t>
            </w:r>
          </w:p>
        </w:tc>
      </w:tr>
      <w:tr>
        <w:trPr/>
        <w:tc>
          <w:tcPr>
            <w:tcW w:w="672" w:type="dxa"/>
            <w:tcBorders/>
            <w:vAlign w:val="center"/>
          </w:tcPr>
          <w:p>
            <w:pPr>
              <w:pStyle w:val="Normal"/>
              <w:widowControl w:val="false"/>
              <w:suppressAutoHyphens w:val="true"/>
              <w:spacing w:before="60" w:after="60"/>
              <w:jc w:val="center"/>
              <w:rPr>
                <w:b/>
                <w:bCs/>
                <w:sz w:val="20"/>
                <w:szCs w:val="20"/>
              </w:rPr>
            </w:pPr>
            <w:r>
              <w:rPr>
                <w:rFonts w:eastAsia="Times New Roman" w:cs="Times New Roman"/>
                <w:b/>
                <w:bCs/>
                <w:kern w:val="0"/>
                <w:sz w:val="20"/>
                <w:szCs w:val="20"/>
                <w:lang w:val="ru-RU" w:eastAsia="ru-RU" w:bidi="ar-SA"/>
              </w:rPr>
              <w:t>1</w:t>
            </w:r>
          </w:p>
        </w:tc>
        <w:tc>
          <w:tcPr>
            <w:tcW w:w="5674" w:type="dxa"/>
            <w:tcBorders/>
            <w:vAlign w:val="center"/>
          </w:tcPr>
          <w:p>
            <w:pPr>
              <w:pStyle w:val="Normal"/>
              <w:widowControl w:val="false"/>
              <w:suppressAutoHyphens w:val="true"/>
              <w:spacing w:before="0" w:after="0"/>
              <w:jc w:val="center"/>
              <w:rPr>
                <w:b/>
                <w:bCs/>
                <w:sz w:val="20"/>
                <w:szCs w:val="20"/>
              </w:rPr>
            </w:pPr>
            <w:r>
              <w:rPr>
                <w:rFonts w:eastAsia="Times New Roman" w:cs="Times New Roman"/>
                <w:b/>
                <w:bCs/>
                <w:kern w:val="0"/>
                <w:sz w:val="20"/>
                <w:szCs w:val="20"/>
                <w:lang w:val="ru-RU" w:eastAsia="ru-RU" w:bidi="ar-SA"/>
              </w:rPr>
              <w:t>2</w:t>
            </w:r>
          </w:p>
        </w:tc>
        <w:tc>
          <w:tcPr>
            <w:tcW w:w="1298" w:type="dxa"/>
            <w:tcBorders>
              <w:right w:val="nil"/>
            </w:tcBorders>
            <w:vAlign w:val="center"/>
          </w:tcPr>
          <w:p>
            <w:pPr>
              <w:pStyle w:val="Normal"/>
              <w:widowControl w:val="false"/>
              <w:suppressAutoHyphens w:val="true"/>
              <w:spacing w:before="0" w:after="0"/>
              <w:jc w:val="center"/>
              <w:rPr>
                <w:b/>
                <w:bCs/>
                <w:sz w:val="20"/>
                <w:szCs w:val="20"/>
              </w:rPr>
            </w:pPr>
            <w:r>
              <w:rPr>
                <w:rFonts w:eastAsia="Times New Roman" w:cs="Times New Roman"/>
                <w:b/>
                <w:bCs/>
                <w:kern w:val="0"/>
                <w:sz w:val="20"/>
                <w:szCs w:val="20"/>
                <w:lang w:val="ru-RU" w:eastAsia="ru-RU" w:bidi="ar-SA"/>
              </w:rPr>
              <w:t>3</w:t>
            </w:r>
          </w:p>
        </w:tc>
        <w:tc>
          <w:tcPr>
            <w:tcW w:w="1248" w:type="dxa"/>
            <w:tcBorders>
              <w:right w:val="nil"/>
            </w:tcBorders>
            <w:vAlign w:val="center"/>
          </w:tcPr>
          <w:p>
            <w:pPr>
              <w:pStyle w:val="Normal"/>
              <w:widowControl w:val="false"/>
              <w:suppressAutoHyphens w:val="true"/>
              <w:spacing w:before="0" w:after="0"/>
              <w:jc w:val="center"/>
              <w:rPr>
                <w:b/>
                <w:bCs/>
                <w:sz w:val="20"/>
                <w:szCs w:val="20"/>
              </w:rPr>
            </w:pPr>
            <w:r>
              <w:rPr>
                <w:b/>
                <w:bCs/>
                <w:sz w:val="20"/>
                <w:szCs w:val="20"/>
              </w:rPr>
              <w:t>4</w:t>
            </w:r>
          </w:p>
        </w:tc>
        <w:tc>
          <w:tcPr>
            <w:tcW w:w="1141" w:type="dxa"/>
            <w:tcBorders/>
            <w:vAlign w:val="center"/>
          </w:tcPr>
          <w:p>
            <w:pPr>
              <w:pStyle w:val="Normal"/>
              <w:widowControl w:val="false"/>
              <w:suppressAutoHyphens w:val="true"/>
              <w:spacing w:before="0" w:after="0"/>
              <w:jc w:val="center"/>
              <w:rPr>
                <w:b/>
                <w:bCs/>
                <w:sz w:val="20"/>
                <w:szCs w:val="20"/>
              </w:rPr>
            </w:pPr>
            <w:r>
              <w:rPr>
                <w:b/>
                <w:bCs/>
                <w:sz w:val="20"/>
                <w:szCs w:val="20"/>
              </w:rPr>
              <w:t>5</w:t>
            </w:r>
          </w:p>
        </w:tc>
      </w:tr>
      <w:tr>
        <w:trPr>
          <w:trHeight w:val="510" w:hRule="atLeast"/>
        </w:trPr>
        <w:tc>
          <w:tcPr>
            <w:tcW w:w="672" w:type="dxa"/>
            <w:tcBorders>
              <w:right w:val="nil"/>
            </w:tcBorders>
            <w:vAlign w:val="center"/>
          </w:tcPr>
          <w:p>
            <w:pPr>
              <w:pStyle w:val="Normal"/>
              <w:widowControl w:val="false"/>
              <w:suppressAutoHyphens w:val="true"/>
              <w:spacing w:before="0" w:after="0"/>
              <w:jc w:val="both"/>
              <w:rPr>
                <w:sz w:val="24"/>
                <w:szCs w:val="24"/>
              </w:rPr>
            </w:pPr>
            <w:r>
              <w:rPr>
                <w:rFonts w:eastAsia="Times New Roman" w:cs="Times New Roman"/>
                <w:b/>
                <w:kern w:val="0"/>
                <w:sz w:val="24"/>
                <w:szCs w:val="24"/>
                <w:lang w:val="ru-RU" w:eastAsia="ru-RU" w:bidi="ar-SA"/>
              </w:rPr>
              <w:t>1</w:t>
            </w:r>
          </w:p>
        </w:tc>
        <w:tc>
          <w:tcPr>
            <w:tcW w:w="6972" w:type="dxa"/>
            <w:gridSpan w:val="2"/>
            <w:tcBorders>
              <w:right w:val="nil"/>
            </w:tcBorders>
            <w:vAlign w:val="center"/>
          </w:tcPr>
          <w:p>
            <w:pPr>
              <w:pStyle w:val="Normal"/>
              <w:widowControl w:val="false"/>
              <w:suppressAutoHyphens w:val="true"/>
              <w:spacing w:before="0" w:after="0"/>
              <w:jc w:val="both"/>
              <w:rPr>
                <w:b/>
                <w:bCs/>
                <w:sz w:val="24"/>
                <w:szCs w:val="24"/>
              </w:rPr>
            </w:pPr>
            <w:r>
              <w:rPr>
                <w:b/>
                <w:bCs/>
                <w:sz w:val="24"/>
                <w:szCs w:val="24"/>
              </w:rPr>
              <w:t>Требования к техническим и функциональным характеристикам (включая гарантируемые показатели)</w:t>
            </w:r>
          </w:p>
        </w:tc>
        <w:tc>
          <w:tcPr>
            <w:tcW w:w="1248" w:type="dxa"/>
            <w:vMerge w:val="restart"/>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Участник должен представить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tc>
        <w:tc>
          <w:tcPr>
            <w:tcW w:w="1141" w:type="dxa"/>
            <w:vMerge w:val="restart"/>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w:t>
            </w:r>
          </w:p>
        </w:tc>
      </w:tr>
      <w:tr>
        <w:trPr/>
        <w:tc>
          <w:tcPr>
            <w:tcW w:w="672" w:type="dxa"/>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5674" w:type="dxa"/>
            <w:tcBorders/>
            <w:shd w:color="auto" w:fill="auto" w:val="clear"/>
          </w:tcPr>
          <w:p>
            <w:pPr>
              <w:pStyle w:val="Style34"/>
              <w:widowControl/>
              <w:suppressAutoHyphens w:val="true"/>
              <w:spacing w:before="0" w:after="0"/>
              <w:ind w:hanging="0" w:left="0" w:right="0"/>
              <w:jc w:val="left"/>
              <w:rPr>
                <w:rFonts w:ascii="Times New Roman" w:hAnsi="Times New Roman"/>
                <w:sz w:val="24"/>
              </w:rPr>
            </w:pPr>
            <w:r>
              <w:rPr>
                <w:rFonts w:eastAsia="Times New Roman" w:cs="Times New Roman"/>
                <w:kern w:val="0"/>
                <w:sz w:val="20"/>
                <w:szCs w:val="20"/>
                <w:lang w:val="ru-RU" w:eastAsia="ru-RU" w:bidi="ar-SA"/>
              </w:rPr>
              <w:t>Радиостанция носимая Пульсар 146-174 МГц, без дисплея и клавиатуры, 16 каналов, GPS, акселерометр</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(ТСВР.464115.004.1341-01.99.0006.0100), в составе: АНТ 160-174 МГц (АРН-03),</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АКБ Li-Ion 2500 мАч (БА-01), ЗУ с адаптером 220В (УЗ-2Л), заглушка разъема, клипса крепления на ремне РНД-500.Д1</w:t>
            </w:r>
          </w:p>
        </w:tc>
        <w:tc>
          <w:tcPr>
            <w:tcW w:w="1298" w:type="dxa"/>
            <w:tcBorders>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1.2</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Батарея аккумуляторная Li-Ion 2500мАч, 7.4В, без клипсы (ТСВР.469417.046-01.0006.0100) для не взрывозащищенных</w:t>
              <w:br/>
              <w:t>радиостанций РНД-500 БА-01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1.3</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Устройство зарядное (шестиместное) УЗ-2Л6М</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6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1.4</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Манипулятор выносной (ТСВР.467292.002.0006.0100) для не взрывозащищенных носимых радиостанций РНД-500 МВ-01</w:t>
            </w:r>
          </w:p>
        </w:tc>
        <w:tc>
          <w:tcPr>
            <w:tcW w:w="1298" w:type="dxa"/>
            <w:tcBorders>
              <w:top w:val="nil"/>
              <w:right w:val="nil"/>
            </w:tcBorders>
            <w:shd w:color="auto" w:fill="auto" w:val="clea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1.5</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Чехол защитный кожаный с петлей для крепления на ремень (ТСВР.305636.003) для носимых радиостанций РНД-500 без дисплея и клавиатуры ЧЗ-02</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1.6</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для программирования носимых радиостанций Пульсар РНД и возимых РВД (ТСВР.465235.102.0006.0100) СПРС КПАУ-03</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1.7</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Радиостанция возимая Пульсар 146-174 МГц, цифровой дисплей, 99 каналов, GPS (ТСВР.464115.010.1110- 10.99.0006.0100), в составе: Микрофон выносной (МВ-02),Кабель питания (КПВР-01), Антенна GPS, Скоба крепления</w:t>
              <w:br/>
              <w:t>с винтами, 2 запасных предохранителя РВД-2500.Д1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1.8</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Антенна базовая ANLI 150-174МГц, 6,5dBi? 300W max A300MV</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1.9</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РЧ кабеля (15м), разъемы, стяжки, грозоразрядник для подключения внешней антенны к стациоанарной радиостанции РЧ</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1.10</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Волна БПП 3/20 для стационарных радиостанций Волна ББП-3/20</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1.11</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Резервный АКБ 12В/12Ач 1212</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1.12</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Телескопический кронштейн для мачт 500-800 мм ZML10D-MB-03-800</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1.13</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Мачта телескопическая 6,0 м MT4538326</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1.14</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Аппаратно-программный комплекс в составе: - Лицензия Radiusip Ядро для работы в конвенциональных и транковых системах Tier 2, Tier 3 (1 диспетчерская консоль, 1 радиосервер , 50 абонентских лицензий, годовая подписка на обновления, включая техническую поддержку Стандартный пакет); - Модуль подключения радиостанции к серверу; - Z0907071 Сервер в корпусе высотой 1U НИКС aS7000/1U (Xeon E-2478/ 64 Гб/ 2 x 960 Гб SATA SSD), операционная система семейства Linux RAD-C0001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1.15</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b w:val="false"/>
                <w:bCs w:val="false"/>
                <w:sz w:val="20"/>
                <w:szCs w:val="20"/>
              </w:rPr>
            </w:pPr>
            <w:r>
              <w:rPr>
                <w:rFonts w:eastAsia="Times New Roman" w:cs="Times New Roman"/>
                <w:b w:val="false"/>
                <w:bCs w:val="false"/>
                <w:kern w:val="0"/>
                <w:sz w:val="20"/>
                <w:szCs w:val="20"/>
                <w:lang w:val="ru-RU" w:eastAsia="ru-RU" w:bidi="ar-SA"/>
              </w:rPr>
              <w:t>ИБП RT-Series 2кВА UPS202R2 RT2B035</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1.16</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Батарейный модуль BBU042 B109535</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1.17</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Шкаф коммутационный напольный, стеклянная передняя дверь, 18U, 600x920x800 мм ШТК-Э-18.6.8-13АА</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1.18</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вентиляторный, 3 вентилятора с терморегулятором R-FAN-3T</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1.19</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щеточного ввода в шкаф, универсальный КВ-Щ-55.210А</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1.20</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крепежа ЦМО КМ-2-25</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1.21</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Кабельный органайзер горизонтальный 19" 1U, с щеточным вводом, металлический, цвет серый (RAL7035) SH-J004A-GY</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1.22</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Модульная патч-панель 19", 16 портов, 1U, для неэкранированных модулей PLB-16</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1.23</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Корпус внешней настенной розетки на 1 Keystone MB-1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1.24</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u w:val="none"/>
              </w:rPr>
            </w:pPr>
            <w:r>
              <w:rPr>
                <w:rFonts w:eastAsia="Times New Roman" w:cs="Times New Roman"/>
                <w:kern w:val="0"/>
                <w:sz w:val="20"/>
                <w:szCs w:val="20"/>
                <w:u w:val="none"/>
                <w:lang w:val="ru-RU" w:eastAsia="ru-RU" w:bidi="ar-SA"/>
              </w:rPr>
              <w:t>Вставка Keystone Jack RJ-45, категория 5е, заделка тип 110, белая Cabeus KJ-RJ-Cat.5e-90</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1.25</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Патч-корд U/UTP, категория 5е, 2xRJ45/8p8c, неэкранированный, серый, LSZH, 2м PC-UTP-RJ45-Cat.5e-2m-LSZH</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b w:val="false"/>
                <w:bCs w:val="false"/>
                <w:color w:val="000000"/>
                <w:kern w:val="0"/>
                <w:sz w:val="20"/>
                <w:szCs w:val="20"/>
                <w:lang w:val="ru-RU" w:eastAsia="ru-RU" w:bidi="ar-SA"/>
              </w:rPr>
              <w:t>3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1.26</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Рабочая станция G6100M (Core i3-10105F / 8 Гб / 1 Тб SSD/ 4 Гб T400/ DVDRW) G637XLQi</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1.27</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Монитор Aqview B24F1 24" (АМПР.463131.001) (23.8", 1920x1080, 75Hz, 250cd/m2, 1xVGA, 1xHDMI, 1xDVI, 1xAu; AQU-MON-B24F1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rHeight w:val="561" w:hRule="atLeast"/>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1.28</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СИПБ1,2БА.6-11/ЛИ</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1.29</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Подставка под блок компьютера БК2</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1.30</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TMC 40x17 Мини-канал, 2м 00351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1.31</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Труба жесткая стальная оцинкованная Ø32 32х3х1000 II ГОСТ 10704-91 А-Ст3сп ГОСТ 10705-80</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м.</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1.32</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Пена двухкомпонентная огнезащитная, баллон 330 мл DN1201</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1.33</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Зажим кабельный для С-профиля, диаметр кабеля 6-12 мм SQ0804-0040</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1.34</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С-образный профиль 41х41, L300, толщ.1,5 мм, горячеоцинкованный BPL4103HDZ</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1.35</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Стальные хомуты-стяжки Gigant нерж. с полимерным покрытием 7,9x300мм 123947</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1.36</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Усиленный анкер с болтом М10, горячеоцинкованный CM461065HDZ</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26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1.37</w:t>
            </w:r>
          </w:p>
        </w:tc>
        <w:tc>
          <w:tcPr>
            <w:tcW w:w="5674"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симметричный парной скрутки четырехпарный UTP-4P-Cat.5e-</w:t>
            </w:r>
          </w:p>
        </w:tc>
        <w:tc>
          <w:tcPr>
            <w:tcW w:w="1298"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12 м.</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b/>
                <w:bCs/>
              </w:rPr>
            </w:pPr>
            <w:r>
              <w:rPr>
                <w:rFonts w:cs="Times New Roman"/>
                <w:b/>
                <w:bCs/>
                <w:kern w:val="0"/>
                <w:lang w:val="ru-RU" w:eastAsia="ru-RU" w:bidi="ar-SA"/>
              </w:rPr>
              <w:t>2</w:t>
            </w:r>
          </w:p>
        </w:tc>
        <w:tc>
          <w:tcPr>
            <w:tcW w:w="6972" w:type="dxa"/>
            <w:gridSpan w:val="2"/>
            <w:tcBorders>
              <w:right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p>
        </w:tc>
        <w:tc>
          <w:tcPr>
            <w:tcW w:w="1248" w:type="dxa"/>
            <w:vMerge w:val="restart"/>
            <w:tcBorders>
              <w:right w:val="nil"/>
            </w:tcBorders>
            <w:shd w:color="auto" w:fill="auto" w:val="clear"/>
          </w:tcPr>
          <w:p>
            <w:pPr>
              <w:pStyle w:val="Normal"/>
              <w:widowControl w:val="false"/>
              <w:suppressAutoHyphens w:val="true"/>
              <w:spacing w:before="0" w:after="0"/>
              <w:jc w:val="center"/>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0"/>
              <w:jc w:val="center"/>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2.1</w:t>
            </w:r>
          </w:p>
        </w:tc>
        <w:tc>
          <w:tcPr>
            <w:tcW w:w="6972" w:type="dxa"/>
            <w:gridSpan w:val="2"/>
            <w:tcBorders>
              <w:top w:val="nil"/>
              <w:right w:val="nil"/>
            </w:tcBorders>
            <w:shd w:color="auto" w:fill="auto" w:val="clea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 xml:space="preserve">Поставщик обязан установить на продукцию гарантийный срок не менее </w:t>
            </w:r>
            <w:r>
              <w:rPr>
                <w:rFonts w:eastAsia="Calibri" w:cs="Times New Roman"/>
                <w:color w:val="000000"/>
                <w:kern w:val="0"/>
                <w:sz w:val="24"/>
                <w:szCs w:val="24"/>
                <w:lang w:val="ru-RU" w:eastAsia="ru-RU" w:bidi="ar-SA"/>
              </w:rPr>
              <w:t xml:space="preserve">36 (тридцати шести) </w:t>
            </w:r>
            <w:r>
              <w:rPr>
                <w:rFonts w:eastAsia="Calibri" w:cs="Times New Roman"/>
                <w:kern w:val="0"/>
                <w:sz w:val="24"/>
                <w:szCs w:val="24"/>
                <w:lang w:val="ru-RU" w:eastAsia="ru-RU" w:bidi="ar-SA"/>
              </w:rPr>
              <w:t>месяцев с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tc>
        <w:tc>
          <w:tcPr>
            <w:tcW w:w="1248" w:type="dxa"/>
            <w:vMerge w:val="continue"/>
            <w:tcBorders>
              <w:right w:val="nil"/>
            </w:tcBorders>
            <w:shd w:color="auto" w:fill="auto" w:val="clear"/>
          </w:tcPr>
          <w:p>
            <w:pPr>
              <w:pStyle w:val="Normal"/>
              <w:widowControl w:val="false"/>
              <w:suppressAutoHyphens w:val="true"/>
              <w:spacing w:before="0" w:after="20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200"/>
              <w:jc w:val="both"/>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rFonts w:cs="Times New Roman"/>
                <w:b/>
                <w:bCs/>
                <w:kern w:val="0"/>
                <w:lang w:val="en-US" w:eastAsia="ru-RU" w:bidi="ar-SA"/>
              </w:rPr>
              <w:t>3</w:t>
            </w:r>
          </w:p>
        </w:tc>
        <w:tc>
          <w:tcPr>
            <w:tcW w:w="6972" w:type="dxa"/>
            <w:gridSpan w:val="2"/>
            <w:tcBorders>
              <w:top w:val="nil"/>
              <w:right w:val="nil"/>
            </w:tcBorders>
            <w:shd w:color="auto" w:fill="auto" w:val="clear"/>
          </w:tcPr>
          <w:p>
            <w:pPr>
              <w:pStyle w:val="Normal"/>
              <w:widowControl w:val="false"/>
              <w:suppressAutoHyphens w:val="true"/>
              <w:spacing w:before="0" w:after="200"/>
              <w:jc w:val="left"/>
              <w:rPr>
                <w:sz w:val="24"/>
                <w:szCs w:val="24"/>
              </w:rPr>
            </w:pPr>
            <w:r>
              <w:rPr>
                <w:rFonts w:eastAsia="Calibri" w:cs="Times New Roman"/>
                <w:b/>
                <w:kern w:val="0"/>
                <w:sz w:val="24"/>
                <w:szCs w:val="24"/>
                <w:lang w:val="ru-RU" w:eastAsia="ru-RU" w:bidi="ar-SA"/>
              </w:rPr>
              <w:t>Требования к комплектации и документам, поставляемым вместе с продукцией</w:t>
            </w:r>
          </w:p>
        </w:tc>
        <w:tc>
          <w:tcPr>
            <w:tcW w:w="1248" w:type="dxa"/>
            <w:vMerge w:val="restart"/>
            <w:tcBorders>
              <w:top w:val="nil"/>
              <w:right w:val="nil"/>
            </w:tcBorders>
            <w:shd w:color="auto" w:fill="auto" w:val="clear"/>
          </w:tcPr>
          <w:p>
            <w:pPr>
              <w:pStyle w:val="Normal"/>
              <w:widowControl w:val="false"/>
              <w:suppressAutoHyphens w:val="true"/>
              <w:spacing w:before="0" w:after="20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200"/>
              <w:jc w:val="left"/>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3.1</w:t>
            </w:r>
          </w:p>
        </w:tc>
        <w:tc>
          <w:tcPr>
            <w:tcW w:w="6972" w:type="dxa"/>
            <w:gridSpan w:val="2"/>
            <w:tcBorders>
              <w:top w:val="nil"/>
              <w:right w:val="nil"/>
            </w:tcBorders>
            <w:shd w:color="auto" w:fill="auto" w:val="clear"/>
          </w:tcPr>
          <w:p>
            <w:pPr>
              <w:pStyle w:val="Normal"/>
              <w:widowControl w:val="false"/>
              <w:suppressAutoHyphens w:val="true"/>
              <w:spacing w:before="0" w:after="0"/>
              <w:jc w:val="left"/>
              <w:rPr/>
            </w:pPr>
            <w:r>
              <w:rPr>
                <w:rFonts w:eastAsia="Times New Roman" w:cs="Times New Roman"/>
                <w:kern w:val="0"/>
                <w:sz w:val="24"/>
                <w:szCs w:val="24"/>
                <w:lang w:val="ru-RU" w:eastAsia="ru-RU" w:bidi="ar-SA"/>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Сертификат качества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Технический паспорт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Инструкция по эксплуатации (монтажу и т.п.)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Упаковочный лист на Продукцию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Обязательные первичные документы:</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Товарную накладную по форме ТОРГ-12 или Универсальный передаточный документ (УПД) в 2 экз.</w:t>
            </w:r>
          </w:p>
        </w:tc>
        <w:tc>
          <w:tcPr>
            <w:tcW w:w="1248" w:type="dxa"/>
            <w:vMerge w:val="continue"/>
            <w:tcBorders>
              <w:top w:val="nil"/>
              <w:right w:val="nil"/>
            </w:tcBorders>
            <w:shd w:color="auto" w:fill="auto" w:val="clear"/>
          </w:tcPr>
          <w:p>
            <w:pPr>
              <w:pStyle w:val="Normal"/>
              <w:widowControl w:val="false"/>
              <w:suppressAutoHyphens w:val="true"/>
              <w:spacing w:before="0" w:after="0"/>
              <w:jc w:val="center"/>
              <w:rPr>
                <w:sz w:val="24"/>
                <w:szCs w:val="24"/>
              </w:rPr>
            </w:pPr>
            <w:r>
              <w:rPr>
                <w:sz w:val="24"/>
                <w:szCs w:val="24"/>
              </w:rPr>
            </w:r>
          </w:p>
        </w:tc>
        <w:tc>
          <w:tcPr>
            <w:tcW w:w="1141" w:type="dxa"/>
            <w:vMerge w:val="continue"/>
            <w:tcBorders/>
            <w:vAlign w:val="center"/>
          </w:tcPr>
          <w:p>
            <w:pPr>
              <w:pStyle w:val="Normal"/>
              <w:widowControl w:val="false"/>
              <w:suppressAutoHyphens w:val="true"/>
              <w:spacing w:before="0" w:after="0"/>
              <w:jc w:val="center"/>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en-US" w:eastAsia="x-none" w:bidi="ar-SA"/>
              </w:rPr>
              <w:t>4</w:t>
            </w:r>
          </w:p>
        </w:tc>
        <w:tc>
          <w:tcPr>
            <w:tcW w:w="6972" w:type="dxa"/>
            <w:gridSpan w:val="2"/>
            <w:tcBorders>
              <w:right w:val="nil"/>
            </w:tcBorders>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1248" w:type="dxa"/>
            <w:vMerge w:val="restart"/>
            <w:tcBorders>
              <w:right w:val="nil"/>
            </w:tcBorders>
            <w:vAlign w:val="center"/>
          </w:tcPr>
          <w:p>
            <w:pPr>
              <w:pStyle w:val="Normal"/>
              <w:widowControl w:val="false"/>
              <w:suppressAutoHyphens w:val="true"/>
              <w:spacing w:before="0" w:after="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0"/>
              <w:jc w:val="left"/>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4.1</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404130, Волгоградская обл., г.Волжский, пр-т Ленина 1А территория филиала ПАО «РусГидро» - Волжская ГЭС».</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4.2</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Приемка продукции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Только в рабочие дни с 9-00 до 11-00 и с 13-00 до 16-00</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4.3</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en-US" w:eastAsia="x-none" w:bidi="ar-SA"/>
              </w:rPr>
              <w:t>5</w:t>
            </w:r>
          </w:p>
        </w:tc>
        <w:tc>
          <w:tcPr>
            <w:tcW w:w="6972" w:type="dxa"/>
            <w:gridSpan w:val="2"/>
            <w:tcBorders>
              <w:right w:val="nil"/>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c>
          <w:tcPr>
            <w:tcW w:w="1248" w:type="dxa"/>
            <w:vMerge w:val="restart"/>
            <w:tcBorders>
              <w:right w:val="nil"/>
            </w:tcBorders>
            <w:vAlign w:val="center"/>
          </w:tcPr>
          <w:p>
            <w:pPr>
              <w:pStyle w:val="Normal"/>
              <w:widowControl w:val="false"/>
              <w:suppressAutoHyphens w:val="true"/>
              <w:spacing w:before="60" w:after="6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60" w:after="60"/>
              <w:jc w:val="left"/>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5.1</w:t>
            </w:r>
          </w:p>
        </w:tc>
        <w:tc>
          <w:tcPr>
            <w:tcW w:w="6972" w:type="dxa"/>
            <w:gridSpan w:val="2"/>
            <w:tcBorders>
              <w:right w:val="nil"/>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соответствовать требованиям: Технического регламента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c>
          <w:tcPr>
            <w:tcW w:w="1248" w:type="dxa"/>
            <w:vMerge w:val="continue"/>
            <w:tcBorders>
              <w:right w:val="nil"/>
            </w:tcBorders>
            <w:vAlign w:val="center"/>
          </w:tcPr>
          <w:p>
            <w:pPr>
              <w:pStyle w:val="Normal"/>
              <w:widowControl w:val="false"/>
              <w:suppressAutoHyphens w:val="true"/>
              <w:spacing w:before="0" w:after="0"/>
              <w:jc w:val="both"/>
              <w:rPr>
                <w:sz w:val="24"/>
                <w:szCs w:val="24"/>
              </w:rPr>
            </w:pPr>
            <w:r>
              <w:rPr>
                <w:sz w:val="24"/>
                <w:szCs w:val="24"/>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bl>
    <w:p>
      <w:pPr>
        <w:pStyle w:val="Heading1"/>
        <w:spacing w:before="120" w:after="60"/>
        <w:ind w:hanging="0" w:left="1224"/>
        <w:rPr/>
      </w:pPr>
      <w:r>
        <w:rPr/>
      </w:r>
    </w:p>
    <w:p>
      <w:pPr>
        <w:pStyle w:val="ListParagraph"/>
        <w:widowControl w:val="false"/>
        <w:spacing w:before="60" w:after="60"/>
        <w:ind w:hanging="0" w:left="-117"/>
        <w:contextualSpacing/>
        <w:rPr>
          <w:sz w:val="24"/>
          <w:szCs w:val="24"/>
        </w:rPr>
      </w:pPr>
      <w:r>
        <w:rPr>
          <w:b/>
          <w:bCs/>
          <w:sz w:val="24"/>
          <w:szCs w:val="24"/>
        </w:rPr>
        <w:t>3. Требования к документации по ценообразованию на этапе закупки</w:t>
      </w:r>
    </w:p>
    <w:p>
      <w:pPr>
        <w:pStyle w:val="Normal"/>
        <w:widowControl w:val="false"/>
        <w:spacing w:before="60" w:after="60"/>
        <w:rPr>
          <w:sz w:val="24"/>
          <w:szCs w:val="24"/>
        </w:rPr>
      </w:pPr>
      <w:r>
        <w:rPr>
          <w:sz w:val="24"/>
          <w:szCs w:val="24"/>
        </w:rPr>
        <w:t xml:space="preserve"> </w:t>
      </w:r>
      <w:r>
        <w:rPr>
          <w:sz w:val="24"/>
          <w:szCs w:val="24"/>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ListParagraph"/>
        <w:widowControl w:val="false"/>
        <w:spacing w:before="60" w:after="60"/>
        <w:ind w:hanging="0" w:left="-117"/>
        <w:contextualSpacing/>
        <w:rPr>
          <w:sz w:val="24"/>
          <w:szCs w:val="24"/>
        </w:rPr>
      </w:pPr>
      <w:r>
        <w:rPr>
          <w:sz w:val="24"/>
          <w:szCs w:val="24"/>
        </w:rPr>
        <w:t>3.2. Дополнительные документы по ценообразованию в состав заявки не включаются.</w:t>
      </w:r>
    </w:p>
    <w:p>
      <w:pPr>
        <w:pStyle w:val="Normal"/>
        <w:spacing w:before="120" w:after="60"/>
        <w:ind w:hanging="0" w:left="1224"/>
        <w:rPr/>
      </w:pPr>
      <w:r>
        <w:rPr/>
      </w:r>
    </w:p>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3" w:customStyle="1">
    <w:name w:val="УРОВЕНЬ_1. Знак"/>
    <w:link w:val="110"/>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Hyperlink">
    <w:name w:val="Hyperlink"/>
    <w:basedOn w:val="DefaultParagraphFont"/>
    <w:uiPriority w:val="99"/>
    <w:unhideWhenUsed/>
    <w:rsid w:val="0087245f"/>
    <w:rPr>
      <w:color w:val="0563C1" w:themeColor="hyperlink"/>
      <w:u w:val="single"/>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Indexheading11" w:customStyle="1">
    <w:name w:val="index heading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link w:val="12"/>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3"/>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111" w:customStyle="1">
    <w:name w:val="Основной текст1"/>
    <w:basedOn w:val="Normal"/>
    <w:qFormat/>
    <w:pPr>
      <w:widowControl w:val="false"/>
      <w:shd w:val="clear" w:color="auto" w:fill="FFFFFF"/>
      <w:spacing w:lineRule="exact" w:line="302"/>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6">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9B493-3199-4B66-BE74-97FEEB3C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Application>AlterOffice/2026.2.0.0$Linux_X86_64 LibreOffice_project/bc4ef1adf80b36c7a6365f8ed6cbf29021361edd</Application>
  <AppVersion>15.0000</AppVersion>
  <DocSecurity>4</DocSecurity>
  <Pages>6</Pages>
  <Words>1580</Words>
  <Characters>10157</Characters>
  <CharactersWithSpaces>11459</CharactersWithSpaces>
  <Paragraphs>315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2024-12-04T13:04:00Z</dcterms:created>
  <dc:creator>Быстров Олег Геннадьевич</dc:creator>
  <dc:description/>
  <dc:language>ru-RU</dc:language>
  <cp:lastModifiedBy>korolevkv@corp.gidroogk.com</cp:lastModifiedBy>
  <dcterms:modified xsi:type="dcterms:W3CDTF">2026-10-21T15:36:20Z</dcterms:modified>
  <cp:revision>62</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