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111"/>
        <w:spacing w:lineRule="auto" w:line="264"/>
        <w:ind w:hanging="3350" w:left="9020"/>
        <w:rPr>
          <w:color w:val="332E2D"/>
          <w:spacing w:val="2"/>
        </w:rPr>
      </w:pPr>
      <w:r>
        <w:rPr>
          <w:color w:val="332E2D"/>
          <w:spacing w:val="2"/>
        </w:rPr>
      </w:r>
    </w:p>
    <w:p>
      <w:pPr>
        <w:pStyle w:val="Normal"/>
        <w:keepNext w:val="true"/>
        <w:keepLines/>
        <w:jc w:val="right"/>
        <w:rPr>
          <w:bCs/>
          <w:sz w:val="24"/>
          <w:szCs w:val="24"/>
        </w:rPr>
      </w:pPr>
      <w:r>
        <w:rPr>
          <w:bCs/>
          <w:sz w:val="24"/>
          <w:szCs w:val="24"/>
        </w:rPr>
      </w:r>
    </w:p>
    <w:p>
      <w:pPr>
        <w:pStyle w:val="Normal"/>
        <w:keepNext w:val="true"/>
        <w:keepLines/>
        <w:jc w:val="center"/>
        <w:rPr>
          <w:rFonts w:eastAsia="Calibri"/>
          <w:b/>
          <w:sz w:val="26"/>
          <w:szCs w:val="26"/>
        </w:rPr>
      </w:pPr>
      <w:r>
        <w:rPr>
          <w:rFonts w:eastAsia="Calibri"/>
          <w:b/>
          <w:sz w:val="26"/>
          <w:szCs w:val="26"/>
        </w:rPr>
      </w:r>
      <w:bookmarkStart w:id="0" w:name="_Toc141696704"/>
      <w:bookmarkStart w:id="1" w:name="_Toc137554584"/>
      <w:bookmarkStart w:id="2" w:name="_Toc139856287"/>
      <w:bookmarkStart w:id="3" w:name="_Toc141696704"/>
      <w:bookmarkStart w:id="4" w:name="_Toc137554584"/>
      <w:bookmarkStart w:id="5" w:name="_Toc139856287"/>
      <w:bookmarkEnd w:id="3"/>
      <w:bookmarkEnd w:id="4"/>
      <w:bookmarkEnd w:id="5"/>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bookmarkStart w:id="6" w:name="_Toc1398562871"/>
      <w:bookmarkStart w:id="7" w:name="_Toc1416967041"/>
      <w:bookmarkStart w:id="8" w:name="_Toc1375545841"/>
      <w:bookmarkStart w:id="9" w:name="_Toc1398562871"/>
      <w:bookmarkStart w:id="10" w:name="_Toc1416967041"/>
      <w:bookmarkStart w:id="11" w:name="_Toc1375545841"/>
      <w:bookmarkEnd w:id="9"/>
      <w:bookmarkEnd w:id="10"/>
      <w:bookmarkEnd w:id="11"/>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pPr>
      <w:r>
        <w:rPr>
          <w:rFonts w:eastAsia="Calibri"/>
          <w:b/>
          <w:sz w:val="26"/>
          <w:szCs w:val="26"/>
        </w:rPr>
        <w:t>Технические требования</w:t>
      </w:r>
      <w:bookmarkStart w:id="12" w:name="primary-header__title"/>
      <w:bookmarkEnd w:id="12"/>
      <w:r>
        <w:rPr>
          <w:rFonts w:eastAsia="Calibri"/>
          <w:b/>
          <w:sz w:val="26"/>
          <w:szCs w:val="26"/>
        </w:rPr>
        <w:t xml:space="preserve"> </w:t>
      </w:r>
    </w:p>
    <w:p>
      <w:pPr>
        <w:pStyle w:val="Normal"/>
        <w:jc w:val="center"/>
        <w:rPr>
          <w:rFonts w:eastAsia="Calibri"/>
          <w:b/>
          <w:sz w:val="26"/>
          <w:szCs w:val="26"/>
        </w:rPr>
      </w:pPr>
      <w:r>
        <w:rPr>
          <w:rFonts w:eastAsia="Calibri"/>
          <w:b/>
          <w:sz w:val="26"/>
          <w:szCs w:val="26"/>
        </w:rPr>
      </w:r>
    </w:p>
    <w:p>
      <w:pPr>
        <w:pStyle w:val="Normal"/>
        <w:jc w:val="center"/>
        <w:rPr/>
      </w:pPr>
      <w:r>
        <w:rPr>
          <w:rFonts w:eastAsia="Calibri"/>
          <w:b w:val="false"/>
          <w:bCs w:val="false"/>
          <w:sz w:val="26"/>
          <w:szCs w:val="26"/>
        </w:rPr>
        <w:t xml:space="preserve">ОКПД2 26.30.11.150 </w:t>
      </w:r>
      <w:r>
        <w:rPr>
          <w:rStyle w:val="Style8"/>
          <w:rFonts w:eastAsia="Calibri" w:cs="Times New Roman"/>
          <w:b w:val="false"/>
          <w:bCs w:val="false"/>
          <w:i w:val="false"/>
          <w:iCs w:val="false"/>
          <w:color w:val="000000"/>
          <w:kern w:val="0"/>
          <w:sz w:val="26"/>
          <w:szCs w:val="26"/>
          <w:u w:val="none"/>
          <w:shd w:fill="auto" w:val="clear"/>
          <w:lang w:val="ru-RU" w:eastAsia="ru-RU" w:bidi="ar-SA"/>
        </w:rPr>
        <w:t>Поставка системы постовой радиосвязи для нужд Волжского филиала</w:t>
      </w:r>
    </w:p>
    <w:p>
      <w:pPr>
        <w:pStyle w:val="Normal"/>
        <w:jc w:val="center"/>
        <w:rPr>
          <w:rStyle w:val="Style8"/>
          <w:rFonts w:eastAsia="Calibri" w:cs="Times New Roman"/>
          <w:b w:val="false"/>
          <w:bCs w:val="false"/>
          <w:i w:val="false"/>
          <w:i w:val="false"/>
          <w:iCs w:val="false"/>
          <w:color w:val="000000"/>
          <w:kern w:val="0"/>
          <w:sz w:val="26"/>
          <w:szCs w:val="26"/>
          <w:u w:val="none"/>
          <w:shd w:fill="auto" w:val="clear"/>
          <w:lang w:val="ru-RU" w:eastAsia="ru-RU" w:bidi="ar-SA"/>
        </w:rPr>
      </w:pPr>
      <w:r>
        <w:rPr>
          <w:rFonts w:eastAsia="Calibri" w:cs="Times New Roman"/>
          <w:b w:val="false"/>
          <w:bCs w:val="false"/>
          <w:i w:val="false"/>
          <w:iCs w:val="false"/>
          <w:color w:val="000000"/>
          <w:kern w:val="0"/>
          <w:sz w:val="26"/>
          <w:szCs w:val="26"/>
          <w:u w:val="none"/>
          <w:shd w:fill="auto" w:val="clear"/>
          <w:lang w:val="ru-RU" w:eastAsia="ru-RU" w:bidi="ar-SA"/>
        </w:rPr>
      </w:r>
    </w:p>
    <w:p>
      <w:pPr>
        <w:pStyle w:val="Normal"/>
        <w:jc w:val="center"/>
        <w:rPr/>
      </w:pPr>
      <w:r>
        <w:rPr>
          <w:rStyle w:val="Style8"/>
          <w:rFonts w:eastAsia="Calibri" w:cs="Times New Roman"/>
          <w:b w:val="false"/>
          <w:bCs w:val="false"/>
          <w:i w:val="false"/>
          <w:iCs w:val="false"/>
          <w:color w:val="000000"/>
          <w:kern w:val="0"/>
          <w:sz w:val="26"/>
          <w:szCs w:val="26"/>
          <w:u w:val="none"/>
          <w:shd w:fill="auto" w:val="clear"/>
          <w:lang w:val="ru-RU" w:eastAsia="ru-RU" w:bidi="ar-SA"/>
        </w:rPr>
        <w:t xml:space="preserve">лот № </w:t>
      </w:r>
    </w:p>
    <w:p>
      <w:pPr>
        <w:pStyle w:val="Normal"/>
        <w:widowControl w:val="false"/>
        <w:tabs>
          <w:tab w:val="clear" w:pos="708"/>
          <w:tab w:val="left" w:pos="426" w:leader="none"/>
        </w:tabs>
        <w:spacing w:before="120" w:after="120"/>
        <w:jc w:val="center"/>
        <w:rPr>
          <w:rStyle w:val="Style8"/>
          <w:rFonts w:ascii="Times New Roman" w:hAnsi="Times New Roman" w:eastAsia="Calibri" w:cs="Times New Roman"/>
          <w:bCs/>
          <w:i w:val="false"/>
          <w:i w:val="false"/>
          <w:color w:val="auto"/>
          <w:kern w:val="0"/>
          <w:sz w:val="26"/>
          <w:szCs w:val="26"/>
          <w:shd w:fill="auto" w:val="clear"/>
          <w:lang w:val="ru-RU" w:eastAsia="ru-RU" w:bidi="ar-SA"/>
        </w:rPr>
      </w:pPr>
      <w:r>
        <w:rPr>
          <w:rFonts w:eastAsia="Calibri" w:cs="Times New Roman"/>
          <w:bCs/>
          <w:i w:val="false"/>
          <w:color w:val="000000"/>
          <w:kern w:val="0"/>
          <w:sz w:val="26"/>
          <w:szCs w:val="26"/>
          <w:shd w:fill="auto" w:val="clear"/>
          <w:lang w:val="ru-RU" w:eastAsia="ru-RU" w:bidi="ar-SA"/>
        </w:rPr>
      </w:r>
    </w:p>
    <w:p>
      <w:pPr>
        <w:pStyle w:val="Normal"/>
        <w:keepNext w:val="true"/>
        <w:keepLines/>
        <w:jc w:val="center"/>
        <w:rPr>
          <w:rStyle w:val="Style8"/>
          <w:rFonts w:eastAsia="Calibri"/>
          <w:bCs/>
          <w:i w:val="false"/>
          <w:i w:val="false"/>
          <w:color w:val="C9211E"/>
          <w:sz w:val="26"/>
          <w:szCs w:val="26"/>
          <w:shd w:fill="auto" w:val="clear"/>
        </w:rPr>
      </w:pPr>
      <w:r>
        <w:rPr>
          <w:rFonts w:eastAsia="Calibri"/>
          <w:bCs/>
          <w:i w:val="false"/>
          <w:color w:val="C9211E"/>
          <w:sz w:val="26"/>
          <w:szCs w:val="26"/>
          <w:shd w:fill="auto" w:val="clear"/>
        </w:rPr>
      </w:r>
    </w:p>
    <w:p>
      <w:pPr>
        <w:pStyle w:val="Normal"/>
        <w:keepNext w:val="true"/>
        <w:keepLines/>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Heading4"/>
        <w:numPr>
          <w:ilvl w:val="0"/>
          <w:numId w:val="0"/>
        </w:numPr>
        <w:ind w:hanging="0" w:left="0"/>
        <w:rPr/>
      </w:pPr>
      <w:r>
        <w:rPr/>
      </w:r>
    </w:p>
    <w:p>
      <w:pPr>
        <w:pStyle w:val="Heading4"/>
        <w:numPr>
          <w:ilvl w:val="1"/>
          <w:numId w:val="3"/>
        </w:numPr>
        <w:rPr/>
      </w:pPr>
      <w:bookmarkStart w:id="13" w:name="_Toc184220612"/>
      <w:bookmarkStart w:id="14" w:name="_Toc46743506"/>
      <w:r>
        <w:rPr/>
        <w:t>Наименование закупаемой продукции</w:t>
      </w:r>
      <w:bookmarkEnd w:id="13"/>
      <w:bookmarkEnd w:id="14"/>
    </w:p>
    <w:p>
      <w:pPr>
        <w:pStyle w:val="Normal"/>
        <w:widowControl w:val="false"/>
        <w:tabs>
          <w:tab w:val="clear" w:pos="708"/>
          <w:tab w:val="left" w:pos="426" w:leader="none"/>
        </w:tabs>
        <w:spacing w:before="120" w:after="120"/>
        <w:rPr>
          <w:rStyle w:val="Style8"/>
          <w:b w:val="false"/>
          <w:bCs/>
          <w:sz w:val="24"/>
          <w:szCs w:val="24"/>
        </w:rPr>
      </w:pPr>
      <w:r>
        <w:rPr>
          <w:rFonts w:eastAsia="Calibri"/>
          <w:sz w:val="24"/>
          <w:szCs w:val="24"/>
          <w:lang w:eastAsia="x-none"/>
        </w:rPr>
        <w:t>ОКПД2 26.30.11.150 Поставка системы постовой радиосвязи для нужд Волжского филиала (далее — Продукция)</w:t>
      </w:r>
    </w:p>
    <w:p>
      <w:pPr>
        <w:pStyle w:val="Heading4"/>
        <w:numPr>
          <w:ilvl w:val="1"/>
          <w:numId w:val="3"/>
        </w:numPr>
        <w:spacing w:before="240" w:after="60"/>
        <w:ind w:hanging="431" w:left="431"/>
        <w:rPr/>
      </w:pPr>
      <w:bookmarkStart w:id="15" w:name="_Toc184220613"/>
      <w:bookmarkStart w:id="16" w:name="_Toc46743507"/>
      <w:r>
        <w:rPr/>
        <w:t xml:space="preserve">Цель </w:t>
      </w:r>
      <w:bookmarkEnd w:id="16"/>
      <w:r>
        <w:rPr>
          <w:lang w:val="ru-RU"/>
        </w:rPr>
        <w:t>использования закупаемой продукции:</w:t>
      </w:r>
      <w:bookmarkEnd w:id="15"/>
      <w:r>
        <w:rPr>
          <w:lang w:val="ru-RU"/>
        </w:rPr>
        <w:t xml:space="preserve"> </w:t>
      </w:r>
    </w:p>
    <w:p>
      <w:pPr>
        <w:pStyle w:val="Heading4"/>
        <w:spacing w:before="240" w:after="60"/>
        <w:ind w:hanging="0" w:left="0"/>
        <w:jc w:val="both"/>
        <w:rPr/>
      </w:pPr>
      <w:bookmarkStart w:id="17" w:name="_Toc184220614_Копия_1"/>
      <w:r>
        <w:rPr>
          <w:rStyle w:val="Style8"/>
          <w:b w:val="false"/>
          <w:bCs w:val="false"/>
          <w:i w:val="false"/>
          <w:shd w:fill="auto" w:val="clear"/>
          <w:lang w:val="ru-RU"/>
        </w:rPr>
        <w:t xml:space="preserve">Закупаемая продукция предназначена для выполнения работ на Волжской ГЭС для исполнения </w:t>
      </w:r>
      <w:bookmarkEnd w:id="17"/>
      <w:r>
        <w:rPr>
          <w:rStyle w:val="Style8"/>
          <w:rFonts w:eastAsia="Calibri" w:cs="Times New Roman"/>
          <w:b w:val="false"/>
          <w:bCs w:val="false"/>
          <w:i w:val="false"/>
          <w:color w:val="000000"/>
          <w:kern w:val="0"/>
          <w:sz w:val="24"/>
          <w:szCs w:val="24"/>
          <w:shd w:fill="auto" w:val="clear"/>
          <w:lang w:val="ru-RU" w:eastAsia="x-none" w:bidi="ar-SA"/>
        </w:rPr>
        <w:t>Договора  № 4-ТПиР-ПРИ-БЕЗ-2018/ВЖ43/18 от 27.03.2018 г. «Модернизация комплексной системы безопасности филиала ПАО «РусГидро»-«Волжская ГЭС» им. Ф.Г. Логинова», заключенный между ПАО «РусГидро» и АО «Гидроремонт-ВКК».</w:t>
      </w:r>
    </w:p>
    <w:p>
      <w:pPr>
        <w:pStyle w:val="Heading4"/>
        <w:spacing w:before="240" w:after="60"/>
        <w:ind w:hanging="0" w:left="0"/>
        <w:jc w:val="both"/>
        <w:rPr>
          <w:rStyle w:val="Style8"/>
          <w:b w:val="false"/>
          <w:bCs w:val="false"/>
          <w:i w:val="false"/>
          <w:i w:val="false"/>
          <w:color w:val="000000"/>
          <w:shd w:fill="auto" w:val="clear"/>
          <w:lang w:val="ru-RU"/>
        </w:rPr>
      </w:pPr>
      <w:r>
        <w:rPr>
          <w:b w:val="false"/>
          <w:bCs w:val="false"/>
          <w:i w:val="false"/>
          <w:color w:val="000000"/>
          <w:shd w:fill="auto" w:val="clear"/>
          <w:lang w:val="ru-RU"/>
        </w:rPr>
      </w:r>
    </w:p>
    <w:p>
      <w:pPr>
        <w:pStyle w:val="Heading1"/>
        <w:keepLines/>
        <w:numPr>
          <w:ilvl w:val="0"/>
          <w:numId w:val="3"/>
        </w:numPr>
        <w:ind w:hanging="357" w:left="357"/>
        <w:jc w:val="center"/>
        <w:rPr>
          <w:color w:val="000000"/>
        </w:rPr>
      </w:pPr>
      <w:bookmarkStart w:id="18" w:name="_Toc51339693"/>
      <w:bookmarkStart w:id="19" w:name="_Toc184220615"/>
      <w:bookmarkStart w:id="20" w:name="_Toc46743510"/>
      <w:bookmarkStart w:id="21" w:name="_Toc50125126"/>
      <w:bookmarkEnd w:id="20"/>
      <w:bookmarkEnd w:id="21"/>
      <w:r>
        <w:rPr>
          <w:iCs/>
          <w:color w:val="000000"/>
        </w:rPr>
        <w:t>Требования к продукции</w:t>
      </w:r>
      <w:bookmarkEnd w:id="18"/>
      <w:bookmarkEnd w:id="19"/>
    </w:p>
    <w:p>
      <w:pPr>
        <w:pStyle w:val="Heading4"/>
        <w:numPr>
          <w:ilvl w:val="1"/>
          <w:numId w:val="3"/>
        </w:numPr>
        <w:rPr/>
      </w:pPr>
      <w:bookmarkStart w:id="22" w:name="_Toc184220616"/>
      <w:r>
        <w:rPr/>
        <w:t xml:space="preserve">Требования к объемам и срокам </w:t>
      </w:r>
      <w:r>
        <w:rPr>
          <w:lang w:val="ru-RU"/>
        </w:rPr>
        <w:t>поставки</w:t>
      </w:r>
      <w:bookmarkEnd w:id="22"/>
    </w:p>
    <w:p>
      <w:pPr>
        <w:pStyle w:val="Heading3"/>
        <w:numPr>
          <w:ilvl w:val="2"/>
          <w:numId w:val="3"/>
        </w:numPr>
        <w:rPr/>
      </w:pPr>
      <w:bookmarkStart w:id="23" w:name="_Toc184220617"/>
      <w:r>
        <w:rPr>
          <w:lang w:val="ru-RU"/>
        </w:rPr>
        <w:t>Перечень и объем закупаемой продукции</w:t>
      </w:r>
      <w:bookmarkEnd w:id="23"/>
    </w:p>
    <w:p>
      <w:pPr>
        <w:pStyle w:val="Heading1"/>
        <w:keepLines/>
        <w:tabs>
          <w:tab w:val="clear" w:pos="0"/>
        </w:tabs>
        <w:spacing w:before="240" w:after="60"/>
        <w:ind w:hanging="0" w:left="0"/>
        <w:rPr>
          <w:sz w:val="24"/>
          <w:szCs w:val="24"/>
          <w:lang w:val="ru-RU"/>
        </w:rPr>
      </w:pPr>
      <w:bookmarkStart w:id="24" w:name="_Toc184220618"/>
      <w:bookmarkStart w:id="25"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25"/>
      <w:r>
        <w:rPr>
          <w:sz w:val="24"/>
          <w:szCs w:val="24"/>
          <w:lang w:val="ru-RU"/>
        </w:rPr>
        <w:t>и объем закупаемой продукции</w:t>
      </w:r>
      <w:bookmarkEnd w:id="24"/>
    </w:p>
    <w:tbl>
      <w:tblPr>
        <w:tblW w:w="10007" w:type="dxa"/>
        <w:jc w:val="left"/>
        <w:tblInd w:w="84" w:type="dxa"/>
        <w:tblLayout w:type="fixed"/>
        <w:tblCellMar>
          <w:top w:w="0" w:type="dxa"/>
          <w:left w:w="108" w:type="dxa"/>
          <w:bottom w:w="0" w:type="dxa"/>
          <w:right w:w="108" w:type="dxa"/>
        </w:tblCellMar>
        <w:tblLook w:val="0000" w:noHBand="0" w:noVBand="0" w:firstColumn="0" w:lastRow="0" w:lastColumn="0" w:firstRow="0"/>
      </w:tblPr>
      <w:tblGrid>
        <w:gridCol w:w="776"/>
        <w:gridCol w:w="7552"/>
        <w:gridCol w:w="912"/>
        <w:gridCol w:w="766"/>
      </w:tblGrid>
      <w:tr>
        <w:trPr/>
        <w:tc>
          <w:tcPr>
            <w:tcW w:w="77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w:t>
            </w:r>
          </w:p>
          <w:p>
            <w:pPr>
              <w:pStyle w:val="Normal"/>
              <w:keepNext w:val="true"/>
              <w:widowControl w:val="false"/>
              <w:jc w:val="center"/>
              <w:rPr>
                <w:sz w:val="20"/>
                <w:szCs w:val="20"/>
              </w:rPr>
            </w:pPr>
            <w:r>
              <w:rPr>
                <w:sz w:val="20"/>
                <w:szCs w:val="20"/>
              </w:rPr>
              <w:t>п/п</w:t>
            </w:r>
          </w:p>
        </w:tc>
        <w:tc>
          <w:tcPr>
            <w:tcW w:w="7552"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0"/>
                <w:szCs w:val="20"/>
              </w:rPr>
            </w:pPr>
            <w:r>
              <w:rPr>
                <w:sz w:val="20"/>
                <w:szCs w:val="20"/>
              </w:rPr>
              <w:t>Наименование продукции</w:t>
            </w:r>
          </w:p>
        </w:tc>
        <w:tc>
          <w:tcPr>
            <w:tcW w:w="912"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0"/>
                <w:szCs w:val="20"/>
              </w:rPr>
            </w:pPr>
            <w:r>
              <w:rPr>
                <w:sz w:val="20"/>
                <w:szCs w:val="20"/>
              </w:rPr>
              <w:t>Ед.изм.</w:t>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0"/>
                <w:szCs w:val="20"/>
              </w:rPr>
            </w:pPr>
            <w:r>
              <w:rPr>
                <w:sz w:val="20"/>
                <w:szCs w:val="20"/>
              </w:rPr>
              <w:t>Кол-во</w:t>
            </w:r>
          </w:p>
        </w:tc>
      </w:tr>
      <w:tr>
        <w:trPr/>
        <w:tc>
          <w:tcPr>
            <w:tcW w:w="7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b/>
                <w:sz w:val="20"/>
                <w:szCs w:val="20"/>
              </w:rPr>
              <w:t>1</w:t>
            </w:r>
          </w:p>
        </w:tc>
        <w:tc>
          <w:tcPr>
            <w:tcW w:w="7552" w:type="dxa"/>
            <w:tcBorders>
              <w:top w:val="single" w:sz="4" w:space="0" w:color="000000"/>
              <w:left w:val="single" w:sz="4" w:space="0" w:color="000000"/>
              <w:bottom w:val="single" w:sz="4" w:space="0" w:color="000000"/>
            </w:tcBorders>
          </w:tcPr>
          <w:p>
            <w:pPr>
              <w:pStyle w:val="Normal"/>
              <w:widowControl w:val="false"/>
              <w:jc w:val="center"/>
              <w:rPr>
                <w:sz w:val="20"/>
                <w:szCs w:val="20"/>
              </w:rPr>
            </w:pPr>
            <w:r>
              <w:rPr>
                <w:b/>
                <w:sz w:val="20"/>
                <w:szCs w:val="20"/>
              </w:rPr>
              <w:t>2</w:t>
            </w:r>
          </w:p>
        </w:tc>
        <w:tc>
          <w:tcPr>
            <w:tcW w:w="912" w:type="dxa"/>
            <w:tcBorders>
              <w:top w:val="single" w:sz="4" w:space="0" w:color="000000"/>
              <w:left w:val="single" w:sz="4" w:space="0" w:color="000000"/>
              <w:bottom w:val="single" w:sz="4" w:space="0" w:color="000000"/>
            </w:tcBorders>
          </w:tcPr>
          <w:p>
            <w:pPr>
              <w:pStyle w:val="Normal"/>
              <w:widowControl w:val="false"/>
              <w:jc w:val="center"/>
              <w:rPr>
                <w:sz w:val="20"/>
                <w:szCs w:val="20"/>
              </w:rPr>
            </w:pPr>
            <w:r>
              <w:rPr>
                <w:sz w:val="20"/>
                <w:szCs w:val="20"/>
              </w:rPr>
              <w:t>4</w:t>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5</w:t>
            </w:r>
          </w:p>
        </w:tc>
      </w:tr>
      <w:tr>
        <w:trPr/>
        <w:tc>
          <w:tcPr>
            <w:tcW w:w="7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1.1</w:t>
            </w:r>
          </w:p>
        </w:tc>
        <w:tc>
          <w:tcPr>
            <w:tcW w:w="7552" w:type="dxa"/>
            <w:tcBorders>
              <w:top w:val="single" w:sz="4" w:space="0" w:color="000000"/>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4"/>
              </w:rPr>
            </w:pPr>
            <w:r>
              <w:rPr>
                <w:rFonts w:eastAsia="Times New Roman" w:cs="Times New Roman"/>
                <w:kern w:val="0"/>
                <w:sz w:val="20"/>
                <w:szCs w:val="20"/>
                <w:lang w:val="ru-RU" w:eastAsia="ru-RU" w:bidi="ar-SA"/>
              </w:rPr>
              <w:t>Радиостанция носимая Пульсар 146-174 МГц, без дисплея и клавиатуры, 16 каналов, GPS, акселерометр</w:t>
            </w:r>
            <w:r>
              <w:rPr>
                <w:rFonts w:eastAsia="Times New Roman" w:cs="Times New Roman"/>
                <w:kern w:val="0"/>
                <w:sz w:val="24"/>
                <w:szCs w:val="20"/>
                <w:lang w:val="ru-RU" w:eastAsia="ru-RU" w:bidi="ar-SA"/>
              </w:rPr>
              <w:t xml:space="preserve"> </w:t>
            </w:r>
            <w:r>
              <w:rPr>
                <w:rFonts w:eastAsia="Times New Roman" w:cs="Times New Roman"/>
                <w:kern w:val="0"/>
                <w:sz w:val="20"/>
                <w:szCs w:val="20"/>
                <w:lang w:val="ru-RU" w:eastAsia="ru-RU" w:bidi="ar-SA"/>
              </w:rPr>
              <w:t>(ТСВР.464115.004.1341-01.99.0006.0100), в составе: АНТ 160-174 МГц (АРН-03),</w:t>
            </w:r>
            <w:r>
              <w:rPr>
                <w:rFonts w:eastAsia="Times New Roman" w:cs="Times New Roman"/>
                <w:kern w:val="0"/>
                <w:sz w:val="24"/>
                <w:szCs w:val="20"/>
                <w:lang w:val="ru-RU" w:eastAsia="ru-RU" w:bidi="ar-SA"/>
              </w:rPr>
              <w:t xml:space="preserve"> </w:t>
            </w:r>
            <w:r>
              <w:rPr>
                <w:rFonts w:eastAsia="Times New Roman" w:cs="Times New Roman"/>
                <w:kern w:val="0"/>
                <w:sz w:val="20"/>
                <w:szCs w:val="20"/>
                <w:lang w:val="ru-RU" w:eastAsia="ru-RU" w:bidi="ar-SA"/>
              </w:rPr>
              <w:t>АКБ Li-Ion 2500 мАч (БА-01), ЗУ с адаптером 220В (УЗ-2Л), заглушка разъема, клипса крепления на ремне РНД-500.Д1</w:t>
            </w:r>
          </w:p>
        </w:tc>
        <w:tc>
          <w:tcPr>
            <w:tcW w:w="912" w:type="dxa"/>
            <w:tcBorders>
              <w:top w:val="single" w:sz="4" w:space="0" w:color="000000"/>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30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1.2</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Батарея аккумуляторная Li-Ion 2500мАч, 7.4В, без клипсы (ТСВР.469417.046-01.0006.0100) для не взрывозащищенных</w:t>
              <w:br/>
              <w:t>радиостанций РНД-500 БА-01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30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1.3</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Устройство зарядное (шестиместное) УЗ-2Л6М</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6</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1.4</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Манипулятор выносной (ТСВР.467292.002.0006.0100) для не взрывозащищенных носимых радиостанций РНД-500 МВ-01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suppressAutoHyphens w:val="true"/>
              <w:spacing w:before="0" w:after="0"/>
              <w:ind w:hanging="0" w:left="0" w:right="0"/>
              <w:jc w:val="center"/>
              <w:rPr>
                <w:rFonts w:ascii="Times New Roman" w:hAnsi="Times New Roman"/>
                <w:sz w:val="24"/>
                <w:szCs w:val="24"/>
              </w:rPr>
            </w:pPr>
            <w:r>
              <w:rPr>
                <w:rFonts w:eastAsia="Times New Roman" w:cs="Times New Roman"/>
                <w:kern w:val="0"/>
                <w:sz w:val="24"/>
                <w:szCs w:val="24"/>
                <w:lang w:val="ru-RU" w:eastAsia="ru-RU" w:bidi="ar-SA"/>
              </w:rPr>
              <w:t>30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1.5</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Чехол защитный кожаный с петлей для крепления на ремень (ТСВР.305636.003) для носимых радиостанций РНД-500 без дисплея и клавиатуры ЧЗ-02</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30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1.6</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для программирования носимых радиостанций Пульсар РНД и возимых РВД (ТСВР.465235.102.0006.0100) СПРС КПАУ-03</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1.7</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Радиостанция возимая Пульсар 146-174 МГц, цифровой дисплей, 99 каналов, GPS (ТСВР.464115.010.1110- 10.99.0006.0100), в составе: Микрофон выносной (МВ-02),Кабель питания (КПВР-01), Антенна GPS, Скоба крепления</w:t>
              <w:br/>
              <w:t>с винтами, 2 запасных предохранителя РВД-2500.Д1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1.8</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Антенна базовая ANLI 150-174МГц, 6,5dBi? 300W max A300MV</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1.9</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РЧ кабеля (15м), разъемы, стяжки, грозоразрядник для подключения внешней антенны к стациоанарной радиостанции РЧ</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1.10</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Источник бесперебойного питания Волна БПП 3/20 для стационарных радиостанций Волна ББП-3/20</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1.11</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Резервный АКБ 12В/12Ач 1212</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1.12</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Телескопический кронштейн для мачт 500-800 мм ZML10D-MB-03-800</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1.13</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Мачта телескопическая 6,0 м MT4538326</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1.14</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Аппаратно-программный комплекс в составе: - Лицензия Radiusip Ядро для работы в конвенциональных и транковых системах Tier 2, Tier 3 (1 диспетчерская консоль, 1 радиосервер , 50 абонентских лицензий, годовая подписка на обновления, включая техническую поддержку Стандартный пакет); - Модуль подключения радиостанции к серверу; - Z0907071 Сервер в корпусе высотой 1U НИКС aS7000/1U (Xeon E-2478/ 64 Гб/ 2 x 960 Гб SATA SSD), операционная система семейства Linux RAD-C0001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1.15</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b w:val="false"/>
                <w:bCs w:val="false"/>
                <w:sz w:val="20"/>
                <w:szCs w:val="20"/>
              </w:rPr>
            </w:pPr>
            <w:r>
              <w:rPr>
                <w:rFonts w:eastAsia="Times New Roman" w:cs="Times New Roman"/>
                <w:b w:val="false"/>
                <w:bCs w:val="false"/>
                <w:kern w:val="0"/>
                <w:sz w:val="20"/>
                <w:szCs w:val="20"/>
                <w:lang w:val="ru-RU" w:eastAsia="ru-RU" w:bidi="ar-SA"/>
              </w:rPr>
              <w:t>ИБП RT-Series 2кВА UPS202R2 RT2B035</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1.16</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Батарейный модуль BBU042 B109535</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1.17</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Шкаф коммутационный напольный, стеклянная передняя дверь, 18U, 600x920x800 мм ШТК-Э-18.6.8-13АА</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1.18</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 вентиляторный, 3 вентилятора с терморегулятором R-FAN-3T</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1.19</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щеточного ввода в шкаф, универсальный КВ-Щ-55.210А</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1.20</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крепежа ЦМО КМ-2-25</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1.21</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Кабельный органайзер горизонтальный 19" 1U, с щеточным вводом, металлический, цвет серый (RAL7035) SH-J004A-GY</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1.22</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Модульная патч-панель 19", 16 портов, 1U, для неэкранированных модулей PLB-16</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1.23</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Корпус внешней настенной розетки на 1 Keystone MB-1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1.24</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u w:val="none"/>
              </w:rPr>
            </w:pPr>
            <w:r>
              <w:rPr>
                <w:rFonts w:eastAsia="Times New Roman" w:cs="Times New Roman"/>
                <w:kern w:val="0"/>
                <w:sz w:val="20"/>
                <w:szCs w:val="20"/>
                <w:u w:val="none"/>
                <w:lang w:val="ru-RU" w:eastAsia="ru-RU" w:bidi="ar-SA"/>
              </w:rPr>
              <w:t>Вставка Keystone Jack RJ-45, категория 5е, заделка тип 110, белая Cabeus KJ-RJ-Cat.5e-90</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1.25</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Патч-корд U/UTP, категория 5е, 2xRJ45/8p8c, неэкранированный, серый, LSZH, 2м PC-UTP-RJ45-Cat.5e-2m-LSZH</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b w:val="false"/>
                <w:bCs w:val="false"/>
                <w:color w:val="000000"/>
                <w:kern w:val="0"/>
                <w:sz w:val="24"/>
                <w:szCs w:val="24"/>
                <w:lang w:val="ru-RU" w:eastAsia="ru-RU" w:bidi="ar-SA"/>
              </w:rPr>
              <w:t>3</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1.26</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Рабочая станция G6100M (Core i3-10105F / 8 Гб / 1 Тб SSD/ 4 Гб T400/ DVDRW) G637XLQi</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1.27</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Монитор Aqview B24F1 24" (АМПР.463131.001) (23.8", 1920x1080, 75Hz, 250cd/m2, 1xVGA, 1xHDMI, 1xDVI, 1xAu; AQU-MON-B24F1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rPr>
            </w:pPr>
            <w:r>
              <w:rPr>
                <w:sz w:val="24"/>
                <w:szCs w:val="24"/>
              </w:rPr>
              <w:t>1.28</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Источник бесперебойного питания СИПБ1,2БА.6-11/ЛИ</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1.29</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Подставка под блок компьютера БК2</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color w:val="000000"/>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1.30</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TMC 40x17 Мини-канал, 2м 00351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3</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1.31</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Труба жесткая стальная оцинкованная Ø32 32х3х1000 II ГОСТ 10704-91 А-Ст3сп ГОСТ 10705-80</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м</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1.32</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Пена двухкомпонентная огнезащитная, баллон 330 мл DN1201</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2</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1.33</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Зажим кабельный для С-профиля, диаметр кабеля 6-12 мм SQ0804-0040</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1.34</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С-образный профиль 41х41, L300, толщ.1,5 мм, горячеоцинкованный BPL4103HDZ</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1.35</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Стальные хомуты-стяжки Gigant нерж. с полимерным покрытием 7,9x300мм 123947</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10</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1.36</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Усиленный анкер с болтом М10, горячеоцинкованный CM461065HDZ</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шт</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26</w:t>
            </w:r>
          </w:p>
        </w:tc>
      </w:tr>
      <w:tr>
        <w:trPr/>
        <w:tc>
          <w:tcPr>
            <w:tcW w:w="776"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1.37</w:t>
            </w:r>
          </w:p>
        </w:tc>
        <w:tc>
          <w:tcPr>
            <w:tcW w:w="7552" w:type="dxa"/>
            <w:tcBorders>
              <w:left w:val="single" w:sz="4" w:space="0" w:color="000000"/>
              <w:bottom w:val="single" w:sz="4" w:space="0" w:color="000000"/>
            </w:tcBorders>
            <w:vAlign w:val="cente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 симметричный парной скрутки четырехпарный UTP-4P-Cat.5e-</w:t>
            </w:r>
          </w:p>
        </w:tc>
        <w:tc>
          <w:tcPr>
            <w:tcW w:w="912" w:type="dxa"/>
            <w:tcBorders>
              <w:left w:val="single" w:sz="4" w:space="0" w:color="000000"/>
              <w:bottom w:val="single" w:sz="4" w:space="0" w:color="000000"/>
            </w:tcBorders>
            <w:vAlign w:val="center"/>
          </w:tcPr>
          <w:p>
            <w:pPr>
              <w:pStyle w:val="Normal"/>
              <w:widowControl w:val="false"/>
              <w:tabs>
                <w:tab w:val="clear" w:pos="708"/>
                <w:tab w:val="left" w:pos="426" w:leader="none"/>
              </w:tabs>
              <w:spacing w:lineRule="exact" w:line="283" w:before="120" w:after="120"/>
              <w:jc w:val="center"/>
              <w:rPr>
                <w:sz w:val="24"/>
                <w:szCs w:val="24"/>
              </w:rPr>
            </w:pPr>
            <w:r>
              <w:rPr>
                <w:sz w:val="24"/>
                <w:szCs w:val="24"/>
              </w:rPr>
              <w:t>м</w:t>
            </w:r>
          </w:p>
        </w:tc>
        <w:tc>
          <w:tcPr>
            <w:tcW w:w="766" w:type="dxa"/>
            <w:tcBorders>
              <w:left w:val="single" w:sz="4" w:space="0" w:color="000000"/>
              <w:bottom w:val="single" w:sz="4" w:space="0" w:color="000000"/>
              <w:right w:val="single" w:sz="4" w:space="0" w:color="000000"/>
            </w:tcBorders>
            <w:vAlign w:val="center"/>
          </w:tcPr>
          <w:p>
            <w:pPr>
              <w:pStyle w:val="Style34"/>
              <w:widowControl w:val="false"/>
              <w:suppressAutoHyphens w:val="true"/>
              <w:spacing w:before="0" w:after="0"/>
              <w:jc w:val="center"/>
              <w:rPr>
                <w:rFonts w:ascii="Times New Roman" w:hAnsi="Times New Roman"/>
                <w:sz w:val="24"/>
                <w:szCs w:val="24"/>
              </w:rPr>
            </w:pPr>
            <w:r>
              <w:rPr>
                <w:rFonts w:eastAsia="Times New Roman" w:cs="Times New Roman"/>
                <w:kern w:val="0"/>
                <w:sz w:val="24"/>
                <w:szCs w:val="24"/>
                <w:lang w:val="ru-RU" w:eastAsia="ru-RU" w:bidi="ar-SA"/>
              </w:rPr>
              <w:t>12</w:t>
            </w:r>
          </w:p>
        </w:tc>
      </w:tr>
    </w:tbl>
    <w:p>
      <w:pPr>
        <w:pStyle w:val="Heading3"/>
        <w:numPr>
          <w:ilvl w:val="2"/>
          <w:numId w:val="3"/>
        </w:numPr>
        <w:rPr>
          <w:lang w:val="ru-RU"/>
        </w:rPr>
      </w:pPr>
      <w:bookmarkStart w:id="26" w:name="_Toc184220619"/>
      <w:bookmarkStart w:id="27" w:name="_Toc51339696"/>
      <w:bookmarkStart w:id="28" w:name="_Toc75446577"/>
      <w:bookmarkEnd w:id="28"/>
      <w:r>
        <w:rPr>
          <w:lang w:val="ru-RU"/>
        </w:rPr>
        <w:t xml:space="preserve">Требования </w:t>
      </w:r>
      <w:bookmarkEnd w:id="27"/>
      <w:r>
        <w:rPr>
          <w:lang w:val="ru-RU"/>
        </w:rPr>
        <w:t>к срокам поставки продукции и оказания сопутствующих услуг</w:t>
      </w:r>
      <w:bookmarkEnd w:id="26"/>
    </w:p>
    <w:p>
      <w:pPr>
        <w:pStyle w:val="Heading1"/>
        <w:keepLines/>
        <w:tabs>
          <w:tab w:val="clear" w:pos="0"/>
        </w:tabs>
        <w:spacing w:before="240" w:after="60"/>
        <w:ind w:hanging="0" w:left="0"/>
        <w:rPr>
          <w:sz w:val="24"/>
          <w:szCs w:val="24"/>
          <w:lang w:val="ru-RU"/>
        </w:rPr>
      </w:pPr>
      <w:bookmarkStart w:id="29" w:name="_Toc184220620"/>
      <w:bookmarkStart w:id="30" w:name="_Toc50125127"/>
      <w:bookmarkStart w:id="31" w:name="_Toc51339697"/>
      <w:bookmarkStart w:id="32" w:name="_Toc501251261"/>
      <w:bookmarkEnd w:id="32"/>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33" w:name="_Hlk50465284"/>
      <w:r>
        <w:rPr>
          <w:sz w:val="24"/>
          <w:szCs w:val="24"/>
        </w:rPr>
        <w:t xml:space="preserve">Требования по срокам </w:t>
      </w:r>
      <w:bookmarkEnd w:id="30"/>
      <w:bookmarkEnd w:id="31"/>
      <w:bookmarkEnd w:id="33"/>
      <w:r>
        <w:rPr>
          <w:sz w:val="24"/>
          <w:szCs w:val="24"/>
          <w:lang w:val="ru-RU"/>
        </w:rPr>
        <w:t>поставки продукции</w:t>
      </w:r>
      <w:bookmarkEnd w:id="29"/>
      <w:r>
        <w:rPr>
          <w:sz w:val="24"/>
          <w:szCs w:val="24"/>
          <w:lang w:val="ru-RU"/>
        </w:rPr>
        <w:t xml:space="preserve"> </w:t>
      </w:r>
    </w:p>
    <w:tbl>
      <w:tblPr>
        <w:tblW w:w="1006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767"/>
        <w:gridCol w:w="3313"/>
        <w:gridCol w:w="2940"/>
        <w:gridCol w:w="3039"/>
      </w:tblGrid>
      <w:tr>
        <w:trPr/>
        <w:tc>
          <w:tcPr>
            <w:tcW w:w="7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3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29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30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767"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1</w:t>
            </w:r>
          </w:p>
        </w:tc>
        <w:tc>
          <w:tcPr>
            <w:tcW w:w="3313" w:type="dxa"/>
            <w:tcBorders>
              <w:left w:val="single" w:sz="4" w:space="0" w:color="000000"/>
              <w:bottom w:val="single" w:sz="4" w:space="0" w:color="000000"/>
              <w:right w:val="single" w:sz="4" w:space="0" w:color="000000"/>
            </w:tcBorders>
            <w:shd w:color="auto" w:fill="auto" w:val="clear"/>
          </w:tcPr>
          <w:p>
            <w:pPr>
              <w:pStyle w:val="Normal"/>
              <w:widowControl w:val="false"/>
              <w:bidi w:val="0"/>
              <w:jc w:val="left"/>
              <w:rPr>
                <w:sz w:val="24"/>
                <w:szCs w:val="24"/>
              </w:rPr>
            </w:pPr>
            <w:r>
              <w:rPr>
                <w:b w:val="false"/>
                <w:i w:val="false"/>
                <w:strike w:val="false"/>
                <w:dstrike w:val="false"/>
                <w:outline w:val="false"/>
                <w:shadow w:val="false"/>
                <w:sz w:val="24"/>
                <w:szCs w:val="24"/>
                <w:u w:val="none"/>
                <w:em w:val="none"/>
              </w:rPr>
              <w:t>Система радиосвязи</w:t>
            </w:r>
          </w:p>
        </w:tc>
        <w:tc>
          <w:tcPr>
            <w:tcW w:w="2940"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С даты подписания договора</w:t>
            </w:r>
          </w:p>
        </w:tc>
        <w:tc>
          <w:tcPr>
            <w:tcW w:w="3039" w:type="dxa"/>
            <w:tcBorders>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color w:val="000000"/>
                <w:sz w:val="24"/>
                <w:szCs w:val="24"/>
              </w:rPr>
              <w:t>В течение 60 календарных дней, с даты подписания договора*</w:t>
            </w:r>
          </w:p>
        </w:tc>
      </w:tr>
      <w:tr>
        <w:trPr/>
        <w:tc>
          <w:tcPr>
            <w:tcW w:w="10059" w:type="dxa"/>
            <w:gridSpan w:val="4"/>
            <w:tcBorders>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*сроки установлены согласно требованиям договора подряда указанного в п.1.3</w:t>
            </w:r>
          </w:p>
        </w:tc>
      </w:tr>
    </w:tbl>
    <w:p>
      <w:pPr>
        <w:pStyle w:val="Heading4"/>
        <w:numPr>
          <w:ilvl w:val="1"/>
          <w:numId w:val="3"/>
        </w:numPr>
        <w:rPr/>
      </w:pPr>
      <w:bookmarkStart w:id="34" w:name="_Toc184220621"/>
      <w:bookmarkStart w:id="35" w:name="_Toc46743511"/>
      <w:bookmarkStart w:id="36" w:name="_Toc75446580"/>
      <w:bookmarkEnd w:id="36"/>
      <w:r>
        <w:rPr/>
        <w:t xml:space="preserve">Требования к </w:t>
      </w:r>
      <w:bookmarkEnd w:id="35"/>
      <w:r>
        <w:rPr>
          <w:lang w:val="ru-RU"/>
        </w:rPr>
        <w:t>качеству продукции</w:t>
      </w:r>
      <w:bookmarkEnd w:id="34"/>
    </w:p>
    <w:p>
      <w:pPr>
        <w:pStyle w:val="Heading1"/>
        <w:tabs>
          <w:tab w:val="clear" w:pos="0"/>
        </w:tabs>
        <w:spacing w:before="240" w:after="60"/>
        <w:ind w:hanging="0" w:left="0"/>
        <w:rPr>
          <w:sz w:val="24"/>
          <w:szCs w:val="24"/>
        </w:rPr>
      </w:pPr>
      <w:bookmarkStart w:id="37" w:name="_Toc184220622"/>
      <w:r>
        <w:rPr>
          <w:sz w:val="24"/>
          <w:szCs w:val="24"/>
        </w:rPr>
        <w:t>Таблица </w:t>
      </w:r>
      <w:r>
        <w:rPr>
          <w:sz w:val="24"/>
          <w:szCs w:val="24"/>
          <w:lang w:val="ru-RU"/>
        </w:rPr>
        <w:t>3</w:t>
      </w:r>
      <w:r>
        <w:rPr>
          <w:sz w:val="24"/>
          <w:szCs w:val="24"/>
        </w:rPr>
        <w:t xml:space="preserve">. Требования к </w:t>
      </w:r>
      <w:bookmarkEnd w:id="37"/>
      <w:r>
        <w:rPr>
          <w:sz w:val="24"/>
          <w:szCs w:val="24"/>
          <w:lang w:val="ru-RU"/>
        </w:rPr>
        <w:t>качеству продукции</w:t>
      </w:r>
      <w:r>
        <w:rPr>
          <w:sz w:val="24"/>
          <w:szCs w:val="24"/>
        </w:rPr>
        <w:t xml:space="preserve"> </w:t>
      </w:r>
    </w:p>
    <w:p>
      <w:pPr>
        <w:pStyle w:val="Normal"/>
        <w:jc w:val="both"/>
        <w:rPr>
          <w:sz w:val="24"/>
          <w:szCs w:val="24"/>
        </w:rPr>
      </w:pPr>
      <w:r>
        <w:rPr>
          <w:b/>
          <w:bCs/>
          <w:sz w:val="24"/>
          <w:szCs w:val="24"/>
        </w:rPr>
        <w:t>Наименование продукции:</w:t>
      </w:r>
      <w:r>
        <w:rPr>
          <w:b w:val="false"/>
          <w:bCs w:val="false"/>
          <w:sz w:val="24"/>
          <w:szCs w:val="24"/>
        </w:rPr>
        <w:t xml:space="preserve"> </w:t>
      </w:r>
      <w:bookmarkStart w:id="38" w:name="_GoBack"/>
      <w:bookmarkEnd w:id="38"/>
      <w:r>
        <w:rPr>
          <w:b w:val="false"/>
          <w:bCs w:val="false"/>
          <w:sz w:val="24"/>
          <w:szCs w:val="24"/>
        </w:rPr>
        <w:t>ОКПД2 26.30.11.150 Поставка системы постовой радиосвязи для нужд Волжского филиала</w:t>
      </w:r>
    </w:p>
    <w:tbl>
      <w:tblPr>
        <w:tblStyle w:val="affff6"/>
        <w:tblW w:w="1003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672"/>
        <w:gridCol w:w="5673"/>
        <w:gridCol w:w="1299"/>
        <w:gridCol w:w="1248"/>
        <w:gridCol w:w="1141"/>
      </w:tblGrid>
      <w:tr>
        <w:trPr/>
        <w:tc>
          <w:tcPr>
            <w:tcW w:w="672" w:type="dxa"/>
            <w:vMerge w:val="restart"/>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5673" w:type="dxa"/>
            <w:vMerge w:val="restart"/>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bCs/>
                <w:kern w:val="0"/>
                <w:sz w:val="20"/>
                <w:szCs w:val="20"/>
                <w:lang w:val="ru-RU" w:eastAsia="ru-RU" w:bidi="ar-SA"/>
              </w:rPr>
              <w:t>Наименование параметра</w:t>
            </w:r>
          </w:p>
        </w:tc>
        <w:tc>
          <w:tcPr>
            <w:tcW w:w="1299" w:type="dxa"/>
            <w:vMerge w:val="restart"/>
            <w:tcBorders>
              <w:right w:val="nil"/>
            </w:tcBorders>
            <w:vAlign w:val="center"/>
          </w:tcPr>
          <w:p>
            <w:pPr>
              <w:pStyle w:val="Normal"/>
              <w:widowControl w:val="false"/>
              <w:spacing w:before="0" w:after="0"/>
              <w:jc w:val="center"/>
              <w:rPr>
                <w:rFonts w:ascii="Times New Roman" w:hAnsi="Times New Roman"/>
                <w:sz w:val="20"/>
                <w:szCs w:val="20"/>
              </w:rPr>
            </w:pPr>
            <w:r>
              <w:rPr>
                <w:rFonts w:eastAsia="Times New Roman"/>
                <w:b/>
                <w:bCs/>
                <w:sz w:val="20"/>
                <w:szCs w:val="20"/>
                <w:lang w:eastAsia="ru-RU"/>
              </w:rPr>
              <w:t>Требование заказчика</w:t>
            </w:r>
          </w:p>
        </w:tc>
        <w:tc>
          <w:tcPr>
            <w:tcW w:w="2389" w:type="dxa"/>
            <w:gridSpan w:val="2"/>
            <w:tcBorders/>
            <w:vAlign w:val="center"/>
          </w:tcPr>
          <w:p>
            <w:pPr>
              <w:pStyle w:val="Normal"/>
              <w:widowControl w:val="false"/>
              <w:spacing w:before="0" w:after="0"/>
              <w:jc w:val="center"/>
              <w:rPr>
                <w:rFonts w:ascii="Times New Roman" w:hAnsi="Times New Roman"/>
                <w:sz w:val="16"/>
                <w:szCs w:val="16"/>
              </w:rPr>
            </w:pPr>
            <w:r>
              <w:rPr>
                <w:rFonts w:eastAsia="Times New Roman"/>
                <w:b/>
                <w:bCs/>
                <w:sz w:val="16"/>
                <w:szCs w:val="16"/>
                <w:lang w:eastAsia="ru-RU"/>
              </w:rPr>
              <w:t>Способ подтверждения участником соответствия требованиям</w:t>
            </w:r>
          </w:p>
        </w:tc>
      </w:tr>
      <w:tr>
        <w:trPr/>
        <w:tc>
          <w:tcPr>
            <w:tcW w:w="672" w:type="dxa"/>
            <w:vMerge w:val="continue"/>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5673" w:type="dxa"/>
            <w:vMerge w:val="continue"/>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1299" w:type="dxa"/>
            <w:vMerge w:val="continue"/>
            <w:tcBorders>
              <w:right w:val="nil"/>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1248" w:type="dxa"/>
            <w:tcBorders>
              <w:top w:val="nil"/>
              <w:right w:val="nil"/>
            </w:tcBorders>
            <w:vAlign w:val="center"/>
          </w:tcPr>
          <w:p>
            <w:pPr>
              <w:pStyle w:val="Normal"/>
              <w:widowControl w:val="false"/>
              <w:spacing w:before="0" w:after="0"/>
              <w:jc w:val="center"/>
              <w:rPr>
                <w:rFonts w:ascii="Times New Roman" w:hAnsi="Times New Roman"/>
                <w:sz w:val="16"/>
                <w:szCs w:val="16"/>
              </w:rPr>
            </w:pPr>
            <w:r>
              <w:rPr>
                <w:rFonts w:eastAsia="Times New Roman"/>
                <w:b/>
                <w:bCs/>
                <w:sz w:val="16"/>
                <w:szCs w:val="16"/>
                <w:lang w:eastAsia="ru-RU"/>
              </w:rPr>
              <w:t>Согласие с требованием/ указание характеристик</w:t>
            </w:r>
          </w:p>
        </w:tc>
        <w:tc>
          <w:tcPr>
            <w:tcW w:w="1141" w:type="dxa"/>
            <w:tcBorders>
              <w:top w:val="nil"/>
            </w:tcBorders>
            <w:vAlign w:val="center"/>
          </w:tcPr>
          <w:p>
            <w:pPr>
              <w:pStyle w:val="Normal"/>
              <w:widowControl w:val="false"/>
              <w:spacing w:before="0" w:after="0"/>
              <w:jc w:val="center"/>
              <w:rPr>
                <w:rFonts w:ascii="Times New Roman" w:hAnsi="Times New Roman"/>
                <w:sz w:val="16"/>
                <w:szCs w:val="16"/>
              </w:rPr>
            </w:pPr>
            <w:r>
              <w:rPr>
                <w:rFonts w:eastAsia="Times New Roman"/>
                <w:b/>
                <w:bCs/>
                <w:sz w:val="16"/>
                <w:szCs w:val="16"/>
                <w:lang w:eastAsia="ru-RU"/>
              </w:rPr>
              <w:t>Предоставление подтверждающего документа или иной способ подтверждения</w:t>
            </w:r>
          </w:p>
        </w:tc>
      </w:tr>
      <w:tr>
        <w:trPr/>
        <w:tc>
          <w:tcPr>
            <w:tcW w:w="672" w:type="dxa"/>
            <w:tcBorders/>
            <w:vAlign w:val="center"/>
          </w:tcPr>
          <w:p>
            <w:pPr>
              <w:pStyle w:val="Normal"/>
              <w:widowControl w:val="false"/>
              <w:suppressAutoHyphens w:val="true"/>
              <w:spacing w:before="60" w:after="60"/>
              <w:jc w:val="center"/>
              <w:rPr>
                <w:b/>
                <w:bCs/>
                <w:sz w:val="20"/>
                <w:szCs w:val="20"/>
              </w:rPr>
            </w:pPr>
            <w:r>
              <w:rPr>
                <w:rFonts w:eastAsia="Times New Roman" w:cs="Times New Roman"/>
                <w:b/>
                <w:bCs/>
                <w:kern w:val="0"/>
                <w:sz w:val="20"/>
                <w:szCs w:val="20"/>
                <w:lang w:val="ru-RU" w:eastAsia="ru-RU" w:bidi="ar-SA"/>
              </w:rPr>
              <w:t>1</w:t>
            </w:r>
          </w:p>
        </w:tc>
        <w:tc>
          <w:tcPr>
            <w:tcW w:w="5673" w:type="dxa"/>
            <w:tcBorders/>
            <w:vAlign w:val="center"/>
          </w:tcPr>
          <w:p>
            <w:pPr>
              <w:pStyle w:val="Normal"/>
              <w:widowControl w:val="false"/>
              <w:suppressAutoHyphens w:val="true"/>
              <w:spacing w:before="0" w:after="0"/>
              <w:jc w:val="center"/>
              <w:rPr>
                <w:b/>
                <w:bCs/>
                <w:sz w:val="20"/>
                <w:szCs w:val="20"/>
              </w:rPr>
            </w:pPr>
            <w:r>
              <w:rPr>
                <w:rFonts w:eastAsia="Times New Roman" w:cs="Times New Roman"/>
                <w:b/>
                <w:bCs/>
                <w:kern w:val="0"/>
                <w:sz w:val="20"/>
                <w:szCs w:val="20"/>
                <w:lang w:val="ru-RU" w:eastAsia="ru-RU" w:bidi="ar-SA"/>
              </w:rPr>
              <w:t>2</w:t>
            </w:r>
          </w:p>
        </w:tc>
        <w:tc>
          <w:tcPr>
            <w:tcW w:w="1299" w:type="dxa"/>
            <w:tcBorders>
              <w:right w:val="nil"/>
            </w:tcBorders>
            <w:vAlign w:val="center"/>
          </w:tcPr>
          <w:p>
            <w:pPr>
              <w:pStyle w:val="Normal"/>
              <w:widowControl w:val="false"/>
              <w:suppressAutoHyphens w:val="true"/>
              <w:spacing w:before="0" w:after="0"/>
              <w:jc w:val="center"/>
              <w:rPr>
                <w:b/>
                <w:bCs/>
                <w:sz w:val="20"/>
                <w:szCs w:val="20"/>
              </w:rPr>
            </w:pPr>
            <w:r>
              <w:rPr>
                <w:rFonts w:eastAsia="Times New Roman" w:cs="Times New Roman"/>
                <w:b/>
                <w:bCs/>
                <w:kern w:val="0"/>
                <w:sz w:val="20"/>
                <w:szCs w:val="20"/>
                <w:lang w:val="ru-RU" w:eastAsia="ru-RU" w:bidi="ar-SA"/>
              </w:rPr>
              <w:t>3</w:t>
            </w:r>
          </w:p>
        </w:tc>
        <w:tc>
          <w:tcPr>
            <w:tcW w:w="1248" w:type="dxa"/>
            <w:tcBorders>
              <w:right w:val="nil"/>
            </w:tcBorders>
            <w:vAlign w:val="center"/>
          </w:tcPr>
          <w:p>
            <w:pPr>
              <w:pStyle w:val="Normal"/>
              <w:widowControl w:val="false"/>
              <w:suppressAutoHyphens w:val="true"/>
              <w:spacing w:before="0" w:after="0"/>
              <w:jc w:val="center"/>
              <w:rPr>
                <w:b/>
                <w:bCs/>
                <w:sz w:val="20"/>
                <w:szCs w:val="20"/>
              </w:rPr>
            </w:pPr>
            <w:r>
              <w:rPr>
                <w:b/>
                <w:bCs/>
                <w:sz w:val="20"/>
                <w:szCs w:val="20"/>
              </w:rPr>
              <w:t>4</w:t>
            </w:r>
          </w:p>
        </w:tc>
        <w:tc>
          <w:tcPr>
            <w:tcW w:w="1141" w:type="dxa"/>
            <w:tcBorders/>
            <w:vAlign w:val="center"/>
          </w:tcPr>
          <w:p>
            <w:pPr>
              <w:pStyle w:val="Normal"/>
              <w:widowControl w:val="false"/>
              <w:suppressAutoHyphens w:val="true"/>
              <w:spacing w:before="0" w:after="0"/>
              <w:jc w:val="center"/>
              <w:rPr>
                <w:b/>
                <w:bCs/>
                <w:sz w:val="20"/>
                <w:szCs w:val="20"/>
              </w:rPr>
            </w:pPr>
            <w:r>
              <w:rPr>
                <w:b/>
                <w:bCs/>
                <w:sz w:val="20"/>
                <w:szCs w:val="20"/>
              </w:rPr>
              <w:t>5</w:t>
            </w:r>
          </w:p>
        </w:tc>
      </w:tr>
      <w:tr>
        <w:trPr>
          <w:trHeight w:val="510" w:hRule="atLeast"/>
        </w:trPr>
        <w:tc>
          <w:tcPr>
            <w:tcW w:w="672" w:type="dxa"/>
            <w:tcBorders>
              <w:right w:val="nil"/>
            </w:tcBorders>
            <w:vAlign w:val="center"/>
          </w:tcPr>
          <w:p>
            <w:pPr>
              <w:pStyle w:val="Normal"/>
              <w:widowControl w:val="false"/>
              <w:suppressAutoHyphens w:val="true"/>
              <w:spacing w:before="0" w:after="0"/>
              <w:jc w:val="both"/>
              <w:rPr>
                <w:sz w:val="24"/>
                <w:szCs w:val="24"/>
              </w:rPr>
            </w:pPr>
            <w:r>
              <w:rPr>
                <w:rFonts w:eastAsia="Times New Roman" w:cs="Times New Roman"/>
                <w:b/>
                <w:kern w:val="0"/>
                <w:sz w:val="24"/>
                <w:szCs w:val="24"/>
                <w:lang w:val="ru-RU" w:eastAsia="ru-RU" w:bidi="ar-SA"/>
              </w:rPr>
              <w:t>1</w:t>
            </w:r>
          </w:p>
        </w:tc>
        <w:tc>
          <w:tcPr>
            <w:tcW w:w="6972" w:type="dxa"/>
            <w:gridSpan w:val="2"/>
            <w:tcBorders>
              <w:right w:val="nil"/>
            </w:tcBorders>
            <w:vAlign w:val="center"/>
          </w:tcPr>
          <w:p>
            <w:pPr>
              <w:pStyle w:val="Normal"/>
              <w:widowControl w:val="false"/>
              <w:suppressAutoHyphens w:val="true"/>
              <w:spacing w:before="0" w:after="0"/>
              <w:jc w:val="both"/>
              <w:rPr>
                <w:b/>
                <w:bCs/>
                <w:sz w:val="24"/>
                <w:szCs w:val="24"/>
              </w:rPr>
            </w:pPr>
            <w:r>
              <w:rPr>
                <w:b/>
                <w:bCs/>
                <w:sz w:val="24"/>
                <w:szCs w:val="24"/>
              </w:rPr>
              <w:t>Требования к техническим и функциональным характеристикам (включая гарантируемые показатели)</w:t>
            </w:r>
          </w:p>
        </w:tc>
        <w:tc>
          <w:tcPr>
            <w:tcW w:w="1248" w:type="dxa"/>
            <w:vMerge w:val="restart"/>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Участник должен представить в заявке согласие поставить продукцию, полностью соответствующую настоящим техническим требованиям, по форме Технического предложения, установленной в Документации о закупке</w:t>
            </w:r>
          </w:p>
        </w:tc>
        <w:tc>
          <w:tcPr>
            <w:tcW w:w="1141" w:type="dxa"/>
            <w:vMerge w:val="restart"/>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w:t>
            </w:r>
          </w:p>
        </w:tc>
      </w:tr>
      <w:tr>
        <w:trPr/>
        <w:tc>
          <w:tcPr>
            <w:tcW w:w="672" w:type="dxa"/>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1.1</w:t>
            </w:r>
          </w:p>
        </w:tc>
        <w:tc>
          <w:tcPr>
            <w:tcW w:w="5673" w:type="dxa"/>
            <w:tcBorders/>
            <w:shd w:color="auto" w:fill="auto" w:val="clear"/>
          </w:tcPr>
          <w:p>
            <w:pPr>
              <w:pStyle w:val="Style34"/>
              <w:widowControl/>
              <w:suppressAutoHyphens w:val="true"/>
              <w:spacing w:before="0" w:after="0"/>
              <w:ind w:hanging="0" w:left="0" w:right="0"/>
              <w:jc w:val="left"/>
              <w:rPr>
                <w:rFonts w:ascii="Times New Roman" w:hAnsi="Times New Roman"/>
                <w:sz w:val="24"/>
              </w:rPr>
            </w:pPr>
            <w:r>
              <w:rPr>
                <w:rFonts w:eastAsia="Times New Roman" w:cs="Times New Roman"/>
                <w:kern w:val="0"/>
                <w:sz w:val="20"/>
                <w:szCs w:val="20"/>
                <w:lang w:val="ru-RU" w:eastAsia="ru-RU" w:bidi="ar-SA"/>
              </w:rPr>
              <w:t>Радиостанция носимая Пульсар 146-174 МГц, без дисплея и клавиатуры, 16 каналов, GPS, акселерометр</w:t>
            </w:r>
            <w:r>
              <w:rPr>
                <w:rFonts w:eastAsia="Times New Roman" w:cs="Times New Roman"/>
                <w:kern w:val="0"/>
                <w:sz w:val="24"/>
                <w:szCs w:val="20"/>
                <w:lang w:val="ru-RU" w:eastAsia="ru-RU" w:bidi="ar-SA"/>
              </w:rPr>
              <w:t xml:space="preserve"> </w:t>
            </w:r>
            <w:r>
              <w:rPr>
                <w:rFonts w:eastAsia="Times New Roman" w:cs="Times New Roman"/>
                <w:kern w:val="0"/>
                <w:sz w:val="20"/>
                <w:szCs w:val="20"/>
                <w:lang w:val="ru-RU" w:eastAsia="ru-RU" w:bidi="ar-SA"/>
              </w:rPr>
              <w:t>(ТСВР.464115.004.1341-01.99.0006.0100), в составе: АНТ 160-174 МГц (АРН-03),</w:t>
            </w:r>
            <w:r>
              <w:rPr>
                <w:rFonts w:eastAsia="Times New Roman" w:cs="Times New Roman"/>
                <w:kern w:val="0"/>
                <w:sz w:val="24"/>
                <w:szCs w:val="20"/>
                <w:lang w:val="ru-RU" w:eastAsia="ru-RU" w:bidi="ar-SA"/>
              </w:rPr>
              <w:t xml:space="preserve"> </w:t>
            </w:r>
            <w:r>
              <w:rPr>
                <w:rFonts w:eastAsia="Times New Roman" w:cs="Times New Roman"/>
                <w:kern w:val="0"/>
                <w:sz w:val="20"/>
                <w:szCs w:val="20"/>
                <w:lang w:val="ru-RU" w:eastAsia="ru-RU" w:bidi="ar-SA"/>
              </w:rPr>
              <w:t>АКБ Li-Ion 2500 мАч (БА-01), ЗУ с адаптером 220В (УЗ-2Л), заглушка разъема, клипса крепления на ремне РНД-500.Д1</w:t>
            </w:r>
          </w:p>
        </w:tc>
        <w:tc>
          <w:tcPr>
            <w:tcW w:w="1299" w:type="dxa"/>
            <w:tcBorders>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1.2</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Батарея аккумуляторная Li-Ion 2500мАч, 7.4В, без клипсы (ТСВР.469417.046-01.0006.0100) для не взрывозащищенных</w:t>
              <w:br/>
              <w:t>радиостанций РНД-500 БА-01</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1.3</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Устройство зарядное (шестиместное) УЗ-2Л6М</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6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1.4</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Манипулятор выносной (ТСВР.467292.002.0006.0100) для не взрывозащищенных носимых радиостанций РНД-500 МВ-01</w:t>
            </w:r>
          </w:p>
        </w:tc>
        <w:tc>
          <w:tcPr>
            <w:tcW w:w="1299" w:type="dxa"/>
            <w:tcBorders>
              <w:top w:val="nil"/>
              <w:right w:val="nil"/>
            </w:tcBorders>
            <w:shd w:color="auto" w:fill="auto" w:val="clear"/>
          </w:tcPr>
          <w:p>
            <w:pPr>
              <w:pStyle w:val="Style34"/>
              <w:widowControl/>
              <w:suppressAutoHyphens w:val="true"/>
              <w:spacing w:before="0" w:after="0"/>
              <w:ind w:hanging="0" w:left="0" w:right="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suppressAutoHyphens w:val="true"/>
              <w:spacing w:before="0" w:after="0"/>
              <w:ind w:hanging="0" w:left="0" w:right="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suppressAutoHyphens w:val="true"/>
              <w:spacing w:before="0" w:after="0"/>
              <w:ind w:hanging="0" w:left="0" w:right="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1.5</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Чехол защитный кожаный с петлей для крепления на ремень (ТСВР.305636.003) для носимых радиостанций РНД-500 без дисплея и клавиатуры ЧЗ-02</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1.6</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для программирования носимых радиостанций Пульсар РНД и возимых РВД (ТСВР.465235.102.0006.0100) СПРС КПАУ-03</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1.7</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Радиостанция возимая Пульсар 146-174 МГц, цифровой дисплей, 99 каналов, GPS (ТСВР.464115.010.1110- 10.99.0006.0100), в составе: Микрофон выносной (МВ-02),Кабель питания (КПВР-01), Антенна GPS, Скоба крепления</w:t>
              <w:br/>
              <w:t>с винтами, 2 запасных предохранителя РВД-2500.Д1</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1.8</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Антенна базовая ANLI 150-174МГц, 6,5dBi? 300W max A300MV</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1.9</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РЧ кабеля (15м), разъемы, стяжки, грозоразрядник для подключения внешней антенны к стациоанарной радиостанции РЧ</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1.10</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Источник бесперебойного питания Волна БПП 3/20 для стационарных радиостанций Волна ББП-3/20</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1.11</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Резервный АКБ 12В/12Ач 1212</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1.12</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Телескопический кронштейн для мачт 500-800 мм ZML10D-MB-03-800</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1.13</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Мачта телескопическая 6,0 м MT4538326</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1.14</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Аппаратно-программный комплекс в составе: - Лицензия Radiusip Ядро для работы в конвенциональных и транковых системах Tier 2, Tier 3 (1 диспетчерская консоль, 1 радиосервер , 50 абонентских лицензий, годовая подписка на обновления, включая техническую поддержку Стандартный пакет); - Модуль подключения радиостанции к серверу; - Z0907071 Сервер в корпусе высотой 1U НИКС aS7000/1U (Xeon E-2478/ 64 Гб/ 2 x 960 Гб SATA SSD), операционная система семейства Linux RAD-C0001</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1.15</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b w:val="false"/>
                <w:bCs w:val="false"/>
                <w:sz w:val="20"/>
                <w:szCs w:val="20"/>
              </w:rPr>
            </w:pPr>
            <w:r>
              <w:rPr>
                <w:rFonts w:eastAsia="Times New Roman" w:cs="Times New Roman"/>
                <w:b w:val="false"/>
                <w:bCs w:val="false"/>
                <w:kern w:val="0"/>
                <w:sz w:val="20"/>
                <w:szCs w:val="20"/>
                <w:lang w:val="ru-RU" w:eastAsia="ru-RU" w:bidi="ar-SA"/>
              </w:rPr>
              <w:t>ИБП RT-Series 2кВА UPS202R2 RT2B035</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1.16</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Батарейный модуль BBU042 B109535</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1.17</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Шкаф коммутационный напольный, стеклянная передняя дверь, 18U, 600x920x800 мм ШТК-Э-18.6.8-13АА</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1.18</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 вентиляторный, 3 вентилятора с терморегулятором R-FAN-3T</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1.19</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щеточного ввода в шкаф, универсальный КВ-Щ-55.210А</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1.20</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Комплект крепежа ЦМО КМ-2-25</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1.21</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Кабельный органайзер горизонтальный 19" 1U, с щеточным вводом, металлический, цвет серый (RAL7035) SH-J004A-GY</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1.22</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Модульная патч-панель 19", 16 портов, 1U, для неэкранированных модулей PLB-16</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1.23</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Корпус внешней настенной розетки на 1 Keystone MB-1</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1.24</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u w:val="none"/>
              </w:rPr>
            </w:pPr>
            <w:r>
              <w:rPr>
                <w:rFonts w:eastAsia="Times New Roman" w:cs="Times New Roman"/>
                <w:kern w:val="0"/>
                <w:sz w:val="20"/>
                <w:szCs w:val="20"/>
                <w:u w:val="none"/>
                <w:lang w:val="ru-RU" w:eastAsia="ru-RU" w:bidi="ar-SA"/>
              </w:rPr>
              <w:t>Вставка Keystone Jack RJ-45, категория 5е, заделка тип 110, белая Cabeus KJ-RJ-Cat.5e-90</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1.25</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Патч-корд U/UTP, категория 5е, 2xRJ45/8p8c, неэкранированный, серый, LSZH, 2м PC-UTP-RJ45-Cat.5e-2m-LSZH</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b w:val="false"/>
                <w:bCs w:val="false"/>
                <w:color w:val="000000"/>
                <w:kern w:val="0"/>
                <w:sz w:val="20"/>
                <w:szCs w:val="20"/>
                <w:lang w:val="ru-RU" w:eastAsia="ru-RU" w:bidi="ar-SA"/>
              </w:rPr>
              <w:t>3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1.26</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Рабочая станция G6100M (Core i3-10105F / 8 Гб / 1 Тб SSD/ 4 Гб T400/ DVDRW) G637XLQi</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1.27</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Монитор Aqview B24F1 24" (АМПР.463131.001) (23.8", 1920x1080, 75Hz, 250cd/m2, 1xVGA, 1xHDMI, 1xDVI, 1xAu; AQU-MON-B24F1</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rHeight w:val="561" w:hRule="atLeast"/>
        </w:trPr>
        <w:tc>
          <w:tcPr>
            <w:tcW w:w="672" w:type="dxa"/>
            <w:tcBorders>
              <w:top w:val="nil"/>
            </w:tcBorders>
            <w:vAlign w:val="center"/>
          </w:tcPr>
          <w:p>
            <w:pPr>
              <w:pStyle w:val="Normal"/>
              <w:widowControl w:val="false"/>
              <w:suppressAutoHyphens w:val="true"/>
              <w:spacing w:before="0" w:after="200"/>
              <w:jc w:val="both"/>
              <w:rPr>
                <w:sz w:val="24"/>
                <w:szCs w:val="24"/>
              </w:rPr>
            </w:pPr>
            <w:r>
              <w:rPr>
                <w:sz w:val="24"/>
                <w:szCs w:val="24"/>
              </w:rPr>
              <w:t>1.28</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Источник бесперебойного питания СИПБ1,2БА.6-11/ЛИ</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1.29</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Подставка под блок компьютера БК2</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lang w:val="ru-RU" w:eastAsia="ru-RU" w:bidi="ar-SA"/>
              </w:rPr>
              <w:t>1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1.30</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TMC 40x17 Мини-канал, 2м 00351</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3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1.31</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Труба жесткая стальная оцинкованная Ø32 32х3х1000 II ГОСТ 10704-91 А-Ст3сп ГОСТ 10705-80</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 м.</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1.32</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Пена двухкомпонентная огнезащитная, баллон 330 мл DN1201</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1.33</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Зажим кабельный для С-профиля, диаметр кабеля 6-12 мм SQ0804-0040</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1.34</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С-образный профиль 41х41, L300, толщ.1,5 мм, горячеоцинкованный BPL4103HDZ</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1.35</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Стальные хомуты-стяжки Gigant нерж. с полимерным покрытием 7,9x300мм 123947</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10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1.36</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Усиленный анкер с болтом М10, горячеоцинкованный CM461065HDZ</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26 шт.</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Normal"/>
              <w:widowControl w:val="false"/>
              <w:suppressAutoHyphens w:val="true"/>
              <w:spacing w:before="0" w:after="200"/>
              <w:jc w:val="both"/>
              <w:rPr>
                <w:sz w:val="24"/>
                <w:szCs w:val="24"/>
                <w:highlight w:val="none"/>
                <w:shd w:fill="auto" w:val="clear"/>
              </w:rPr>
            </w:pPr>
            <w:r>
              <w:rPr>
                <w:sz w:val="24"/>
                <w:szCs w:val="24"/>
                <w:shd w:fill="auto" w:val="clear"/>
              </w:rPr>
              <w:t>1.37</w:t>
            </w:r>
          </w:p>
        </w:tc>
        <w:tc>
          <w:tcPr>
            <w:tcW w:w="5673" w:type="dxa"/>
            <w:tcBorders>
              <w:top w:val="nil"/>
            </w:tcBorders>
            <w:shd w:color="auto" w:fill="auto" w:val="clear"/>
          </w:tcPr>
          <w:p>
            <w:pPr>
              <w:pStyle w:val="Style34"/>
              <w:widowControl/>
              <w:suppressAutoHyphens w:val="true"/>
              <w:spacing w:before="0" w:after="0"/>
              <w:ind w:hanging="0" w:left="0" w:right="0"/>
              <w:jc w:val="left"/>
              <w:rPr>
                <w:rFonts w:ascii="Times New Roman" w:hAnsi="Times New Roman"/>
                <w:sz w:val="20"/>
                <w:szCs w:val="20"/>
              </w:rPr>
            </w:pPr>
            <w:r>
              <w:rPr>
                <w:rFonts w:eastAsia="Times New Roman" w:cs="Times New Roman"/>
                <w:kern w:val="0"/>
                <w:sz w:val="20"/>
                <w:szCs w:val="20"/>
                <w:lang w:val="ru-RU" w:eastAsia="ru-RU" w:bidi="ar-SA"/>
              </w:rPr>
              <w:t>Кабель симметричный парной скрутки четырехпарный UTP-4P-Cat.5e-</w:t>
            </w:r>
          </w:p>
        </w:tc>
        <w:tc>
          <w:tcPr>
            <w:tcW w:w="1299" w:type="dxa"/>
            <w:tcBorders>
              <w:top w:val="nil"/>
              <w:right w:val="nil"/>
            </w:tcBorders>
            <w:shd w:color="auto" w:fill="auto" w:val="clea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12 м.</w:t>
            </w:r>
          </w:p>
        </w:tc>
        <w:tc>
          <w:tcPr>
            <w:tcW w:w="1248" w:type="dxa"/>
            <w:vMerge w:val="continue"/>
            <w:tcBorders>
              <w:right w:val="nil"/>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c>
          <w:tcPr>
            <w:tcW w:w="1141" w:type="dxa"/>
            <w:vMerge w:val="continue"/>
            <w:tcBorders/>
            <w:vAlign w:val="center"/>
          </w:tcPr>
          <w:p>
            <w:pPr>
              <w:pStyle w:val="Style34"/>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b/>
                <w:bCs/>
              </w:rPr>
            </w:pPr>
            <w:r>
              <w:rPr>
                <w:rFonts w:cs="Times New Roman"/>
                <w:b/>
                <w:bCs/>
                <w:kern w:val="0"/>
                <w:lang w:val="ru-RU" w:eastAsia="ru-RU" w:bidi="ar-SA"/>
              </w:rPr>
              <w:t>2</w:t>
            </w:r>
          </w:p>
        </w:tc>
        <w:tc>
          <w:tcPr>
            <w:tcW w:w="6972" w:type="dxa"/>
            <w:gridSpan w:val="2"/>
            <w:tcBorders>
              <w:right w:val="nil"/>
            </w:tcBorders>
            <w:shd w:color="auto" w:fill="auto" w:val="clea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гарантиям, гарантийному и послегарантийному обслуживанию</w:t>
            </w:r>
          </w:p>
        </w:tc>
        <w:tc>
          <w:tcPr>
            <w:tcW w:w="1248" w:type="dxa"/>
            <w:vMerge w:val="restart"/>
            <w:tcBorders>
              <w:right w:val="nil"/>
            </w:tcBorders>
            <w:shd w:color="auto" w:fill="auto" w:val="clear"/>
          </w:tcPr>
          <w:p>
            <w:pPr>
              <w:pStyle w:val="Normal"/>
              <w:widowControl w:val="false"/>
              <w:suppressAutoHyphens w:val="true"/>
              <w:spacing w:before="0" w:after="0"/>
              <w:jc w:val="center"/>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0" w:after="0"/>
              <w:jc w:val="center"/>
              <w:rPr>
                <w:sz w:val="24"/>
                <w:szCs w:val="24"/>
              </w:rPr>
            </w:pPr>
            <w:r>
              <w:rPr>
                <w:sz w:val="24"/>
                <w:szCs w:val="24"/>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2.1</w:t>
            </w:r>
          </w:p>
        </w:tc>
        <w:tc>
          <w:tcPr>
            <w:tcW w:w="6972" w:type="dxa"/>
            <w:gridSpan w:val="2"/>
            <w:tcBorders>
              <w:top w:val="nil"/>
              <w:right w:val="nil"/>
            </w:tcBorders>
            <w:shd w:color="auto" w:fill="auto" w:val="clear"/>
          </w:tcPr>
          <w:p>
            <w:pPr>
              <w:pStyle w:val="Normal"/>
              <w:widowControl w:val="false"/>
              <w:suppressAutoHyphens w:val="true"/>
              <w:spacing w:before="0" w:after="200"/>
              <w:jc w:val="both"/>
              <w:rPr>
                <w:sz w:val="24"/>
                <w:szCs w:val="24"/>
              </w:rPr>
            </w:pPr>
            <w:r>
              <w:rPr>
                <w:rFonts w:eastAsia="Calibri" w:cs="Times New Roman"/>
                <w:kern w:val="0"/>
                <w:sz w:val="24"/>
                <w:szCs w:val="24"/>
                <w:lang w:val="ru-RU" w:eastAsia="ru-RU" w:bidi="ar-SA"/>
              </w:rPr>
              <w:t xml:space="preserve">Поставщик обязан установить на продукцию гарантийный срок не менее </w:t>
            </w:r>
            <w:r>
              <w:rPr>
                <w:rFonts w:eastAsia="Calibri" w:cs="Times New Roman"/>
                <w:color w:val="000000"/>
                <w:kern w:val="0"/>
                <w:sz w:val="24"/>
                <w:szCs w:val="24"/>
                <w:lang w:val="ru-RU" w:eastAsia="ru-RU" w:bidi="ar-SA"/>
              </w:rPr>
              <w:t xml:space="preserve">36 (тридцати шести) </w:t>
            </w:r>
            <w:r>
              <w:rPr>
                <w:rFonts w:eastAsia="Calibri" w:cs="Times New Roman"/>
                <w:kern w:val="0"/>
                <w:sz w:val="24"/>
                <w:szCs w:val="24"/>
                <w:lang w:val="ru-RU" w:eastAsia="ru-RU" w:bidi="ar-SA"/>
              </w:rPr>
              <w:t>месяцев с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tc>
        <w:tc>
          <w:tcPr>
            <w:tcW w:w="1248" w:type="dxa"/>
            <w:vMerge w:val="continue"/>
            <w:tcBorders>
              <w:right w:val="nil"/>
            </w:tcBorders>
            <w:shd w:color="auto" w:fill="auto" w:val="clear"/>
          </w:tcPr>
          <w:p>
            <w:pPr>
              <w:pStyle w:val="Normal"/>
              <w:widowControl w:val="false"/>
              <w:suppressAutoHyphens w:val="true"/>
              <w:spacing w:before="0" w:after="20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200"/>
              <w:jc w:val="both"/>
              <w:rPr>
                <w:sz w:val="24"/>
                <w:szCs w:val="24"/>
              </w:rPr>
            </w:pPr>
            <w:r>
              <w:rPr>
                <w:sz w:val="24"/>
                <w:szCs w:val="24"/>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lang w:val="en-US"/>
              </w:rPr>
            </w:pPr>
            <w:r>
              <w:rPr>
                <w:rFonts w:cs="Times New Roman"/>
                <w:b/>
                <w:bCs/>
                <w:kern w:val="0"/>
                <w:lang w:val="en-US" w:eastAsia="ru-RU" w:bidi="ar-SA"/>
              </w:rPr>
              <w:t>3</w:t>
            </w:r>
          </w:p>
        </w:tc>
        <w:tc>
          <w:tcPr>
            <w:tcW w:w="6972" w:type="dxa"/>
            <w:gridSpan w:val="2"/>
            <w:tcBorders>
              <w:top w:val="nil"/>
              <w:right w:val="nil"/>
            </w:tcBorders>
            <w:shd w:color="auto" w:fill="auto" w:val="clear"/>
          </w:tcPr>
          <w:p>
            <w:pPr>
              <w:pStyle w:val="Normal"/>
              <w:widowControl w:val="false"/>
              <w:suppressAutoHyphens w:val="true"/>
              <w:spacing w:before="0" w:after="200"/>
              <w:jc w:val="left"/>
              <w:rPr>
                <w:sz w:val="24"/>
                <w:szCs w:val="24"/>
              </w:rPr>
            </w:pPr>
            <w:r>
              <w:rPr>
                <w:rFonts w:eastAsia="Calibri" w:cs="Times New Roman"/>
                <w:b/>
                <w:kern w:val="0"/>
                <w:sz w:val="24"/>
                <w:szCs w:val="24"/>
                <w:lang w:val="ru-RU" w:eastAsia="ru-RU" w:bidi="ar-SA"/>
              </w:rPr>
              <w:t>Требования к комплектации и документам, поставляемым вместе с продукцией</w:t>
            </w:r>
          </w:p>
        </w:tc>
        <w:tc>
          <w:tcPr>
            <w:tcW w:w="1248" w:type="dxa"/>
            <w:vMerge w:val="restart"/>
            <w:tcBorders>
              <w:top w:val="nil"/>
              <w:right w:val="nil"/>
            </w:tcBorders>
            <w:shd w:color="auto" w:fill="auto" w:val="clear"/>
          </w:tcPr>
          <w:p>
            <w:pPr>
              <w:pStyle w:val="Normal"/>
              <w:widowControl w:val="false"/>
              <w:suppressAutoHyphens w:val="true"/>
              <w:spacing w:before="0" w:after="200"/>
              <w:jc w:val="left"/>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0" w:after="200"/>
              <w:jc w:val="left"/>
              <w:rPr>
                <w:sz w:val="24"/>
                <w:szCs w:val="24"/>
              </w:rPr>
            </w:pPr>
            <w:r>
              <w:rPr>
                <w:sz w:val="24"/>
                <w:szCs w:val="24"/>
              </w:rPr>
            </w:r>
          </w:p>
        </w:tc>
      </w:tr>
      <w:tr>
        <w:trPr/>
        <w:tc>
          <w:tcPr>
            <w:tcW w:w="672" w:type="dxa"/>
            <w:tcBorders>
              <w:top w:val="nil"/>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eastAsia="ru-RU" w:bidi="ar-SA"/>
              </w:rPr>
            </w:pPr>
            <w:r>
              <w:rPr>
                <w:rFonts w:cs="Times New Roman"/>
                <w:kern w:val="0"/>
                <w:lang w:val="ru-RU" w:eastAsia="ru-RU" w:bidi="ar-SA"/>
              </w:rPr>
              <w:t>3.1</w:t>
            </w:r>
          </w:p>
        </w:tc>
        <w:tc>
          <w:tcPr>
            <w:tcW w:w="6972" w:type="dxa"/>
            <w:gridSpan w:val="2"/>
            <w:tcBorders>
              <w:top w:val="nil"/>
              <w:right w:val="nil"/>
            </w:tcBorders>
            <w:shd w:color="auto" w:fill="auto" w:val="clear"/>
          </w:tcPr>
          <w:p>
            <w:pPr>
              <w:pStyle w:val="Normal"/>
              <w:widowControl w:val="false"/>
              <w:suppressAutoHyphens w:val="true"/>
              <w:spacing w:before="0" w:after="0"/>
              <w:jc w:val="left"/>
              <w:rPr/>
            </w:pPr>
            <w:r>
              <w:rPr>
                <w:rFonts w:eastAsia="Times New Roman" w:cs="Times New Roman"/>
                <w:kern w:val="0"/>
                <w:sz w:val="24"/>
                <w:szCs w:val="24"/>
                <w:lang w:val="ru-RU" w:eastAsia="ru-RU" w:bidi="ar-SA"/>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Сертификат качества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Технический паспорт на русском языке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Инструкция по эксплуатации (монтажу и т.п.) на русском языке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Упаковочный лист на Продукцию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Обязательные первичные документы:</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suppressAutoHyphens w:val="true"/>
              <w:spacing w:before="0" w:after="0"/>
              <w:jc w:val="left"/>
              <w:rPr/>
            </w:pPr>
            <w:r>
              <w:rPr>
                <w:rFonts w:eastAsia="Times New Roman" w:cs="Times New Roman"/>
                <w:kern w:val="0"/>
                <w:sz w:val="24"/>
                <w:szCs w:val="24"/>
                <w:lang w:val="ru-RU" w:eastAsia="ru-RU" w:bidi="ar-SA"/>
              </w:rPr>
              <w:t xml:space="preserve">    • </w:t>
            </w:r>
            <w:r>
              <w:rPr>
                <w:rFonts w:eastAsia="Times New Roman" w:cs="Times New Roman"/>
                <w:kern w:val="0"/>
                <w:sz w:val="24"/>
                <w:szCs w:val="24"/>
                <w:lang w:val="ru-RU" w:eastAsia="ru-RU" w:bidi="ar-SA"/>
              </w:rPr>
              <w:t>Товарную накладную по форме ТОРГ-12 или Универсальный передаточный документ (УПД) в 2 экз.</w:t>
            </w:r>
          </w:p>
        </w:tc>
        <w:tc>
          <w:tcPr>
            <w:tcW w:w="1248" w:type="dxa"/>
            <w:vMerge w:val="continue"/>
            <w:tcBorders>
              <w:top w:val="nil"/>
              <w:right w:val="nil"/>
            </w:tcBorders>
            <w:shd w:color="auto" w:fill="auto" w:val="clear"/>
          </w:tcPr>
          <w:p>
            <w:pPr>
              <w:pStyle w:val="Normal"/>
              <w:widowControl w:val="false"/>
              <w:suppressAutoHyphens w:val="true"/>
              <w:spacing w:before="0" w:after="0"/>
              <w:jc w:val="center"/>
              <w:rPr>
                <w:sz w:val="24"/>
                <w:szCs w:val="24"/>
              </w:rPr>
            </w:pPr>
            <w:r>
              <w:rPr>
                <w:sz w:val="24"/>
                <w:szCs w:val="24"/>
              </w:rPr>
            </w:r>
          </w:p>
        </w:tc>
        <w:tc>
          <w:tcPr>
            <w:tcW w:w="1141" w:type="dxa"/>
            <w:vMerge w:val="continue"/>
            <w:tcBorders/>
            <w:vAlign w:val="center"/>
          </w:tcPr>
          <w:p>
            <w:pPr>
              <w:pStyle w:val="Normal"/>
              <w:widowControl w:val="false"/>
              <w:suppressAutoHyphens w:val="true"/>
              <w:spacing w:before="0" w:after="0"/>
              <w:jc w:val="center"/>
              <w:rPr>
                <w:sz w:val="24"/>
                <w:szCs w:val="24"/>
              </w:rPr>
            </w:pPr>
            <w:r>
              <w:rPr>
                <w:sz w:val="24"/>
                <w:szCs w:val="24"/>
              </w:rPr>
            </w:r>
          </w:p>
        </w:tc>
      </w:tr>
      <w:tr>
        <w:trPr/>
        <w:tc>
          <w:tcPr>
            <w:tcW w:w="672"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en-US" w:eastAsia="x-none" w:bidi="ar-SA"/>
              </w:rPr>
              <w:t>4</w:t>
            </w:r>
          </w:p>
        </w:tc>
        <w:tc>
          <w:tcPr>
            <w:tcW w:w="6972" w:type="dxa"/>
            <w:gridSpan w:val="2"/>
            <w:tcBorders>
              <w:right w:val="nil"/>
            </w:tcBorders>
            <w:vAlign w:val="center"/>
          </w:tcPr>
          <w:p>
            <w:pPr>
              <w:pStyle w:val="Normal"/>
              <w:widowControl w:val="false"/>
              <w:suppressAutoHyphens w:val="true"/>
              <w:spacing w:before="0" w:after="0"/>
              <w:jc w:val="left"/>
              <w:rPr>
                <w:sz w:val="24"/>
                <w:szCs w:val="24"/>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c>
          <w:tcPr>
            <w:tcW w:w="1248" w:type="dxa"/>
            <w:vMerge w:val="restart"/>
            <w:tcBorders>
              <w:right w:val="nil"/>
            </w:tcBorders>
            <w:vAlign w:val="center"/>
          </w:tcPr>
          <w:p>
            <w:pPr>
              <w:pStyle w:val="Normal"/>
              <w:widowControl w:val="false"/>
              <w:suppressAutoHyphens w:val="true"/>
              <w:spacing w:before="0" w:after="0"/>
              <w:jc w:val="left"/>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0" w:after="0"/>
              <w:jc w:val="left"/>
              <w:rPr>
                <w:sz w:val="24"/>
                <w:szCs w:val="24"/>
              </w:rPr>
            </w:pPr>
            <w:r>
              <w:rPr>
                <w:sz w:val="24"/>
                <w:szCs w:val="24"/>
              </w:rPr>
            </w:r>
          </w:p>
        </w:tc>
      </w:tr>
      <w:tr>
        <w:trPr/>
        <w:tc>
          <w:tcPr>
            <w:tcW w:w="672"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4.1</w:t>
            </w:r>
          </w:p>
        </w:tc>
        <w:tc>
          <w:tcPr>
            <w:tcW w:w="6972" w:type="dxa"/>
            <w:gridSpan w:val="2"/>
            <w:tcBorders>
              <w:right w:val="nil"/>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Место поставки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404130, Волгоградская обл., г.Волжский, пр-т Ленина 1А территория филиала ПАО «РусГидро» - Волжская ГЭС».</w:t>
            </w:r>
          </w:p>
        </w:tc>
        <w:tc>
          <w:tcPr>
            <w:tcW w:w="1248" w:type="dxa"/>
            <w:vMerge w:val="continue"/>
            <w:tcBorders>
              <w:right w:val="nil"/>
            </w:tcBorders>
            <w:vAlign w:val="center"/>
          </w:tcPr>
          <w:p>
            <w:pPr>
              <w:pStyle w:val="Normal"/>
              <w:widowControl w:val="false"/>
              <w:suppressAutoHyphens w:val="true"/>
              <w:spacing w:before="0" w:after="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r>
        <w:trPr/>
        <w:tc>
          <w:tcPr>
            <w:tcW w:w="672"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4.2</w:t>
            </w:r>
          </w:p>
        </w:tc>
        <w:tc>
          <w:tcPr>
            <w:tcW w:w="6972" w:type="dxa"/>
            <w:gridSpan w:val="2"/>
            <w:tcBorders>
              <w:right w:val="nil"/>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Приемка продукции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Только в рабочие дни с 9-00 до 11-00 и с 13-00 до 16-00</w:t>
            </w:r>
          </w:p>
        </w:tc>
        <w:tc>
          <w:tcPr>
            <w:tcW w:w="1248" w:type="dxa"/>
            <w:vMerge w:val="continue"/>
            <w:tcBorders>
              <w:right w:val="nil"/>
            </w:tcBorders>
            <w:vAlign w:val="center"/>
          </w:tcPr>
          <w:p>
            <w:pPr>
              <w:pStyle w:val="Normal"/>
              <w:widowControl w:val="false"/>
              <w:suppressAutoHyphens w:val="true"/>
              <w:spacing w:before="0" w:after="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r>
        <w:trPr/>
        <w:tc>
          <w:tcPr>
            <w:tcW w:w="672" w:type="dxa"/>
            <w:tcBorders/>
            <w:vAlign w:val="center"/>
          </w:tcPr>
          <w:p>
            <w:pPr>
              <w:pStyle w:val="Normal"/>
              <w:widowControl w:val="false"/>
              <w:suppressAutoHyphens w:val="true"/>
              <w:spacing w:before="60" w:after="60"/>
              <w:jc w:val="center"/>
              <w:rPr>
                <w:sz w:val="24"/>
                <w:szCs w:val="24"/>
              </w:rPr>
            </w:pPr>
            <w:r>
              <w:rPr>
                <w:rFonts w:eastAsia="Times New Roman" w:cs="Times New Roman"/>
                <w:kern w:val="0"/>
                <w:sz w:val="24"/>
                <w:szCs w:val="24"/>
                <w:lang w:val="ru-RU" w:eastAsia="ru-RU" w:bidi="ar-SA"/>
              </w:rPr>
              <w:t>4.3</w:t>
            </w:r>
          </w:p>
        </w:tc>
        <w:tc>
          <w:tcPr>
            <w:tcW w:w="6972" w:type="dxa"/>
            <w:gridSpan w:val="2"/>
            <w:tcBorders>
              <w:right w:val="nil"/>
            </w:tcBorders>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c>
          <w:tcPr>
            <w:tcW w:w="1248" w:type="dxa"/>
            <w:vMerge w:val="continue"/>
            <w:tcBorders>
              <w:right w:val="nil"/>
            </w:tcBorders>
            <w:vAlign w:val="center"/>
          </w:tcPr>
          <w:p>
            <w:pPr>
              <w:pStyle w:val="Normal"/>
              <w:widowControl w:val="false"/>
              <w:suppressAutoHyphens w:val="true"/>
              <w:spacing w:before="0" w:after="0"/>
              <w:jc w:val="both"/>
              <w:rPr>
                <w:sz w:val="20"/>
                <w:szCs w:val="20"/>
              </w:rPr>
            </w:pPr>
            <w:r>
              <w:rPr>
                <w:sz w:val="20"/>
                <w:szCs w:val="20"/>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r>
        <w:trPr/>
        <w:tc>
          <w:tcPr>
            <w:tcW w:w="672" w:type="dxa"/>
            <w:tcBorders/>
            <w:vAlign w:val="center"/>
          </w:tcPr>
          <w:p>
            <w:pPr>
              <w:pStyle w:val="Normal"/>
              <w:widowControl w:val="false"/>
              <w:suppressAutoHyphens w:val="true"/>
              <w:spacing w:before="60" w:after="60"/>
              <w:jc w:val="left"/>
              <w:rPr>
                <w:sz w:val="24"/>
                <w:szCs w:val="24"/>
                <w:lang w:val="en-US"/>
              </w:rPr>
            </w:pPr>
            <w:r>
              <w:rPr>
                <w:rFonts w:eastAsia="Times New Roman" w:cs="Times New Roman"/>
                <w:b/>
                <w:bCs/>
                <w:kern w:val="0"/>
                <w:sz w:val="24"/>
                <w:szCs w:val="24"/>
                <w:lang w:val="en-US" w:eastAsia="x-none" w:bidi="ar-SA"/>
              </w:rPr>
              <w:t xml:space="preserve">  </w:t>
            </w:r>
            <w:r>
              <w:rPr>
                <w:rFonts w:eastAsia="Times New Roman" w:cs="Times New Roman"/>
                <w:b/>
                <w:bCs/>
                <w:kern w:val="0"/>
                <w:sz w:val="24"/>
                <w:szCs w:val="24"/>
                <w:lang w:val="en-US" w:eastAsia="x-none" w:bidi="ar-SA"/>
              </w:rPr>
              <w:t>5</w:t>
            </w:r>
          </w:p>
        </w:tc>
        <w:tc>
          <w:tcPr>
            <w:tcW w:w="6972" w:type="dxa"/>
            <w:gridSpan w:val="2"/>
            <w:tcBorders>
              <w:right w:val="nil"/>
            </w:tcBorders>
            <w:vAlign w:val="center"/>
          </w:tcPr>
          <w:p>
            <w:pPr>
              <w:pStyle w:val="Normal"/>
              <w:widowControl w:val="false"/>
              <w:suppressAutoHyphens w:val="true"/>
              <w:spacing w:before="60" w:after="60"/>
              <w:jc w:val="left"/>
              <w:rPr>
                <w:sz w:val="24"/>
                <w:szCs w:val="24"/>
              </w:rPr>
            </w:pPr>
            <w:r>
              <w:rPr>
                <w:rFonts w:eastAsia="Times New Roman" w:cs="Times New Roman"/>
                <w:b/>
                <w:kern w:val="0"/>
                <w:sz w:val="24"/>
                <w:szCs w:val="24"/>
                <w:lang w:val="ru-RU" w:eastAsia="ru-RU" w:bidi="ar-SA"/>
              </w:rPr>
              <w:t>Прочие (дополнительные) требования к продукции</w:t>
            </w:r>
          </w:p>
        </w:tc>
        <w:tc>
          <w:tcPr>
            <w:tcW w:w="1248" w:type="dxa"/>
            <w:vMerge w:val="restart"/>
            <w:tcBorders>
              <w:right w:val="nil"/>
            </w:tcBorders>
            <w:vAlign w:val="center"/>
          </w:tcPr>
          <w:p>
            <w:pPr>
              <w:pStyle w:val="Normal"/>
              <w:widowControl w:val="false"/>
              <w:suppressAutoHyphens w:val="true"/>
              <w:spacing w:before="60" w:after="60"/>
              <w:jc w:val="left"/>
              <w:rPr>
                <w:sz w:val="20"/>
                <w:szCs w:val="20"/>
              </w:rPr>
            </w:pPr>
            <w:r>
              <w:rPr>
                <w:sz w:val="20"/>
                <w:szCs w:val="20"/>
              </w:rPr>
              <w:t>Согласие с требованием</w:t>
            </w:r>
          </w:p>
        </w:tc>
        <w:tc>
          <w:tcPr>
            <w:tcW w:w="1141" w:type="dxa"/>
            <w:vMerge w:val="continue"/>
            <w:tcBorders/>
            <w:vAlign w:val="center"/>
          </w:tcPr>
          <w:p>
            <w:pPr>
              <w:pStyle w:val="Normal"/>
              <w:widowControl w:val="false"/>
              <w:suppressAutoHyphens w:val="true"/>
              <w:spacing w:before="60" w:after="60"/>
              <w:jc w:val="left"/>
              <w:rPr>
                <w:sz w:val="24"/>
                <w:szCs w:val="24"/>
              </w:rPr>
            </w:pPr>
            <w:r>
              <w:rPr>
                <w:sz w:val="24"/>
                <w:szCs w:val="24"/>
              </w:rPr>
            </w:r>
          </w:p>
        </w:tc>
      </w:tr>
      <w:tr>
        <w:trPr/>
        <w:tc>
          <w:tcPr>
            <w:tcW w:w="672" w:type="dxa"/>
            <w:tcBorders/>
            <w:vAlign w:val="center"/>
          </w:tcPr>
          <w:p>
            <w:pPr>
              <w:pStyle w:val="ListParagraph"/>
              <w:widowControl w:val="false"/>
              <w:suppressAutoHyphens w:val="true"/>
              <w:spacing w:before="60" w:after="60"/>
              <w:ind w:hanging="0" w:left="-117"/>
              <w:contextualSpacing/>
              <w:jc w:val="center"/>
              <w:rPr>
                <w:rFonts w:ascii="Times New Roman" w:hAnsi="Times New Roman" w:cs="Times New Roman"/>
                <w:kern w:val="0"/>
                <w:lang w:val="ru-RU" w:bidi="ar-SA"/>
              </w:rPr>
            </w:pPr>
            <w:r>
              <w:rPr>
                <w:rFonts w:cs="Times New Roman"/>
                <w:kern w:val="0"/>
                <w:lang w:val="ru-RU" w:eastAsia="x-none" w:bidi="ar-SA"/>
              </w:rPr>
              <w:t>5.1</w:t>
            </w:r>
          </w:p>
        </w:tc>
        <w:tc>
          <w:tcPr>
            <w:tcW w:w="6972" w:type="dxa"/>
            <w:gridSpan w:val="2"/>
            <w:tcBorders>
              <w:right w:val="nil"/>
            </w:tcBorders>
            <w:vAlign w:val="center"/>
          </w:tcPr>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соответствовать требованиям: Технического регламента Таможенного союза «О безопасности машин и оборудования» ТР ТС 010/2011.</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Продукция должна поставляться в пригодной для транспортировки упаковке, которая может защитить его от воздействия внешних условий, таких как вода, пыль и т.п. Упаковка должна обеспечивать полную сохранность продукции на весь срок его транспортировки с учетом перегрузок и длительного хранения.</w:t>
            </w:r>
          </w:p>
        </w:tc>
        <w:tc>
          <w:tcPr>
            <w:tcW w:w="1248" w:type="dxa"/>
            <w:vMerge w:val="continue"/>
            <w:tcBorders>
              <w:right w:val="nil"/>
            </w:tcBorders>
            <w:vAlign w:val="center"/>
          </w:tcPr>
          <w:p>
            <w:pPr>
              <w:pStyle w:val="Normal"/>
              <w:widowControl w:val="false"/>
              <w:suppressAutoHyphens w:val="true"/>
              <w:spacing w:before="0" w:after="0"/>
              <w:jc w:val="both"/>
              <w:rPr>
                <w:sz w:val="24"/>
                <w:szCs w:val="24"/>
              </w:rPr>
            </w:pPr>
            <w:r>
              <w:rPr>
                <w:sz w:val="24"/>
                <w:szCs w:val="24"/>
              </w:rPr>
            </w:r>
          </w:p>
        </w:tc>
        <w:tc>
          <w:tcPr>
            <w:tcW w:w="1141" w:type="dxa"/>
            <w:vMerge w:val="continue"/>
            <w:tcBorders/>
            <w:vAlign w:val="center"/>
          </w:tcPr>
          <w:p>
            <w:pPr>
              <w:pStyle w:val="Normal"/>
              <w:widowControl w:val="false"/>
              <w:suppressAutoHyphens w:val="true"/>
              <w:spacing w:before="0" w:after="0"/>
              <w:jc w:val="both"/>
              <w:rPr>
                <w:sz w:val="24"/>
                <w:szCs w:val="24"/>
              </w:rPr>
            </w:pPr>
            <w:r>
              <w:rPr>
                <w:sz w:val="24"/>
                <w:szCs w:val="24"/>
              </w:rPr>
            </w:r>
          </w:p>
        </w:tc>
      </w:tr>
    </w:tbl>
    <w:p>
      <w:pPr>
        <w:pStyle w:val="Heading1"/>
        <w:spacing w:before="120" w:after="60"/>
        <w:ind w:hanging="0" w:left="1224"/>
        <w:rPr/>
      </w:pPr>
      <w:r>
        <w:rPr/>
      </w:r>
    </w:p>
    <w:p>
      <w:pPr>
        <w:pStyle w:val="ListParagraph"/>
        <w:widowControl w:val="false"/>
        <w:spacing w:before="60" w:after="60"/>
        <w:ind w:hanging="0" w:left="-117"/>
        <w:contextualSpacing/>
        <w:rPr>
          <w:sz w:val="24"/>
          <w:szCs w:val="24"/>
        </w:rPr>
      </w:pPr>
      <w:r>
        <w:rPr>
          <w:b/>
          <w:bCs/>
          <w:sz w:val="24"/>
          <w:szCs w:val="24"/>
        </w:rPr>
        <w:t>3. Требования к документации по ценообразованию на этапе закупки</w:t>
      </w:r>
    </w:p>
    <w:p>
      <w:pPr>
        <w:pStyle w:val="Normal"/>
        <w:widowControl w:val="false"/>
        <w:spacing w:before="60" w:after="60"/>
        <w:rPr>
          <w:sz w:val="24"/>
          <w:szCs w:val="24"/>
        </w:rPr>
      </w:pPr>
      <w:r>
        <w:rPr>
          <w:sz w:val="24"/>
          <w:szCs w:val="24"/>
        </w:rPr>
        <w:t xml:space="preserve"> </w:t>
      </w:r>
      <w:r>
        <w:rPr>
          <w:sz w:val="24"/>
          <w:szCs w:val="24"/>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ListParagraph"/>
        <w:widowControl w:val="false"/>
        <w:spacing w:before="60" w:after="60"/>
        <w:ind w:hanging="0" w:left="-117"/>
        <w:contextualSpacing/>
        <w:rPr>
          <w:sz w:val="24"/>
          <w:szCs w:val="24"/>
        </w:rPr>
      </w:pPr>
      <w:r>
        <w:rPr>
          <w:sz w:val="24"/>
          <w:szCs w:val="24"/>
        </w:rPr>
        <w:t>3.2. Дополнительные документы по ценообразованию в состав заявки не включаются.</w:t>
      </w:r>
    </w:p>
    <w:p>
      <w:pPr>
        <w:pStyle w:val="Normal"/>
        <w:spacing w:before="120" w:after="60"/>
        <w:ind w:hanging="0" w:left="1224"/>
        <w:rPr/>
      </w:pPr>
      <w:r>
        <w:rPr/>
      </w:r>
    </w:p>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7</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d561d9"/>
    <w:rPr>
      <w:vertAlign w:val="superscript"/>
    </w:rPr>
  </w:style>
  <w:style w:type="character" w:styleId="Pagenumber">
    <w:name w:val="page number"/>
    <w:basedOn w:val="DefaultParagraphFont"/>
    <w:qFormat/>
    <w:rsid w:val="006c2f3f"/>
    <w:rPr/>
  </w:style>
  <w:style w:type="character" w:styleId="1" w:customStyle="1">
    <w:name w:val="Гиперссылка1"/>
    <w:uiPriority w:val="99"/>
    <w:qFormat/>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6"/>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2"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3879d4"/>
    <w:rPr>
      <w:vertAlign w:val="superscript"/>
    </w:rPr>
  </w:style>
  <w:style w:type="character" w:styleId="22" w:customStyle="1">
    <w:name w:val="Пункт2 Знак"/>
    <w:link w:val="24"/>
    <w:qFormat/>
    <w:rsid w:val="00de52bc"/>
    <w:rPr>
      <w:b/>
      <w:sz w:val="28"/>
    </w:rPr>
  </w:style>
  <w:style w:type="character" w:styleId="13" w:customStyle="1">
    <w:name w:val="УРОВЕНЬ_1. Знак"/>
    <w:link w:val="110"/>
    <w:qFormat/>
    <w:rsid w:val="004a17ae"/>
    <w:rPr>
      <w:rFonts w:eastAsia="Calibri"/>
      <w:caps/>
      <w:sz w:val="28"/>
      <w:szCs w:val="28"/>
      <w:lang w:eastAsia="en-US"/>
    </w:rPr>
  </w:style>
  <w:style w:type="character" w:styleId="14"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сылка указателя"/>
    <w:qFormat/>
    <w:rPr/>
  </w:style>
  <w:style w:type="character" w:styleId="Hyperlink">
    <w:name w:val="Hyperlink"/>
    <w:basedOn w:val="DefaultParagraphFont"/>
    <w:uiPriority w:val="99"/>
    <w:unhideWhenUsed/>
    <w:rsid w:val="0087245f"/>
    <w:rPr>
      <w:color w:val="0563C1" w:themeColor="hyperlink"/>
      <w:u w:val="single"/>
    </w:rPr>
  </w:style>
  <w:style w:type="paragraph" w:styleId="Style15">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qFormat/>
    <w:rsid w:val="00d22f6d"/>
    <w:pPr/>
    <w:rPr>
      <w:rFonts w:eastAsia="Calibri"/>
      <w:b/>
      <w:bCs/>
      <w:color w:val="4F81BD"/>
      <w:sz w:val="18"/>
      <w:szCs w:val="18"/>
    </w:rPr>
  </w:style>
  <w:style w:type="paragraph" w:styleId="Indexheading11" w:customStyle="1">
    <w:name w:val="index heading11"/>
    <w:basedOn w:val="Title"/>
    <w:qFormat/>
    <w:pPr/>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5"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uiPriority w:val="10"/>
    <w:qFormat/>
    <w:rsid w:val="00bd4014"/>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1" w:customStyle="1">
    <w:name w:val="Подпункт"/>
    <w:basedOn w:val="Normal"/>
    <w:link w:val="12"/>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hanging="0" w:left="28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hanging="0" w:left="56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Subtitle">
    <w:name w:val="Subtitle"/>
    <w:basedOn w:val="Normal"/>
    <w:next w:val="Normal"/>
    <w:link w:val="Style2"/>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hanging="0" w:left="72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hanging="0" w:left="57" w:right="57"/>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rsid w:val="005773b2"/>
    <w:pPr>
      <w:keepLines/>
      <w:tabs>
        <w:tab w:val="clear" w:pos="0"/>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link w:val="13"/>
    <w:qFormat/>
    <w:rsid w:val="004a17ae"/>
    <w:pPr>
      <w:keepNext w:val="true"/>
      <w:keepLines/>
      <w:spacing w:lineRule="auto" w:line="276" w:before="240" w:after="120"/>
      <w:ind w:hanging="0" w:left="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3" w:customStyle="1">
    <w:name w:val="Содержимое врезки"/>
    <w:basedOn w:val="Normal"/>
    <w:qFormat/>
    <w:pPr/>
    <w:rPr/>
  </w:style>
  <w:style w:type="paragraph" w:styleId="111" w:customStyle="1">
    <w:name w:val="Основной текст1"/>
    <w:basedOn w:val="Normal"/>
    <w:qFormat/>
    <w:pPr>
      <w:widowControl w:val="false"/>
      <w:shd w:val="clear" w:color="auto" w:fill="FFFFFF"/>
      <w:spacing w:lineRule="exact" w:line="302"/>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NoList" w:default="1">
    <w:name w:val="No List"/>
    <w:uiPriority w:val="99"/>
    <w:semiHidden/>
    <w:unhideWhenUsed/>
    <w:qFormat/>
  </w:style>
  <w:style w:type="numbering" w:styleId="112"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fff6">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9B493-3199-4B66-BE74-97FEEB3C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Application>AlterOffice/2026.2.0.0$Linux_X86_64 LibreOffice_project/bc4ef1adf80b36c7a6365f8ed6cbf29021361edd</Application>
  <AppVersion>15.0000</AppVersion>
  <DocSecurity>4</DocSecurity>
  <Pages>7</Pages>
  <Words>1721</Words>
  <Characters>11042</Characters>
  <CharactersWithSpaces>12454</CharactersWithSpaces>
  <Paragraphs>347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2024-12-04T13:04:00Z</dcterms:created>
  <dc:creator>Быстров Олег Геннадьевич</dc:creator>
  <dc:description/>
  <dc:language>ru-RU</dc:language>
  <cp:lastModifiedBy>korolevkv@corp.gidroogk.com</cp:lastModifiedBy>
  <dcterms:modified xsi:type="dcterms:W3CDTF">2026-10-21T16:32:50Z</dcterms:modified>
  <cp:revision>60</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