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15"/>
        <w:tblW w:w="106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0"/>
        <w:gridCol w:w="4983"/>
      </w:tblGrid>
      <w:tr>
        <w:trPr/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3"/>
              <w:keepNext w:val="true"/>
              <w:keepLines/>
              <w:widowControl w:val="false"/>
              <w:shd w:val="clear" w:color="auto" w:fill="auto"/>
              <w:suppressAutoHyphens w:val="true"/>
              <w:spacing w:before="0" w:after="0"/>
              <w:ind w:right="40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13"/>
              <w:keepNext w:val="true"/>
              <w:keepLines/>
              <w:widowControl w:val="false"/>
              <w:shd w:val="clear" w:color="auto" w:fill="auto"/>
              <w:suppressAutoHyphens w:val="true"/>
              <w:spacing w:before="0" w:after="0"/>
              <w:ind w:right="40"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УТВЕРЖДАЮ:</w:t>
            </w:r>
          </w:p>
        </w:tc>
      </w:tr>
      <w:tr>
        <w:trPr/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Директор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ООО «»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________________Ф.И.О.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«__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_</w:t>
            </w: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_» _</w:t>
            </w: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________________</w:t>
            </w: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__ 2026 г.г.</w:t>
            </w:r>
          </w:p>
        </w:tc>
      </w:tr>
      <w:tr>
        <w:trPr/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lineRule="exact" w:line="313" w:before="0" w:after="0"/>
              <w:ind w:left="0" w:right="40" w:hanging="0"/>
              <w:jc w:val="both"/>
              <w:outlineLvl w:val="0"/>
              <w:rPr>
                <w:rFonts w:ascii="Times New Roman" w:hAnsi="Times New Roman" w:eastAsia="Times New Roman"/>
                <w:bCs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  <w:t>ЗАДАНИЕ</w:t>
      </w:r>
      <w:bookmarkStart w:id="0" w:name="bookmark12"/>
      <w:bookmarkEnd w:id="0"/>
      <w:r>
        <w:rPr>
          <w:sz w:val="28"/>
          <w:szCs w:val="28"/>
        </w:rPr>
        <w:t xml:space="preserve"> НА ПРОЕКТИРОВАНИЕ</w:t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 </w:t>
      </w:r>
      <w:r>
        <w:rPr>
          <w:sz w:val="28"/>
          <w:szCs w:val="28"/>
          <w:shd w:fill="FFFFFF" w:val="clear"/>
        </w:rPr>
        <w:t>Строительства здания блочно-модульной ДЭС размером 18х5 м в с. Юкагир Усть-Янского улуса</w:t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  <w:t>АГЭК с. Юкагир</w:t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shd w:val="clear" w:color="auto" w:fill="auto"/>
        <w:spacing w:lineRule="auto" w:line="276" w:before="0" w:after="0"/>
        <w:rPr>
          <w:b w:val="false"/>
          <w:bCs w:val="false"/>
          <w:sz w:val="24"/>
          <w:szCs w:val="28"/>
        </w:rPr>
      </w:pPr>
      <w:r>
        <w:rPr>
          <w:sz w:val="24"/>
          <w:szCs w:val="28"/>
        </w:rPr>
        <w:t>Москва, 2026</w:t>
      </w:r>
      <w:r>
        <w:br w:type="page"/>
      </w:r>
    </w:p>
    <w:tbl>
      <w:tblPr>
        <w:tblStyle w:val="ab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4"/>
        <w:gridCol w:w="2521"/>
        <w:gridCol w:w="6059"/>
      </w:tblGrid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pageBreakBefore/>
              <w:widowControl w:val="false"/>
              <w:numPr>
                <w:ilvl w:val="0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Определения, термины и сокращения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Автомобильная дорога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АГЭК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Объект энергосервиса собранный на базе здания блочно-модульной ДЭС размером 18х5 м, представляющий собой автоматизированный гибридный энергокомплекс в составе СЭС, ДЭС, СНЭ, объединённый в единый комплекс под управлением АСУ</w:t>
            </w: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АПС и ТЗ</w:t>
            </w:r>
          </w:p>
        </w:tc>
        <w:tc>
          <w:tcPr>
            <w:tcW w:w="605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40" w:leader="none"/>
              </w:tabs>
              <w:suppressAutoHyphens w:val="true"/>
              <w:snapToGrid w:val="fals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Аварийно-предупредительная сигнализация и технологическая защита</w:t>
            </w:r>
          </w:p>
        </w:tc>
      </w:tr>
      <w:tr>
        <w:trPr>
          <w:trHeight w:val="52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АСУ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Автоматизированная система управления АГЭК</w:t>
            </w:r>
          </w:p>
        </w:tc>
      </w:tr>
      <w:tr>
        <w:trPr>
          <w:trHeight w:val="61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АСКТЭП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Автоматизированная система контроля технико-экономических показателей</w:t>
            </w:r>
          </w:p>
        </w:tc>
      </w:tr>
      <w:tr>
        <w:trPr>
          <w:trHeight w:val="49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АРМ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Автоматизированное рабочее место</w:t>
            </w:r>
          </w:p>
        </w:tc>
      </w:tr>
      <w:tr>
        <w:trPr>
          <w:trHeight w:val="61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АИСКУЭТ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Автоматизированная информационно –система коммерческого учета электроэнергии и топлива</w:t>
            </w:r>
          </w:p>
        </w:tc>
      </w:tr>
      <w:tr>
        <w:trPr>
          <w:trHeight w:val="41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АКБ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Аккумуляторные батареи</w:t>
            </w:r>
          </w:p>
        </w:tc>
      </w:tr>
      <w:tr>
        <w:trPr>
          <w:trHeight w:val="35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БМК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 xml:space="preserve">Блочно-модульная ДЭС заводской готовности </w:t>
            </w:r>
          </w:p>
        </w:tc>
      </w:tr>
      <w:tr>
        <w:trPr>
          <w:trHeight w:val="35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ГЩУ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Главный щит управления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ГПЗУ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Градостроительный план земельного участка</w:t>
            </w:r>
          </w:p>
        </w:tc>
      </w:tr>
      <w:tr>
        <w:trPr>
          <w:trHeight w:val="414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ДГА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Дизель-генераторный агрегат</w:t>
            </w:r>
          </w:p>
        </w:tc>
      </w:tr>
      <w:tr>
        <w:trPr>
          <w:trHeight w:val="250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ДД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Дизельный двигатель</w:t>
            </w:r>
          </w:p>
        </w:tc>
      </w:tr>
      <w:tr>
        <w:trPr>
          <w:trHeight w:val="238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ДТ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Дизельное топливо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ДЭС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Дизельная электростанция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ЗРУ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Закрытое распределительное устройство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Заказчик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Застройщик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АО «САХАЭНЕРГО»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ЗП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Настоящее задание на проектирование на разработку проектной и рабочей документации, необходимых для строительства (модернизации) АГЭК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ИИ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Инженерные изыскания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Инверторная станция – электроустановка на базе  контейнера, содержащая инверторное, распределительное и вспомогательное оборудование, в том числе, систему автоматического пожаротушения, климатическую систему и охранную сигнализацию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ИСБ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Интегрированная система безопасности</w:t>
            </w:r>
          </w:p>
        </w:tc>
      </w:tr>
      <w:tr>
        <w:trPr>
          <w:trHeight w:val="274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Подрядчик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Подрядчик по выполнению работ по проектированию</w:t>
            </w:r>
          </w:p>
        </w:tc>
      </w:tr>
      <w:tr>
        <w:trPr>
          <w:trHeight w:val="392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КВЛ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Кабельно-воздушная линия</w:t>
            </w:r>
          </w:p>
        </w:tc>
      </w:tr>
      <w:tr>
        <w:trPr>
          <w:trHeight w:val="350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КУВ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Котёл-утилизатор водогрейный</w:t>
            </w:r>
          </w:p>
        </w:tc>
      </w:tr>
      <w:tr>
        <w:trPr>
          <w:trHeight w:val="326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КЗ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Короткое замыкание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КТП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Комплектная трансформаторная подстанция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ЛВС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Локальная вычислительная сеть АГЭК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ЛЭП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Линия электропередачи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НТД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Действующая нормативно-техническая документация Российской Федерации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ОВОС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Оценка воздействия на окружающую среду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Опорные конструкции фотоэлектрических модулей</w:t>
            </w:r>
          </w:p>
        </w:tc>
      </w:tr>
      <w:tr>
        <w:trPr>
          <w:trHeight w:val="44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Основное оборудование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ИС, КТП, СНЭ, РУ, ДГА</w:t>
            </w:r>
          </w:p>
        </w:tc>
      </w:tr>
      <w:tr>
        <w:trPr>
          <w:trHeight w:val="46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ОЖ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Охлаждающая жидкость</w:t>
            </w:r>
          </w:p>
        </w:tc>
      </w:tr>
      <w:tr>
        <w:trPr>
          <w:trHeight w:val="47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ОРУ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Открытое распределительное устройство</w:t>
            </w:r>
          </w:p>
        </w:tc>
      </w:tr>
      <w:tr>
        <w:trPr>
          <w:trHeight w:val="449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ОТР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Основные технические решения</w:t>
            </w:r>
          </w:p>
        </w:tc>
      </w:tr>
      <w:tr>
        <w:trPr>
          <w:trHeight w:val="382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Проектная документация</w:t>
            </w:r>
          </w:p>
        </w:tc>
      </w:tr>
      <w:tr>
        <w:trPr>
          <w:trHeight w:val="42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ПК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Персональный компьютер</w:t>
            </w:r>
          </w:p>
        </w:tc>
      </w:tr>
      <w:tr>
        <w:trPr>
          <w:trHeight w:val="404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Подконтрольное общество</w:t>
            </w:r>
          </w:p>
        </w:tc>
      </w:tr>
      <w:tr>
        <w:trPr>
          <w:trHeight w:val="37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ПИР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Проектно-изыскательские работы</w:t>
            </w:r>
          </w:p>
        </w:tc>
      </w:tr>
      <w:tr>
        <w:trPr>
          <w:trHeight w:val="310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ПТ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Пластинчатый теплообменник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РАСП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Регистрация аварийных и послеаварийных событий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Рабочая документация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РЗА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Релейная защита и автоматика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Распределительное устройство</w:t>
            </w:r>
          </w:p>
        </w:tc>
      </w:tr>
      <w:tr>
        <w:trPr>
          <w:trHeight w:val="36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СНЭ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Система накопления энергии</w:t>
            </w:r>
          </w:p>
        </w:tc>
      </w:tr>
      <w:tr>
        <w:trPr>
          <w:trHeight w:val="325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СОПТ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Система оперативного переменного тока</w:t>
            </w:r>
          </w:p>
        </w:tc>
      </w:tr>
      <w:tr>
        <w:trPr>
          <w:trHeight w:val="338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СОЕВ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Система обеспечения единого времени</w:t>
            </w:r>
          </w:p>
        </w:tc>
      </w:tr>
      <w:tr>
        <w:trPr>
          <w:trHeight w:val="29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САУ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Система автоматического управления</w:t>
            </w:r>
          </w:p>
        </w:tc>
      </w:tr>
      <w:tr>
        <w:trPr>
          <w:trHeight w:val="309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СДТУ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Средства диспетчерского и технологического управления</w:t>
            </w:r>
          </w:p>
        </w:tc>
      </w:tr>
      <w:tr>
        <w:trPr>
          <w:trHeight w:val="247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СУЭС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Система управления электростанцией</w:t>
            </w:r>
          </w:p>
        </w:tc>
      </w:tr>
      <w:tr>
        <w:trPr>
          <w:trHeight w:val="297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СЭС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См. ФЭС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ТН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Трансформаторы напряжения</w:t>
            </w:r>
          </w:p>
        </w:tc>
      </w:tr>
      <w:tr>
        <w:trPr>
          <w:trHeight w:val="24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ТТ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Трансформаторы тока</w:t>
            </w:r>
          </w:p>
        </w:tc>
      </w:tr>
      <w:tr>
        <w:trPr>
          <w:trHeight w:val="26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ТНВД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Топливный насос высокого давления</w:t>
            </w:r>
          </w:p>
        </w:tc>
      </w:tr>
      <w:tr>
        <w:trPr>
          <w:trHeight w:val="500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ТПиР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Техническое перевооружение, реконструкция и модернизация</w:t>
            </w:r>
          </w:p>
        </w:tc>
      </w:tr>
      <w:tr>
        <w:trPr>
          <w:trHeight w:val="15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 xml:space="preserve">ТУ 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Технические условия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ФЭМ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Фотоэлектрические модули</w:t>
            </w:r>
          </w:p>
        </w:tc>
      </w:tr>
      <w:tr>
        <w:trPr>
          <w:trHeight w:val="339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ФЭС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Фотоэлектрическая система</w:t>
            </w:r>
          </w:p>
        </w:tc>
      </w:tr>
      <w:tr>
        <w:trPr>
          <w:trHeight w:val="400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ФТО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Фильтр тонкой очистки</w:t>
            </w:r>
          </w:p>
        </w:tc>
      </w:tr>
      <w:tr>
        <w:trPr>
          <w:trHeight w:val="60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ЗО КИИ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Значимый объект критической информационной инфраструктуры</w:t>
            </w:r>
          </w:p>
        </w:tc>
      </w:tr>
      <w:tr>
        <w:trPr>
          <w:trHeight w:val="541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ФСТЭК России</w:t>
            </w:r>
          </w:p>
        </w:tc>
        <w:tc>
          <w:tcPr>
            <w:tcW w:w="6059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40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Федеральная служба по техническому и экспортному контролю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Style w:val="ab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4"/>
        <w:gridCol w:w="2521"/>
        <w:gridCol w:w="418"/>
        <w:gridCol w:w="2101"/>
        <w:gridCol w:w="1942"/>
        <w:gridCol w:w="1597"/>
      </w:tblGrid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pageBreakBefore/>
              <w:widowControl w:val="false"/>
              <w:numPr>
                <w:ilvl w:val="0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Общие положения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</w:tr>
      <w:tr>
        <w:trPr>
          <w:trHeight w:val="32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Наименование объекта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Строительство здания блочно-модульной ДЭС размером 18х5 м в с. Юкагир Усть-Янского улуса</w:t>
            </w:r>
          </w:p>
        </w:tc>
      </w:tr>
      <w:tr>
        <w:trPr>
          <w:trHeight w:val="32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Местоположение объектов</w:t>
            </w:r>
          </w:p>
        </w:tc>
        <w:tc>
          <w:tcPr>
            <w:tcW w:w="418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10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Наименование объекта</w:t>
            </w:r>
          </w:p>
        </w:tc>
        <w:tc>
          <w:tcPr>
            <w:tcW w:w="1942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Географические координаты</w:t>
            </w:r>
          </w:p>
        </w:tc>
        <w:tc>
          <w:tcPr>
            <w:tcW w:w="1597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Кадастровый номер Участков</w:t>
            </w:r>
          </w:p>
        </w:tc>
      </w:tr>
      <w:tr>
        <w:trPr>
          <w:trHeight w:val="1039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18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0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АГЭК с. Юкагир Усть-Янский улус</w:t>
            </w:r>
          </w:p>
        </w:tc>
        <w:tc>
          <w:tcPr>
            <w:tcW w:w="19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left="0" w:hanging="0"/>
              <w:jc w:val="left"/>
              <w:outlineLvl w:val="0"/>
              <w:rPr>
                <w:rFonts w:ascii="Times New Roman" w:hAnsi="Times New Roman" w:eastAsia="Times New Roman" w:cs="Times New Roman"/>
                <w:bCs/>
                <w:sz w:val="24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0"/>
                <w:lang w:val="ru-RU" w:eastAsia="en-US" w:bidi="ar-SA"/>
              </w:rPr>
              <w:t xml:space="preserve">71.774827  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76" w:before="0" w:after="0"/>
              <w:ind w:left="0" w:hanging="0"/>
              <w:jc w:val="left"/>
              <w:outlineLvl w:val="0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0"/>
                <w:lang w:val="ru-RU" w:eastAsia="en-US" w:bidi="ar-SA"/>
              </w:rPr>
              <w:t>139.846644</w:t>
            </w:r>
          </w:p>
        </w:tc>
        <w:tc>
          <w:tcPr>
            <w:tcW w:w="1597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 xml:space="preserve">СЭС и ДЭС - </w:t>
              <w:br/>
              <w:t>14:31:070001:177</w:t>
            </w:r>
          </w:p>
        </w:tc>
      </w:tr>
      <w:tr>
        <w:trPr>
          <w:trHeight w:val="970" w:hRule="atLeast"/>
        </w:trPr>
        <w:tc>
          <w:tcPr>
            <w:tcW w:w="1114" w:type="dxa"/>
            <w:vMerge w:val="restart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vMerge w:val="restart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Характеристика объектов</w:t>
            </w:r>
          </w:p>
        </w:tc>
        <w:tc>
          <w:tcPr>
            <w:tcW w:w="418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10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Наименование объекта</w:t>
            </w:r>
          </w:p>
        </w:tc>
        <w:tc>
          <w:tcPr>
            <w:tcW w:w="1942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Мощность ДЭС в режиме СОР, кВт</w:t>
            </w:r>
          </w:p>
        </w:tc>
        <w:tc>
          <w:tcPr>
            <w:tcW w:w="1597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Установленная мощность СЭС, кВт</w:t>
            </w:r>
          </w:p>
        </w:tc>
      </w:tr>
      <w:tr>
        <w:trPr>
          <w:trHeight w:val="794" w:hRule="atLeast"/>
        </w:trPr>
        <w:tc>
          <w:tcPr>
            <w:tcW w:w="1114" w:type="dxa"/>
            <w:vMerge w:val="continue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vMerge w:val="continue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418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101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 xml:space="preserve">АГЭК </w:t>
            </w: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с. Юкагир Усть-Янский улус</w:t>
            </w:r>
          </w:p>
        </w:tc>
        <w:tc>
          <w:tcPr>
            <w:tcW w:w="1942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135</w:t>
            </w:r>
          </w:p>
        </w:tc>
        <w:tc>
          <w:tcPr>
            <w:tcW w:w="1597" w:type="dxa"/>
            <w:tcBorders/>
          </w:tcPr>
          <w:p>
            <w:pPr>
              <w:pStyle w:val="13"/>
              <w:widowControl w:val="false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25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Заказчик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Застройщик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АО «САХАЭНЕРГО»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Подрядчик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Подрядчика определяет Заказчик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2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Допуск СРО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Подрядчик должен иметь допуск на разработку проектной и рабочей документации для строительства энергетических объектов.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Субподрядные организации, в случае их привлечения, должны иметь соответствующий допуск на проведение работ.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2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Работы на объектах Застройщика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 выполнении работ на территории объектов Застройщика Подрядчик обязан: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napToGrid w:val="false"/>
              <w:spacing w:before="0" w:after="0"/>
              <w:ind w:left="311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 начала оказания услуг предоставить Заказчику список работников, направленных для оказания услуг;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napToGrid w:val="false"/>
              <w:spacing w:before="0" w:after="0"/>
              <w:ind w:left="311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строго соблюдать действующие Правила по охране труда при эксплуатации электроустановок, Правила противопожарного режима в РФ, Инструкции по применению и испытанию средств защиты, используемых в электроустановках; на объектах Застройщика соблюдать требования локальных нормативно-правовых актов в области охраны труда и промышленной 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napToGrid w:val="false"/>
              <w:spacing w:before="0" w:after="0"/>
              <w:ind w:left="311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соблюдать требования Системы экологического менеджмента (СЭМ) ISO 14001, иметь в наличии квалификационные удостоверения, удостоверения аттестации по электробезопасности;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napToGrid w:val="false"/>
              <w:spacing w:before="0" w:after="0"/>
              <w:ind w:left="311" w:hanging="36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обеспечить работников необходимыми медикаментами и аптечкой для оказания первой медицинской помощи работникам, укомплектованной в соответствии с требованиями действующего законодательства РФ.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Стадийность проектирования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50"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Рабочая документация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Общие требования к БМК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34" w:hanging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Подрядчик должен выполнить проектные работы, предусмотреть технические решения с учётом Технических требований Заказчика (Приложение 1).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2.9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Границы проектирования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-1620" w:leader="none"/>
                <w:tab w:val="left" w:pos="426" w:leader="none"/>
              </w:tabs>
              <w:suppressAutoHyphens w:val="true"/>
              <w:spacing w:lineRule="auto" w:line="276" w:before="0" w:after="0"/>
              <w:ind w:left="34" w:hanging="0"/>
              <w:contextualSpacing/>
              <w:jc w:val="left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0"/>
                <w:lang w:val="ru-RU" w:eastAsia="en-US" w:bidi="ar-SA"/>
              </w:rPr>
              <w:t>В объём проектирования Подрядчика входят следующие конструктивные элементы, оборудование и системы: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34" w:hanging="0"/>
              <w:jc w:val="left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- Здание блочно-модульной дизельной электростанции (АГЭК с. Юкагир);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34" w:hanging="0"/>
              <w:jc w:val="left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b w:val="false"/>
                <w:strike w:val="false"/>
                <w:dstrike w:val="false"/>
                <w:kern w:val="0"/>
                <w:sz w:val="24"/>
                <w:szCs w:val="20"/>
                <w:shd w:fill="auto" w:val="clear"/>
                <w:lang w:val="ru-RU" w:eastAsia="en-US" w:bidi="ar-SA"/>
              </w:rPr>
              <w:t>- Солнечная электростанция (крышная);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34" w:hanging="0"/>
              <w:jc w:val="left"/>
              <w:rPr>
                <w:b w:val="false"/>
                <w:sz w:val="24"/>
                <w:szCs w:val="20"/>
              </w:rPr>
            </w:pPr>
            <w:r>
              <w:rPr>
                <w:b w:val="false"/>
                <w:kern w:val="0"/>
                <w:sz w:val="24"/>
                <w:szCs w:val="20"/>
                <w:lang w:val="ru-RU" w:eastAsia="en-US" w:bidi="ar-SA"/>
              </w:rPr>
              <w:t>- Молниезащита и заземление здания;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ind w:left="34" w:hanging="0"/>
              <w:jc w:val="left"/>
              <w:rPr>
                <w:highlight w:val="none"/>
                <w:shd w:fill="auto" w:val="clear"/>
              </w:rPr>
            </w:pPr>
            <w:r>
              <w:rPr>
                <w:b w:val="false"/>
                <w:kern w:val="0"/>
                <w:sz w:val="24"/>
                <w:szCs w:val="20"/>
                <w:shd w:fill="auto" w:val="clear"/>
                <w:lang w:val="ru-RU" w:eastAsia="en-US" w:bidi="ar-SA"/>
              </w:rPr>
              <w:t>- Ограждение территории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2.9.1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Фундамент БМК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trike w:val="false"/>
                <w:dstrike w:val="false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bCs/>
                <w:strike w:val="false"/>
                <w:dstrike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Разработка ПД и РД</w:t>
            </w:r>
          </w:p>
        </w:tc>
      </w:tr>
      <w:tr>
        <w:trPr>
          <w:trHeight w:val="283" w:hRule="atLeast"/>
        </w:trPr>
        <w:tc>
          <w:tcPr>
            <w:tcW w:w="1114" w:type="dxa"/>
            <w:tcBorders>
              <w:top w:val="nil"/>
            </w:tcBorders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2.9.2.</w:t>
            </w:r>
          </w:p>
        </w:tc>
        <w:tc>
          <w:tcPr>
            <w:tcW w:w="2521" w:type="dxa"/>
            <w:tcBorders>
              <w:top w:val="nil"/>
            </w:tcBorders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Опорные конструкции ФЭМ</w:t>
            </w:r>
          </w:p>
        </w:tc>
        <w:tc>
          <w:tcPr>
            <w:tcW w:w="6058" w:type="dxa"/>
            <w:gridSpan w:val="4"/>
            <w:tcBorders>
              <w:top w:val="nil"/>
            </w:tcBorders>
          </w:tcPr>
          <w:p>
            <w:pPr>
              <w:pStyle w:val="23"/>
              <w:keepNext w:val="true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trike w:val="false"/>
                <w:dstrike w:val="false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strike w:val="false"/>
                <w:dstrike w:val="false"/>
                <w:kern w:val="0"/>
                <w:shd w:fill="auto" w:val="clear"/>
                <w:lang w:val="ru-RU" w:eastAsia="en-US" w:bidi="ar-SA"/>
              </w:rPr>
              <w:t>На кровле здания предусмотреть опорные конструкции под установку ФЭМ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0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Объём и детализация выполняемых работ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Next w:val="true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 настоящему заданию на проектирование Подрядчик должен выполнить следующие работы:</w:t>
            </w:r>
          </w:p>
          <w:p>
            <w:pPr>
              <w:pStyle w:val="23"/>
              <w:widowControl w:val="false"/>
              <w:numPr>
                <w:ilvl w:val="0"/>
                <w:numId w:val="4"/>
              </w:numPr>
              <w:shd w:fill="auto" w:val="clear"/>
              <w:suppressAutoHyphens w:val="true"/>
              <w:spacing w:lineRule="auto" w:line="276" w:before="0" w:after="0"/>
              <w:ind w:left="244" w:hanging="244"/>
              <w:jc w:val="both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Разработка ПД;</w:t>
            </w:r>
          </w:p>
          <w:p>
            <w:pPr>
              <w:pStyle w:val="23"/>
              <w:widowControl w:val="false"/>
              <w:numPr>
                <w:ilvl w:val="0"/>
                <w:numId w:val="4"/>
              </w:numPr>
              <w:shd w:fill="auto" w:val="clear"/>
              <w:suppressAutoHyphens w:val="true"/>
              <w:spacing w:lineRule="auto" w:line="276" w:before="0" w:after="0"/>
              <w:ind w:left="244" w:hanging="244"/>
              <w:jc w:val="both"/>
              <w:rPr>
                <w:highlight w:val="none"/>
                <w:shd w:fill="auto" w:val="clear"/>
              </w:rPr>
            </w:pPr>
            <w:r>
              <w:rPr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Негосударственная экспертиза;</w:t>
            </w:r>
          </w:p>
          <w:p>
            <w:pPr>
              <w:pStyle w:val="23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0" w:after="0"/>
              <w:ind w:left="244" w:hanging="244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Разработка РД 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Задание на проектирование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 xml:space="preserve">Подрядчик должен согласовать настоящее Задание на проектирование с заинтересованными сторонами. 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В ходе согласований Подрядчик вносит необходимые корректировки в Задание на проектирование.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Технические требования на поставку оборудования и материалов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Подрядчик должен выпустить технические требования либо опросные листы на поставку оборудования и материалов:</w:t>
            </w:r>
          </w:p>
          <w:p>
            <w:pPr>
              <w:pStyle w:val="23"/>
              <w:keepNext w:val="true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0" w:after="0"/>
              <w:ind w:left="244"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>Здание ДЭС;</w:t>
            </w:r>
          </w:p>
          <w:p>
            <w:pPr>
              <w:pStyle w:val="23"/>
              <w:keepNext w:val="true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0" w:after="0"/>
              <w:ind w:left="244" w:hanging="244"/>
              <w:jc w:val="both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ОК ФЭМ;</w:t>
            </w:r>
          </w:p>
          <w:p>
            <w:pPr>
              <w:pStyle w:val="23"/>
              <w:keepNext w:val="true"/>
              <w:widowControl w:val="false"/>
              <w:numPr>
                <w:ilvl w:val="0"/>
                <w:numId w:val="4"/>
              </w:numPr>
              <w:suppressAutoHyphens w:val="true"/>
              <w:spacing w:lineRule="auto" w:line="276" w:before="0" w:after="0"/>
              <w:ind w:left="244" w:hanging="244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Фундамент.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На основании технических требований Заказчик определяют поставщиков, тип применяемого при строительстве оборудования и материалов.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Подрядчик по мере выполнения работ формирует сводный перечень оборудования и материалов, по каждой позиции получает от Заказчика согласование на их использование (согласование типов и марок).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Согласования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Настоящее ЗП Подрядчик должен согласовать с Заказчиком. 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Подрядчик должен согласовать РД с Заказчиком.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Одновременно с первичным направлением на рассмотрение и согласование томов РД Подрядчик обязан предоставить перечень комплектов РД.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3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Рабочая документация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На основании исходных данных поставщиков оборудования и исходных данных от Заказчика Подрядчик разрабатывает ПД, РД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3.4.1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Перечень комплектов РД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 xml:space="preserve">Состав комплектов проектной, </w:t>
            </w:r>
            <w:r>
              <w:rPr>
                <w:b w:val="false"/>
                <w:bCs w:val="false"/>
                <w:strike w:val="false"/>
                <w:dstrike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рабочей </w:t>
            </w: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документации согласовать с Заказчиком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3.4.2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 xml:space="preserve">Сводный файл </w:t>
            </w:r>
            <w:r>
              <w:rPr>
                <w:b w:val="false"/>
                <w:kern w:val="0"/>
                <w:sz w:val="24"/>
                <w:szCs w:val="24"/>
                <w:lang w:val="en-US" w:eastAsia="en-US" w:bidi="ar-SA"/>
              </w:rPr>
              <w:t>AutoCAD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Подрядчик разрабатывает «Сводный файл» в формате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AutoCAD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>, в котором в разных слоях должны быть отражены все здания, сооружения (включая стойки опорных конструкций ФЭМ), трассировка кабелей, траншеи, ЛЭП с привязкой к МСК, кадастровые номера и границы земельных участков. Требования к файлу и перечень слоёв должен быть согласован с Заказчиком.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Данный файл будет использоваться в том числе для получения и использования точных координат при разбивке площадок строительства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3.4.3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РД на установку и подключение оборудования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 состав РД должны входить полноценные комплекты чертежей, необходимые для монтажа и оснащения оборудования.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ru-RU"/>
              </w:rPr>
              <w:t>Технические решения согласовать с Заказчиком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3.4.4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Сводная спецификация оборудования и материалов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 результатам разработки РД Подрядчик выпускает в формате MS Excel Сводную спецификацию оборудования и материалов с указанием разбивки по ответственным за поставку (Заказчик, поставщик Основного оборудования, подрядчик СМР)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816" w:leader="none"/>
              </w:tabs>
              <w:suppressAutoHyphens w:val="true"/>
              <w:spacing w:before="0" w:after="0"/>
              <w:ind w:left="0" w:hanging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3.5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Дополнительные работы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При возникновении необходимости проектирования переустройства сторонних коммуникаций по ТУ от сторонних организаций Заказчик и Подрядчик определяют объем данных работ и порядок их выполнения, в частности: 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1) проектирование или капитальный ремонт зданий ДЭС и топливного хозяйства, по результатам инструментального обследования, являются дополнительными работами, не входящими в объем настоящего задания;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2) вынос ВЛ, демонтаж зданий и сооружений, устройство футляров и/или переукладка трубопроводов являются дополнительными работами, не входящими в объем настоящего задания;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3) устройство переездов из ж/б плит, футляров кабельных линий, наращивание высоты опор ВЛ являются работами, выполняемыми в рамках настоящего задания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vanish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vanish/>
                <w:sz w:val="24"/>
                <w:szCs w:val="24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 w:val="false"/>
              <w:jc w:val="both"/>
              <w:outlineLvl w:val="0"/>
              <w:rPr>
                <w:rFonts w:ascii="Times New Roman" w:hAnsi="Times New Roman" w:eastAsia="Times New Roman" w:cs="Times New Roman"/>
                <w:bCs/>
                <w:vanish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vanish/>
                <w:sz w:val="24"/>
                <w:szCs w:val="24"/>
              </w:rPr>
            </w:r>
          </w:p>
          <w:p>
            <w:pPr>
              <w:pStyle w:val="13"/>
              <w:widowControl w:val="false"/>
              <w:numPr>
                <w:ilvl w:val="0"/>
                <w:numId w:val="7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Требования к содержанию томов РД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  <w:highlight w:val="cyan"/>
              </w:rPr>
            </w:pPr>
            <w:r>
              <w:rPr>
                <w:b w:val="false"/>
                <w:bCs w:val="false"/>
                <w:sz w:val="24"/>
                <w:szCs w:val="24"/>
                <w:highlight w:val="cyan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numPr>
                <w:ilvl w:val="1"/>
                <w:numId w:val="7"/>
              </w:numPr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kern w:val="0"/>
                <w:sz w:val="24"/>
                <w:szCs w:val="24"/>
                <w:lang w:val="ru-RU" w:eastAsia="en-US" w:bidi="ar-SA"/>
              </w:rPr>
              <w:t>Рабочая документация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Рабочая документации должна соответствовать НТД РФ.</w:t>
            </w:r>
          </w:p>
          <w:p>
            <w:pPr>
              <w:pStyle w:val="2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Состав технической документации согласовывается с заказчиком.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Cs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Общие требования к рабочей документации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 состав РД должны входить полноценные комплекты чертежей, необходимые для монтажа и оснащения оборудования.</w:t>
            </w:r>
          </w:p>
          <w:p>
            <w:pPr>
              <w:pStyle w:val="1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  <w:shd w:fill="FFFFFF" w:val="clear"/>
                <w:lang w:eastAsia="ru-RU" w:bidi="ru-RU"/>
              </w:rPr>
            </w:pPr>
            <w:r>
              <w:rPr>
                <w:b w:val="false"/>
                <w:kern w:val="0"/>
                <w:sz w:val="24"/>
                <w:szCs w:val="24"/>
                <w:shd w:fill="FFFFFF" w:val="clear"/>
                <w:lang w:val="ru-RU" w:eastAsia="ru-RU" w:bidi="ru-RU"/>
              </w:rPr>
              <w:t>Технические решения согласовать с Заказчиком.</w:t>
            </w:r>
          </w:p>
          <w:p>
            <w:pPr>
              <w:pStyle w:val="1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shd w:fill="FFFFFF" w:val="clear"/>
                <w:lang w:val="ru-RU" w:eastAsia="ru-RU" w:bidi="ru-RU"/>
              </w:rPr>
              <w:t>Исключения отдельных томов из комплекта РД согласовать с Заказчиком.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Корректировка РД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rFonts w:eastAsia="Calibri" w:eastAsiaTheme="minorHAnsi"/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 результатам получения исходных данных от поставщиков Основного оборудования, выбора материалов, принятия технических решений в ходе разработки рабочей документации и в процессе строительства АГЭК Подрядчик должен откорректировать РД и выпустить финальную редакцию.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Исходные данные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В качестве исходных данных для проектирования, после заключения Договора, Заказчик передаёт следующую информацию:</w:t>
            </w:r>
            <w:bookmarkStart w:id="1" w:name="OLE_LINK10"/>
            <w:bookmarkStart w:id="2" w:name="OLE_LINK11"/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Градостроительный план земельного участка;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Договор аренды земельного участка;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ОТР разработанные Заказчиком;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trike w:val="false"/>
                <w:dstrike w:val="false"/>
                <w:highlight w:val="none"/>
                <w:shd w:fill="auto" w:val="clear"/>
              </w:rPr>
            </w:pPr>
            <w:r>
              <w:rPr>
                <w:strike w:val="false"/>
                <w:dstrike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ОК </w:t>
            </w:r>
            <w:r>
              <w:rPr>
                <w:strike w:val="false"/>
                <w:dstrike w:val="false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ФЭМ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Отчет по инженерно-геодезическим изысканиям. 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Отчет по инженерно-геологическим изысканиям. 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Отчет по инженерно-гидрометеорологическим изысканиям.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Отчет по инженерно-экологическим изысканиям. 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Положительное заключение экспертизы по инженерным изысканиям.</w:t>
            </w:r>
          </w:p>
          <w:p>
            <w:pPr>
              <w:pStyle w:val="23"/>
              <w:widowControl w:val="false"/>
              <w:numPr>
                <w:ilvl w:val="0"/>
                <w:numId w:val="2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Технические требования Заказчика (Приложение 1).</w:t>
            </w:r>
          </w:p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/>
            </w:pPr>
            <w:r>
              <w:rPr/>
            </w:r>
            <w:bookmarkEnd w:id="1"/>
            <w:bookmarkEnd w:id="2"/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При получении исходных данных от Застройщика, Заказчика либо поставщиков Основного оборудования Подрядчик согласовывает полученные исходные данные или в течение 5 (Пяти) рабочих дней направляет замечания и вопросы.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Заказчик по мере готовности предоставляет Подрядчику РКД от поставщиков.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 xml:space="preserve">Подрядчик 1 раз в 2 недели направляет Заказчику полный перечень отсутствующих исходных данных и нерешённых вопросов, сдерживающих проектирование (в виде таблицы в формате </w:t>
            </w:r>
            <w:r>
              <w:rPr>
                <w:b w:val="false"/>
                <w:kern w:val="0"/>
                <w:sz w:val="24"/>
                <w:szCs w:val="24"/>
                <w:lang w:val="en-US" w:eastAsia="en-US" w:bidi="ar-SA"/>
              </w:rPr>
              <w:t>Excel</w:t>
            </w: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).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Технические требования к основным объектам проектирования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keepLines/>
              <w:widowControl w:val="false"/>
              <w:numPr>
                <w:ilvl w:val="3"/>
                <w:numId w:val="6"/>
              </w:numPr>
              <w:shd w:val="clear" w:color="auto" w:fill="auto"/>
              <w:suppressAutoHyphens w:val="true"/>
              <w:spacing w:lineRule="auto" w:line="276" w:before="0" w:after="0"/>
              <w:ind w:left="169" w:hanging="218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В соответствии с Приложением 1,  к настоящему Техническому Заданию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Требования к документации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9.1.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Количество экземпляров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Документацию по проекту в полном объеме (включая обосновывающие расчеты) представить Заказчику в количестве одного (1) экземпляра на бумажном носителе и один (один) экземпляр в электронном виде на CD.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Закрытие этапов разработки документации может выполнятся до выпуска полного комплекта бумажных экземпляров. В этом случае Подрядчик обязуется выпустить необходимое количество бумажных экземпляров документации после подписания акта сдачи-приемки выполненных работ.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Адрес отправки каждого экземпляра документации указывается в запросе Заказчика.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9.2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Шифр документации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Шифры документации должны иметь вид:</w:t>
            </w:r>
          </w:p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2330ЯКТ.ХХ-АГЭК-Э-ММ, где:</w:t>
            </w:r>
          </w:p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2330ЯКТ.ХХ–номер объекта / лота;</w:t>
            </w:r>
          </w:p>
          <w:p>
            <w:pPr>
              <w:pStyle w:val="23"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АГЭК – объекты АГЭК;</w:t>
            </w:r>
          </w:p>
          <w:p>
            <w:pPr>
              <w:pStyle w:val="Normal"/>
              <w:widowControl w:val="false"/>
              <w:shd w:val="clear" w:color="auto" w:fill="FFFFFF"/>
              <w:suppressAutoHyphens w:val="tru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 – тип до</w:t>
            </w:r>
            <w:bookmarkStart w:id="3" w:name="_GoBack"/>
            <w:bookmarkEnd w:id="3"/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кумента «ЗП» (техническое задание), «ТТ» (технические требования), «П» (ПД), «Р» (РД) и др.;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ММ – марка тома ПД либо комплекта РД (количество символов не ограничено);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9.3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Бумажный вид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РД должна быть сброшюрована по комплектам в виде томов формата А3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9.4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Электронный вид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Текстовую и графическую документацию предоставить как в формате Acrobat Reader (документация должна быть подписана для возможности восстановления копий), так и в редактируемых форматах MS 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Word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,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MS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Excel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, </w:t>
            </w:r>
            <w:r>
              <w:rPr>
                <w:kern w:val="0"/>
                <w:sz w:val="24"/>
                <w:szCs w:val="24"/>
                <w:lang w:val="en-US" w:eastAsia="en-US" w:bidi="ar-SA"/>
              </w:rPr>
              <w:t>AutoCAD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. 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Сметную документацию предоставить в том числе в формате «Гранд-Смета».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Каждый том документации должен быть представлен в виде одного файла со всеми подписями. 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spacing w:val="4"/>
                <w:kern w:val="0"/>
                <w:sz w:val="24"/>
                <w:szCs w:val="24"/>
                <w:lang w:val="ru-RU" w:eastAsia="en-US" w:bidi="ar-SA"/>
              </w:rPr>
              <w:t xml:space="preserve">Не допускается передача документации в 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>формате</w:t>
            </w:r>
            <w:r>
              <w:rPr>
                <w:spacing w:val="4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eastAsia="en-US" w:bidi="ar-SA"/>
              </w:rPr>
              <w:t>Acrobat Reader</w:t>
            </w:r>
            <w:r>
              <w:rPr>
                <w:spacing w:val="4"/>
                <w:kern w:val="0"/>
                <w:sz w:val="24"/>
                <w:szCs w:val="24"/>
                <w:lang w:val="ru-RU" w:eastAsia="en-US" w:bidi="ar-SA"/>
              </w:rPr>
              <w:t xml:space="preserve"> с пофайловым разделением страниц.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При открытии файлов формата Acrobat Reader листы должны быть нормально ориентированы. 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Наименования файлов должны соответствовать шифрам томов документации: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2330ЯКТ.ХХ-АГЭУ-Э-ММ_ГГГГ-ММ-ДД, где</w:t>
            </w:r>
          </w:p>
          <w:p>
            <w:pPr>
              <w:pStyle w:val="23"/>
              <w:keepNext w:val="true"/>
              <w:keepLines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ГГГГ-ММ-ДД – дата выпуска документа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9.5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lang w:val="ru-RU" w:eastAsia="en-US" w:bidi="ar-SA"/>
              </w:rPr>
              <w:t>Сроки передачи документации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Документация должна выпускаться и передаваться Заказчику и в соответствии с графиком, определённым Договором.</w:t>
            </w:r>
          </w:p>
          <w:p>
            <w:pPr>
              <w:pStyle w:val="23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Документацию в электронном виде (в формате Acrobat Reader и редактируемом) Подрядчик направляет Заказчику по мере разработки. </w:t>
            </w:r>
          </w:p>
          <w:p>
            <w:pPr>
              <w:pStyle w:val="23"/>
              <w:keepNext w:val="true"/>
              <w:keepLines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При возникновении обоснованных причин изменения сроков проектирования в сторону увеличения, Подрядчик в течение 3 (Трех) рабочих дней информирует об этом Заказчика и направляет график работ по проектированию, учитывающий изменение сроков.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9.6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Предварительная документация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1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По мере разработки РД допускается отправка отдельных листов, разделов и комплектов Заказчику для предварительного рассмотрения, согласования и учёта при подготовке к производству работ.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9.7</w:t>
            </w:r>
          </w:p>
        </w:tc>
        <w:tc>
          <w:tcPr>
            <w:tcW w:w="2521" w:type="dxa"/>
            <w:tcBorders/>
          </w:tcPr>
          <w:p>
            <w:pPr>
              <w:pStyle w:val="Headertext"/>
              <w:widowControl w:val="false"/>
              <w:suppressAutoHyphens w:val="true"/>
              <w:spacing w:before="0" w:afterAutospacing="0" w:after="240"/>
              <w:rPr>
                <w:bCs/>
                <w:lang w:eastAsia="en-US"/>
              </w:rPr>
            </w:pPr>
            <w:r>
              <w:rPr>
                <w:kern w:val="0"/>
                <w:lang w:val="ru-RU" w:bidi="ar-SA"/>
              </w:rPr>
              <w:t>РД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Подрядчик направляет Заказчику документацию в электронном виде по мере разработки в соответствии с согласованным графиком.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9.8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Изменения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В случае внесения изменений в официально выпущенную документацию, представленную в сопровождении с накладной, изменения оформлять в соответствии с </w:t>
            </w:r>
            <w:hyperlink r:id="rId2" w:tgtFrame="&quot;ГОСТ Р 21.101-2020 Система проектной документации для строительства (СПДС)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21.101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При направлении откорректированной документации Подрядчик должен приложить ответы на ранее выданные замечания, перечень направляемых томов (разделов) с указанием страниц, в которые были внесены изменения. Кроме того, указанные изменения должны быть выделены цветом по тексту документов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9.9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Язык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Документация выполняется на русском языке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10.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Основные НТД, определяющие требования к проекту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Lines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Подрядчик должен разработать документацию в соответствии с требованиями, указанными в настоящем задании, действующих законодательных актов, норм, правил, постановлений и законов, включая: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Технические регламент о безопасности зданий и сооружений </w:t>
            </w:r>
            <w:hyperlink r:id="rId3" w:tgtFrame="&quot;Технический регламент о безопасности зданий и сооружений (с изменениями на 2 июля 2013 года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384-ФЗ от 30.12.2009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в редакции, действующей на момент проектирования;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4" w:tgtFrame="&quot;Правила устройства электроустановок (ПУЭ). Оглавление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ПУЭ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(действующее издание);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ПТЭ (действующее издание);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Общие технические требования к микропроцессорным устройствам защиты и автоматики энергосистем (</w:t>
            </w:r>
            <w:hyperlink r:id="rId5" w:tgtFrame="&quot;РД 34.35.310-97 Общие технические требования к микропроцессорным устройствам защиты и автоматики энергосистем (с Изменением N 1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РД 34.35.310-97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с изм.1.1998);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Правила технической эксплуатации электрических станций и сетей РФ, утверждённые приказом Минэнерго России </w:t>
            </w:r>
            <w:hyperlink r:id="rId6" w:tgtFrame="&quot;Об утверждении Правил технической эксплуатации электрических станций и сетей Российской Федерации и о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Приказ Минэнерго России от 04.10.2022 N 1070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Приказ Министерства энергетики РФ </w:t>
            </w:r>
            <w:hyperlink r:id="rId7" w:tgtFrame="&quot;О Порядке расчета значений соотношения потребления активной и реактивной мощности для отдельных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23.06.2015 №380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«О Порядке расчета значений соотношения потребления активной и реактивной мощности для отдельных энергопринимающих устройств (групп энергопринимающих устройств) потребителей электрической энергии».;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Стандарт ОАО «СО ЕЭС» </w:t>
            </w:r>
            <w:hyperlink r:id="rId8" w:tgtFrame="&quot;СТО 59012820.29.020.002-2012 Релейная защита и автоматика. Взаимодействие субъектов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СТО 59012820.29.020.002-2012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«Релейная защита и автоматика. Взаимодействие субъектов электроэнергетики, потребителей электрической энергии при создании (модернизации) и организации эксплуатации», введенный в действие с 28 апреля 2012 года;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Положение о составе разделов проектной документации и требования к их содержанию, утвержденное Постановлением Правительства РФ </w:t>
            </w:r>
            <w:hyperlink r:id="rId9" w:tgtFrame="&quot;О составе разделов проектной документации и требованиях к их содержанию (с изменениями на 27 мая 2022 года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№ 87 от 16.02.2008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Постановление Правительства РФ «О порядке организации и проведения государственной экспертизы проектной документации и результатов инженерных изысканий» </w:t>
            </w:r>
            <w:hyperlink r:id="rId10" w:tgtFrame="&quot;О порядке организации и проведения государственной экспертизы проектной документации и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05.03.2007 № 145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Письмо Министерства регионального развития РФ </w:t>
            </w:r>
            <w:hyperlink r:id="rId11" w:tgtFrame="&quot;Разъяснения о порядке применения Положения о составе разделов проектной документации и требованиях к их содержанию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22.06.2009 № 19088-СК/08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«О применении положения о составе разделов проектной документации и требованиям к их содержанию»;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2" w:tgtFrame="&quot;МДС 81-35.2004 Методика определения стоимости строительной продукции на территории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МДС 81-35.2004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«Методика определения сметной стоимости строительства на территории Российской Федерации»;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3" w:tgtFrame="&quot;ГОСТ Р 21.101-2020 Система проектной документации для строительства (СПДС)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Р 21.101-2020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«Основные требования к проектной и рабочей документации»;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4" w:tgtFrame="&quot;Градостроительный кодекс Российской Федерации (с изменениями на 29 декабря 2022 года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Градостроительный кодекс РФ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5" w:tgtFrame="&quot;Земельный кодекс Российской Федерации (с изменениями на 6 февраля 2023 года) (редакция, действующая с 1 марта 2023 года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Земельный кодекс РФ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Типовая инструкция по учету электрической энергии при ее производстве, передаче и распределении (</w:t>
            </w:r>
            <w:hyperlink r:id="rId16" w:tgtFrame="&quot;РД 34.09.101-94 Типовая инструкция по учету электроэнергии при ее производстве, передаче и распределении (с Изменением N 1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РД 34.09.101 94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Инструкция по проектированию противопожарной защиты энергетических предприятий (СО 34.49.101-2003);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ФЗ РФ № 123-ФЗ «Технический регламент о требованиях пожарной безопасности» от 22 июля 2008 г.;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Руководящие указания по проектированию электропитания технических средств диспетчерского и технологического управления» </w:t>
            </w:r>
            <w:hyperlink r:id="rId17" w:tgtFrame="&quot;11619тм-т1 Руководящие указания по проектированию электропитания технических средств диспетчерского и технологического управления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27.08.1987 № 11619ТМ-Т1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8" w:tgtFrame="&quot;ГОСТ Р 57114-2022 Единая энергетическая система и изолированно работающие энергосистемы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Р 57114-2022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«Единая энергетическая система и изолированно работающие энергосистемы. Электроэнергетические системы. Оперативно-диспетчерское управление в электроэнергетике и оперативно-технологическое управление. Термины и определения»;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19" w:tgtFrame="&quot;ГОСТ Р 55105-2019 Единая энергетическая система и изолированно работающие энергосистемы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Р 55105-2019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«Единая энергетическая система и изолированно работающие энергосистемы. Оперативно-диспетчерское управление. Автоматическое противоаварийное управление режимами энергосистем. Противоаварийная автоматика энергосистем. Нормы и требования»;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20" w:tgtFrame="&quot;ГОСТ 32144-2013 Электрическая энергия. Совместимость технических средств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32144-2013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«Электрическая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Методические указания по устойчивости энергосистем, утверждённые Приказом Министерства энергетики РФ </w:t>
            </w:r>
            <w:hyperlink r:id="rId21" w:tgtFrame="&quot;Об утверждении Методических указаний по устойчивости энергосистем (не применяется с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30.06.2003 № 277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Методические указания по определению электромагнитной обстановки и совместимости на электрических станциях и подстанциях» (</w:t>
            </w:r>
            <w:hyperlink r:id="rId22" w:tgtFrame="&quot;СО 34.35.311-2004 Методические указания по определению электромагнитных обстановки и совместимости на электрических станциях и подстанциях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СО 34.35.311-2004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);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Стандарт организации ОАО «СО ЕЭС» «Автоматическое противоаварийное управление режимами энергосистем. Противоаварийная автоматика энергосистем. Условия организации процесса. Условия создания объекта. Нормы и требования», </w:t>
            </w:r>
            <w:hyperlink r:id="rId23" w:tgtFrame="&quot;СТО 59012820.29.240.001-2011 Автоматическое противоаварийное управление режимами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СТО 59012820.29.240.001-2011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Руководящие указания по расчету токов короткого замыкания и выбору электрооборудования, </w:t>
            </w:r>
            <w:hyperlink r:id="rId24" w:tgtFrame="&quot;РД 153-34.0-20.527-98 Руководящие указания по расчету токов короткого замыкания и выбору электрооборудования (Разделы 1-5)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РД 153-34.0-20.527-98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, РАО «ЕЭС России», 1998 г.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25" w:tgtFrame="&quot;ГОСТ Р 57382-2017 Единая энергетическая система и изолированно работающие энергосистемы ...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Р 57382-2017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Национальный стандарт Российской Федерации «Единая энергетическая система и изолированно работающие энергосистемы. Электроэнергетические системы. Стандартный ряд номинальных и наибольших рабочих напряжений»;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hyperlink r:id="rId26" w:tgtFrame="&quot;ГОСТ Р 51594-2000 Нетрадиционная энергетика. Солнечная энергетика. Термины и определения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ГОСТ Р 51594-2000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 Нетрадиционная энергетика. Солнечная энергетика. Термины и определения.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Методические рекомендации по проектированию развития энергосистем, утвержденные приказом Минэнерго России </w:t>
            </w:r>
            <w:hyperlink r:id="rId27" w:tgtFrame="&quot;Об утверждении Методических рекомендаций по проектированию развития энергосистем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от 30.06.2003 № 281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 xml:space="preserve">Стандарт организации ОАО «СО ЕЭС» «Релейная защита и автоматика. Автономные регистраторы аварийных событий. Нормы и требования», </w:t>
            </w:r>
            <w:hyperlink r:id="rId28" w:tgtFrame="&quot;СТО 59012820.29.020.006-2015 Релейная защита и автоматика. Автономные регистраторы аварийных событий. Нормы и требования">
              <w:r>
                <w:rPr>
                  <w:rStyle w:val="Hyperlink"/>
                  <w:color w:val="auto"/>
                  <w:kern w:val="0"/>
                  <w:sz w:val="24"/>
                  <w:szCs w:val="24"/>
                  <w:lang w:val="ru-RU" w:eastAsia="en-US" w:bidi="ar-SA"/>
                </w:rPr>
                <w:t>СТО 59012820.29.020.006-2015</w:t>
              </w:r>
            </w:hyperlink>
            <w:r>
              <w:rPr>
                <w:kern w:val="0"/>
                <w:sz w:val="24"/>
                <w:szCs w:val="24"/>
                <w:lang w:val="ru-RU" w:eastAsia="en-US" w:bidi="ar-SA"/>
              </w:rPr>
              <w:t>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ГОСТ Р 21.1101 — СПДС. Основные требования к проектной и рабочей документации.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ГОСТ 21.101 — Основные требования к проектной и рабочей документации.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8.13130 — Системы противопожарной защиты. Наружное противопожарное водоснабжение.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131.13330 — Строительная климатология.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20.13330 — Нагрузки и воздействия.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22.13330 — Основания зданий и сооружений.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16.13330 — Стальные конструкции.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76.13330 — Электротехнические устройства.</w:t>
            </w:r>
          </w:p>
          <w:p>
            <w:pPr>
              <w:pStyle w:val="23"/>
              <w:widowControl w:val="false"/>
              <w:suppressAutoHyphens w:val="true"/>
              <w:spacing w:lineRule="auto" w:line="276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СП 256.1325800 — Электроустановки жилых и общественных зданий (в части общих требований).</w:t>
            </w:r>
          </w:p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Данный список НТД не является полным и окончательным. При проектировании необходимо руководствоваться последними редакциями  документов, действующих в РФ на момент разработки документации, необходимых для проектирования АГЭК.</w:t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11.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Приложения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Lines/>
              <w:widowControl w:val="false"/>
              <w:shd w:val="clear" w:color="auto" w:fill="auto"/>
              <w:suppressAutoHyphens w:val="true"/>
              <w:spacing w:lineRule="auto" w:line="276" w:before="0" w:after="0"/>
              <w:ind w:left="529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1114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both"/>
              <w:rPr>
                <w:b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11.1</w:t>
            </w:r>
          </w:p>
        </w:tc>
        <w:tc>
          <w:tcPr>
            <w:tcW w:w="2521" w:type="dxa"/>
            <w:tcBorders/>
          </w:tcPr>
          <w:p>
            <w:pPr>
              <w:pStyle w:val="13"/>
              <w:widowControl w:val="false"/>
              <w:shd w:val="clear" w:color="auto" w:fill="auto"/>
              <w:suppressAutoHyphens w:val="true"/>
              <w:spacing w:lineRule="auto" w:line="276" w:before="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kern w:val="0"/>
                <w:sz w:val="24"/>
                <w:szCs w:val="24"/>
                <w:lang w:val="ru-RU" w:eastAsia="en-US" w:bidi="ar-SA"/>
              </w:rPr>
              <w:t>Приложение 1</w:t>
            </w:r>
          </w:p>
        </w:tc>
        <w:tc>
          <w:tcPr>
            <w:tcW w:w="6058" w:type="dxa"/>
            <w:gridSpan w:val="4"/>
            <w:tcBorders/>
          </w:tcPr>
          <w:p>
            <w:pPr>
              <w:pStyle w:val="23"/>
              <w:keepLines/>
              <w:widowControl w:val="false"/>
              <w:suppressAutoHyphens w:val="true"/>
              <w:spacing w:lineRule="auto" w:line="276" w:before="0" w:after="0"/>
              <w:ind w:left="34" w:hanging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eastAsia="en-US" w:bidi="ar-SA"/>
              </w:rPr>
              <w:t xml:space="preserve">Технические требования к мероприятиям, направленным на энергосбережение и повышение энергетической эффективности объекта энергосервиса по лоту 16301-ПРО ДЭК-2021-СахаЭ. </w:t>
            </w:r>
          </w:p>
        </w:tc>
      </w:tr>
    </w:tbl>
    <w:p>
      <w:pPr>
        <w:pStyle w:val="Normal"/>
        <w:ind w:left="42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42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Разработал:</w:t>
      </w:r>
    </w:p>
    <w:p>
      <w:pPr>
        <w:pStyle w:val="Normal"/>
        <w:ind w:left="42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42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>
      <w:pPr>
        <w:pStyle w:val="Normal"/>
        <w:ind w:left="426" w:hanging="0"/>
        <w:rPr/>
      </w:pPr>
      <w:r>
        <w:rPr/>
      </w:r>
    </w:p>
    <w:sectPr>
      <w:footerReference w:type="default" r:id="rId29"/>
      <w:type w:val="nextPage"/>
      <w:pgSz w:w="11906" w:h="16838"/>
      <w:pgMar w:left="1418" w:right="794" w:gutter="0" w:header="0" w:top="851" w:footer="567" w:bottom="62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TimesNew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 w:cs="Times New Roman"/>
      </w:rPr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6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31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0" w:hanging="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30f0e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2"/>
    <w:uiPriority w:val="99"/>
    <w:qFormat/>
    <w:rsid w:val="001c78ee"/>
    <w:pPr>
      <w:widowControl w:val="false"/>
      <w:spacing w:before="108" w:after="108"/>
      <w:jc w:val="center"/>
      <w:outlineLvl w:val="0"/>
    </w:pPr>
    <w:rPr>
      <w:rFonts w:ascii="Arial" w:hAnsi="Arial" w:eastAsia="" w:cs="Arial" w:eastAsiaTheme="minorEastAsia"/>
      <w:b/>
      <w:bCs/>
      <w:color w:val="26282F"/>
      <w:sz w:val="24"/>
      <w:szCs w:val="24"/>
      <w:lang w:eastAsia="ru-RU"/>
    </w:rPr>
  </w:style>
  <w:style w:type="paragraph" w:styleId="Heading3">
    <w:name w:val="Heading 3"/>
    <w:basedOn w:val="Normal"/>
    <w:next w:val="Normal"/>
    <w:link w:val="31"/>
    <w:uiPriority w:val="9"/>
    <w:semiHidden/>
    <w:unhideWhenUsed/>
    <w:qFormat/>
    <w:rsid w:val="00a833ac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Основной текст (5)_"/>
    <w:basedOn w:val="DefaultParagraphFont"/>
    <w:link w:val="51"/>
    <w:qFormat/>
    <w:rsid w:val="00be631b"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5115pt" w:customStyle="1">
    <w:name w:val="Основной текст (5) + 11;5 pt"/>
    <w:basedOn w:val="5"/>
    <w:qFormat/>
    <w:rsid w:val="00be631b"/>
    <w:rPr>
      <w:rFonts w:ascii="Times New Roman" w:hAnsi="Times New Roman" w:eastAsia="Times New Roman" w:cs="Times New Roman"/>
      <w:color w:val="000000"/>
      <w:spacing w:val="0"/>
      <w:w w:val="100"/>
      <w:sz w:val="23"/>
      <w:szCs w:val="23"/>
      <w:shd w:fill="FFFFFF" w:val="clear"/>
      <w:lang w:val="ru-RU" w:eastAsia="ru-RU" w:bidi="ru-RU"/>
    </w:rPr>
  </w:style>
  <w:style w:type="character" w:styleId="Style7" w:customStyle="1">
    <w:name w:val="Основной текст_"/>
    <w:basedOn w:val="DefaultParagraphFont"/>
    <w:link w:val="23"/>
    <w:qFormat/>
    <w:rsid w:val="00be631b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1" w:customStyle="1">
    <w:name w:val="Заголовок №1_"/>
    <w:basedOn w:val="DefaultParagraphFont"/>
    <w:link w:val="13"/>
    <w:qFormat/>
    <w:rsid w:val="00be631b"/>
    <w:rPr>
      <w:rFonts w:ascii="Times New Roman" w:hAnsi="Times New Roman" w:eastAsia="Times New Roman" w:cs="Times New Roman"/>
      <w:b/>
      <w:bCs/>
      <w:sz w:val="23"/>
      <w:szCs w:val="23"/>
      <w:shd w:fill="FFFFFF" w:val="clear"/>
    </w:rPr>
  </w:style>
  <w:style w:type="character" w:styleId="2" w:customStyle="1">
    <w:name w:val="Подпись к таблице (2)_"/>
    <w:basedOn w:val="DefaultParagraphFont"/>
    <w:link w:val="24"/>
    <w:qFormat/>
    <w:rsid w:val="00197c11"/>
    <w:rPr>
      <w:rFonts w:ascii="Times New Roman" w:hAnsi="Times New Roman" w:eastAsia="Times New Roman" w:cs="Times New Roman"/>
      <w:sz w:val="23"/>
      <w:szCs w:val="23"/>
      <w:shd w:fill="FFFFFF" w:val="clear"/>
    </w:rPr>
  </w:style>
  <w:style w:type="character" w:styleId="11" w:customStyle="1">
    <w:name w:val="Основной текст1"/>
    <w:basedOn w:val="Style7"/>
    <w:qFormat/>
    <w:rsid w:val="00197c11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shd w:fill="FFFFFF" w:val="clear"/>
      <w:lang w:val="ru-RU" w:eastAsia="ru-RU" w:bidi="ru-RU"/>
    </w:rPr>
  </w:style>
  <w:style w:type="character" w:styleId="Style8" w:customStyle="1">
    <w:name w:val="Основной текст + Полужирный"/>
    <w:basedOn w:val="Style7"/>
    <w:qFormat/>
    <w:rsid w:val="00197c11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shd w:fill="FFFFFF" w:val="clear"/>
      <w:lang w:val="ru-RU" w:eastAsia="ru-RU" w:bidi="ru-RU"/>
    </w:rPr>
  </w:style>
  <w:style w:type="character" w:styleId="115pt" w:customStyle="1">
    <w:name w:val="Колонтитул + 11;5 pt;Полужирный"/>
    <w:basedOn w:val="DefaultParagraphFont"/>
    <w:qFormat/>
    <w:rsid w:val="00197c11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single"/>
      <w:lang w:val="ru-RU" w:eastAsia="ru-RU" w:bidi="ru-RU"/>
    </w:rPr>
  </w:style>
  <w:style w:type="character" w:styleId="1pt" w:customStyle="1">
    <w:name w:val="Основной текст + Интервал 1 pt"/>
    <w:basedOn w:val="Style7"/>
    <w:qFormat/>
    <w:rsid w:val="00197c11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30"/>
      <w:w w:val="100"/>
      <w:sz w:val="23"/>
      <w:szCs w:val="23"/>
      <w:u w:val="none"/>
      <w:shd w:fill="FFFFFF" w:val="clear"/>
      <w:lang w:val="ru-RU" w:eastAsia="ru-RU" w:bidi="ru-RU"/>
    </w:rPr>
  </w:style>
  <w:style w:type="character" w:styleId="21" w:customStyle="1">
    <w:name w:val="Основной текст (2)_"/>
    <w:basedOn w:val="DefaultParagraphFont"/>
    <w:link w:val="25"/>
    <w:qFormat/>
    <w:rsid w:val="00197c11"/>
    <w:rPr>
      <w:rFonts w:ascii="Times New Roman" w:hAnsi="Times New Roman" w:eastAsia="Times New Roman" w:cs="Times New Roman"/>
      <w:b/>
      <w:bCs/>
      <w:sz w:val="23"/>
      <w:szCs w:val="23"/>
      <w:shd w:fill="FFFFFF" w:val="clear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7e241e"/>
    <w:rPr/>
  </w:style>
  <w:style w:type="character" w:styleId="Style10" w:customStyle="1">
    <w:name w:val="Нижний колонтитул Знак"/>
    <w:basedOn w:val="DefaultParagraphFont"/>
    <w:uiPriority w:val="99"/>
    <w:qFormat/>
    <w:rsid w:val="007e241e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2c5785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9b0387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qFormat/>
    <w:rsid w:val="009b0387"/>
    <w:rPr>
      <w:sz w:val="20"/>
      <w:szCs w:val="20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9b0387"/>
    <w:rPr>
      <w:b/>
      <w:bCs/>
      <w:sz w:val="20"/>
      <w:szCs w:val="20"/>
    </w:rPr>
  </w:style>
  <w:style w:type="character" w:styleId="12" w:customStyle="1">
    <w:name w:val="Заголовок 1 Знак"/>
    <w:basedOn w:val="DefaultParagraphFont"/>
    <w:uiPriority w:val="99"/>
    <w:qFormat/>
    <w:rsid w:val="001c78ee"/>
    <w:rPr>
      <w:rFonts w:ascii="Arial" w:hAnsi="Arial" w:eastAsia="" w:cs="Arial" w:eastAsiaTheme="minorEastAsia"/>
      <w:b/>
      <w:bCs/>
      <w:color w:val="26282F"/>
      <w:sz w:val="24"/>
      <w:szCs w:val="24"/>
      <w:lang w:eastAsia="ru-RU"/>
    </w:rPr>
  </w:style>
  <w:style w:type="character" w:styleId="Style14" w:customStyle="1">
    <w:name w:val="Гипертекстовая ссылка"/>
    <w:basedOn w:val="DefaultParagraphFont"/>
    <w:uiPriority w:val="99"/>
    <w:qFormat/>
    <w:rsid w:val="001c78ee"/>
    <w:rPr>
      <w:rFonts w:cs="Times New Roman"/>
      <w:b w:val="false"/>
      <w:color w:val="106BBE"/>
    </w:rPr>
  </w:style>
  <w:style w:type="character" w:styleId="Hyperlink">
    <w:name w:val="Hyperlink"/>
    <w:basedOn w:val="DefaultParagraphFont"/>
    <w:uiPriority w:val="99"/>
    <w:unhideWhenUsed/>
    <w:rsid w:val="0039563e"/>
    <w:rPr>
      <w:color w:val="0000FF" w:themeColor="hyperlink"/>
      <w:u w:val="single"/>
    </w:rPr>
  </w:style>
  <w:style w:type="character" w:styleId="Fontstyle01" w:customStyle="1">
    <w:name w:val="fontstyle01"/>
    <w:basedOn w:val="DefaultParagraphFont"/>
    <w:qFormat/>
    <w:rsid w:val="00cc4462"/>
    <w:rPr>
      <w:rFonts w:ascii="TimesNewRoman" w:hAnsi="TimesNewRoman"/>
      <w:b w:val="false"/>
      <w:bCs w:val="false"/>
      <w:i w:val="false"/>
      <w:iCs w:val="false"/>
      <w:color w:val="000000"/>
      <w:sz w:val="20"/>
      <w:szCs w:val="20"/>
    </w:rPr>
  </w:style>
  <w:style w:type="character" w:styleId="Style15" w:customStyle="1">
    <w:name w:val="Абзац списка Знак"/>
    <w:link w:val="ListParagraph"/>
    <w:uiPriority w:val="34"/>
    <w:qFormat/>
    <w:locked/>
    <w:rsid w:val="005642dd"/>
    <w:rPr/>
  </w:style>
  <w:style w:type="character" w:styleId="3" w:customStyle="1">
    <w:name w:val="Основной текст 3 Знак"/>
    <w:basedOn w:val="DefaultParagraphFont"/>
    <w:link w:val="BodyText3"/>
    <w:qFormat/>
    <w:rsid w:val="004f3465"/>
    <w:rPr>
      <w:rFonts w:ascii="Times New Roman" w:hAnsi="Times New Roman" w:eastAsia="Times New Roman" w:cs="Times New Roman"/>
      <w:color w:val="0000FF"/>
      <w:sz w:val="24"/>
      <w:szCs w:val="24"/>
      <w:lang w:val="x-none"/>
    </w:rPr>
  </w:style>
  <w:style w:type="character" w:styleId="22" w:customStyle="1">
    <w:name w:val="Основной текст 2 Знак"/>
    <w:basedOn w:val="DefaultParagraphFont"/>
    <w:link w:val="BodyText2"/>
    <w:qFormat/>
    <w:rsid w:val="00244b5a"/>
    <w:rPr>
      <w:rFonts w:ascii="Arial" w:hAnsi="Arial" w:eastAsia="Times New Roman" w:cs="Times New Roman"/>
      <w:sz w:val="24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fe7dcb"/>
    <w:rPr>
      <w:b/>
      <w:bCs/>
    </w:rPr>
  </w:style>
  <w:style w:type="character" w:styleId="31" w:customStyle="1">
    <w:name w:val="Заголовок 3 Знак"/>
    <w:basedOn w:val="DefaultParagraphFont"/>
    <w:uiPriority w:val="9"/>
    <w:semiHidden/>
    <w:qFormat/>
    <w:rsid w:val="00a833ac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51" w:customStyle="1">
    <w:name w:val="Основной текст (5)"/>
    <w:basedOn w:val="Normal"/>
    <w:link w:val="5"/>
    <w:qFormat/>
    <w:rsid w:val="00be631b"/>
    <w:pPr>
      <w:widowControl w:val="false"/>
      <w:shd w:val="clear" w:color="auto" w:fill="FFFFFF"/>
      <w:spacing w:lineRule="exact" w:line="317" w:before="0" w:after="600"/>
      <w:jc w:val="left"/>
    </w:pPr>
    <w:rPr>
      <w:rFonts w:ascii="Times New Roman" w:hAnsi="Times New Roman" w:eastAsia="Times New Roman" w:cs="Times New Roman"/>
      <w:sz w:val="21"/>
      <w:szCs w:val="21"/>
    </w:rPr>
  </w:style>
  <w:style w:type="paragraph" w:styleId="23" w:customStyle="1">
    <w:name w:val="Основной текст2"/>
    <w:basedOn w:val="Normal"/>
    <w:link w:val="Style7"/>
    <w:qFormat/>
    <w:rsid w:val="00be631b"/>
    <w:pPr>
      <w:widowControl w:val="false"/>
      <w:shd w:val="clear" w:color="auto" w:fill="FFFFFF"/>
      <w:spacing w:lineRule="exact" w:line="263" w:before="300" w:after="0"/>
      <w:ind w:hanging="900"/>
    </w:pPr>
    <w:rPr>
      <w:rFonts w:ascii="Times New Roman" w:hAnsi="Times New Roman" w:eastAsia="Times New Roman" w:cs="Times New Roman"/>
      <w:sz w:val="23"/>
      <w:szCs w:val="23"/>
    </w:rPr>
  </w:style>
  <w:style w:type="paragraph" w:styleId="13" w:customStyle="1">
    <w:name w:val="Заголовок №1"/>
    <w:basedOn w:val="Normal"/>
    <w:link w:val="1"/>
    <w:qFormat/>
    <w:rsid w:val="00be631b"/>
    <w:pPr>
      <w:widowControl w:val="false"/>
      <w:shd w:val="clear" w:color="auto" w:fill="FFFFFF"/>
      <w:spacing w:lineRule="exact" w:line="313" w:before="600" w:after="0"/>
      <w:jc w:val="center"/>
      <w:outlineLvl w:val="0"/>
    </w:pPr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24" w:customStyle="1">
    <w:name w:val="Подпись к таблице (2)"/>
    <w:basedOn w:val="Normal"/>
    <w:link w:val="2"/>
    <w:qFormat/>
    <w:rsid w:val="00197c11"/>
    <w:pPr>
      <w:widowControl w:val="false"/>
      <w:shd w:val="clear" w:color="auto" w:fill="FFFFFF"/>
      <w:spacing w:lineRule="atLeast" w:line="0"/>
      <w:jc w:val="left"/>
    </w:pPr>
    <w:rPr>
      <w:rFonts w:ascii="Times New Roman" w:hAnsi="Times New Roman" w:eastAsia="Times New Roman" w:cs="Times New Roman"/>
      <w:sz w:val="23"/>
      <w:szCs w:val="23"/>
    </w:rPr>
  </w:style>
  <w:style w:type="paragraph" w:styleId="25" w:customStyle="1">
    <w:name w:val="Основной текст (2)"/>
    <w:basedOn w:val="Normal"/>
    <w:link w:val="21"/>
    <w:qFormat/>
    <w:rsid w:val="00197c11"/>
    <w:pPr>
      <w:widowControl w:val="false"/>
      <w:shd w:val="clear" w:color="auto" w:fill="FFFFFF"/>
      <w:spacing w:lineRule="exact" w:line="277" w:before="0" w:after="480"/>
      <w:jc w:val="center"/>
    </w:pPr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7e24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7e24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c5785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uiPriority w:val="99"/>
    <w:unhideWhenUsed/>
    <w:qFormat/>
    <w:rsid w:val="009b0387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9b0387"/>
    <w:pPr/>
    <w:rPr>
      <w:b/>
      <w:bCs/>
    </w:rPr>
  </w:style>
  <w:style w:type="paragraph" w:styleId="ListParagraph">
    <w:name w:val="List Paragraph"/>
    <w:basedOn w:val="Normal"/>
    <w:link w:val="Style15"/>
    <w:uiPriority w:val="34"/>
    <w:qFormat/>
    <w:rsid w:val="00d75a33"/>
    <w:pPr>
      <w:spacing w:lineRule="auto" w:line="276" w:before="0" w:after="200"/>
      <w:ind w:left="720" w:hanging="0"/>
      <w:contextualSpacing/>
      <w:jc w:val="left"/>
    </w:pPr>
    <w:rPr/>
  </w:style>
  <w:style w:type="paragraph" w:styleId="Revision">
    <w:name w:val="Revision"/>
    <w:uiPriority w:val="99"/>
    <w:semiHidden/>
    <w:qFormat/>
    <w:rsid w:val="001c78e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Default" w:customStyle="1">
    <w:name w:val="Default"/>
    <w:qFormat/>
    <w:rsid w:val="0059788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BodyText3">
    <w:name w:val="Body Text 3"/>
    <w:basedOn w:val="Normal"/>
    <w:link w:val="3"/>
    <w:qFormat/>
    <w:rsid w:val="004f3465"/>
    <w:pPr/>
    <w:rPr>
      <w:rFonts w:ascii="Times New Roman" w:hAnsi="Times New Roman" w:eastAsia="Times New Roman" w:cs="Times New Roman"/>
      <w:color w:val="0000FF"/>
      <w:sz w:val="24"/>
      <w:szCs w:val="24"/>
      <w:lang w:val="x-none"/>
    </w:rPr>
  </w:style>
  <w:style w:type="paragraph" w:styleId="BodyText2">
    <w:name w:val="Body Text 2"/>
    <w:basedOn w:val="Normal"/>
    <w:link w:val="22"/>
    <w:qFormat/>
    <w:rsid w:val="00244b5a"/>
    <w:pPr/>
    <w:rPr>
      <w:rFonts w:ascii="Arial" w:hAnsi="Arial" w:eastAsia="Times New Roman" w:cs="Times New Roman"/>
      <w:sz w:val="24"/>
      <w:szCs w:val="20"/>
      <w:lang w:eastAsia="ru-RU"/>
    </w:rPr>
  </w:style>
  <w:style w:type="paragraph" w:styleId="Headertext" w:customStyle="1">
    <w:name w:val="headertext"/>
    <w:basedOn w:val="Normal"/>
    <w:qFormat/>
    <w:rsid w:val="000b2149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0b2149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fe7dcb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4" w:customStyle="1">
    <w:name w:val="Стиль1"/>
    <w:uiPriority w:val="99"/>
    <w:qFormat/>
    <w:rsid w:val="00931f42"/>
  </w:style>
  <w:style w:type="numbering" w:styleId="26" w:customStyle="1">
    <w:name w:val="Стиль2"/>
    <w:uiPriority w:val="99"/>
    <w:qFormat/>
    <w:rsid w:val="002633a8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f44ac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Сетка таблицы1"/>
    <w:basedOn w:val="a1"/>
    <w:uiPriority w:val="59"/>
    <w:rsid w:val="00f973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">
    <w:name w:val="Леша31"/>
    <w:basedOn w:val="a1"/>
    <w:rsid w:val="00a86c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/&#1088;&#1077;&#1075;&#1083;&#1072;&#1084;&#1077;&#1085;&#1090;" TargetMode="External"/><Relationship Id="rId3" Type="http://schemas.openxmlformats.org/officeDocument/2006/relationships/hyperlink" Target="01.09.2013)" TargetMode="External"/><Relationship Id="rId4" Type="http://schemas.openxmlformats.org/officeDocument/2006/relationships/hyperlink" Target="kodeks://link/d?nd=1200003114" TargetMode="External"/><Relationship Id="rId5" Type="http://schemas.openxmlformats.org/officeDocument/2006/relationships/hyperlink" Target="./&#1088;&#1077;&#1076;&#1072;&#1082;&#1094;&#1080;&#1103;" TargetMode="External"/><Relationship Id="rId6" Type="http://schemas.openxmlformats.org/officeDocument/2006/relationships/hyperlink" Target="06.03.2023" TargetMode="External"/><Relationship Id="rId7" Type="http://schemas.openxmlformats.org/officeDocument/2006/relationships/hyperlink" Target="07.08.2015" TargetMode="External"/><Relationship Id="rId8" Type="http://schemas.openxmlformats.org/officeDocument/2006/relationships/hyperlink" Target="08.06.2022)" TargetMode="External"/><Relationship Id="rId9" Type="http://schemas.openxmlformats.org/officeDocument/2006/relationships/hyperlink" Target="01.09.2022)" TargetMode="External"/><Relationship Id="rId10" Type="http://schemas.openxmlformats.org/officeDocument/2006/relationships/hyperlink" Target="01.09.2022)" TargetMode="External"/><Relationship Id="rId11" Type="http://schemas.openxmlformats.org/officeDocument/2006/relationships/hyperlink" Target="22.06.2009" TargetMode="External"/><Relationship Id="rId12" Type="http://schemas.openxmlformats.org/officeDocument/2006/relationships/hyperlink" Target="04.10.2020)" TargetMode="External"/><Relationship Id="rId13" Type="http://schemas.openxmlformats.org/officeDocument/2006/relationships/hyperlink" Target="./&#1088;&#1077;&#1075;&#1083;&#1072;&#1084;&#1077;&#1085;&#1090;" TargetMode="External"/><Relationship Id="rId14" Type="http://schemas.openxmlformats.org/officeDocument/2006/relationships/hyperlink" Target="01.03.2023)" TargetMode="External"/><Relationship Id="rId15" Type="http://schemas.openxmlformats.org/officeDocument/2006/relationships/hyperlink" Target="01.03.2023)" TargetMode="External"/><Relationship Id="rId16" Type="http://schemas.openxmlformats.org/officeDocument/2006/relationships/hyperlink" Target="./&#1088;&#1077;&#1076;&#1072;&#1082;&#1094;&#1080;&#1103;" TargetMode="External"/><Relationship Id="rId17" Type="http://schemas.openxmlformats.org/officeDocument/2006/relationships/hyperlink" Target="./&#1076;&#1077;&#1081;&#1089;&#1090;&#1074;&#1091;&#1077;&#1090;" TargetMode="External"/><Relationship Id="rId18" Type="http://schemas.openxmlformats.org/officeDocument/2006/relationships/hyperlink" Target="01.02.2023" TargetMode="External"/><Relationship Id="rId19" Type="http://schemas.openxmlformats.org/officeDocument/2006/relationships/hyperlink" Target="01.03.2020" TargetMode="External"/><Relationship Id="rId20" Type="http://schemas.openxmlformats.org/officeDocument/2006/relationships/hyperlink" Target="./&#1088;&#1077;&#1075;&#1083;&#1072;&#1084;&#1077;&#1085;&#1090;" TargetMode="External"/><Relationship Id="rId21" Type="http://schemas.openxmlformats.org/officeDocument/2006/relationships/hyperlink" Target="01.03.2019)" TargetMode="External"/><Relationship Id="rId22" Type="http://schemas.openxmlformats.org/officeDocument/2006/relationships/hyperlink" Target="./&#1076;&#1077;&#1081;&#1089;&#1090;&#1074;&#1091;&#1077;&#1090;" TargetMode="External"/><Relationship Id="rId23" Type="http://schemas.openxmlformats.org/officeDocument/2006/relationships/hyperlink" Target="29.03.2018)" TargetMode="External"/><Relationship Id="rId24" Type="http://schemas.openxmlformats.org/officeDocument/2006/relationships/hyperlink" Target="./&#1076;&#1077;&#1081;&#1089;&#1090;&#1074;&#1091;&#1077;&#1090;" TargetMode="External"/><Relationship Id="rId25" Type="http://schemas.openxmlformats.org/officeDocument/2006/relationships/hyperlink" Target="01.01.2022)" TargetMode="External"/><Relationship Id="rId26" Type="http://schemas.openxmlformats.org/officeDocument/2006/relationships/hyperlink" Target="01.01.2001" TargetMode="External"/><Relationship Id="rId27" Type="http://schemas.openxmlformats.org/officeDocument/2006/relationships/hyperlink" Target="30.06.2003" TargetMode="External"/><Relationship Id="rId28" Type="http://schemas.openxmlformats.org/officeDocument/2006/relationships/hyperlink" Target="./&#1085;&#1077;&#1076;&#1077;&#1081;&#1089;&#1090;&#1074;&#1091;&#1102;&#1097;&#1080;&#1081;" TargetMode="External"/><Relationship Id="rId29" Type="http://schemas.openxmlformats.org/officeDocument/2006/relationships/footer" Target="footer1.xml"/><Relationship Id="rId30" Type="http://schemas.openxmlformats.org/officeDocument/2006/relationships/numbering" Target="numbering.xml"/><Relationship Id="rId31" Type="http://schemas.openxmlformats.org/officeDocument/2006/relationships/fontTable" Target="fontTable.xml"/><Relationship Id="rId32" Type="http://schemas.openxmlformats.org/officeDocument/2006/relationships/settings" Target="settings.xml"/><Relationship Id="rId33" Type="http://schemas.openxmlformats.org/officeDocument/2006/relationships/theme" Target="theme/theme1.xml"/><Relationship Id="rId3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15C26F-D399-46E0-98AC-D535DA45A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Application>AlterOffice/3.4.0.8$Linux_X86_64 LibreOffice_project/8f3f3c847f0b8d6fea24e251d3d8ed4f23cbe23c</Application>
  <AppVersion>15.0000</AppVersion>
  <Pages>12</Pages>
  <Words>2259</Words>
  <Characters>16688</Characters>
  <CharactersWithSpaces>18592</CharactersWithSpaces>
  <Paragraphs>370</Paragraphs>
  <Company>182ФНТ2-СЭС-ТЗ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2026-09-29T11:59:00Z</dcterms:created>
  <dc:creator>sfiesta</dc:creator>
  <dc:description/>
  <dc:language>ru-RU</dc:language>
  <cp:lastModifiedBy>gominda@sed.local</cp:lastModifiedBy>
  <cp:lastPrinted>2023-05-04T20:29:00Z</cp:lastPrinted>
  <dcterms:modified xsi:type="dcterms:W3CDTF">2026-10-22T08:54:37Z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