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 w:val="22"/>
          <w:szCs w:val="22"/>
          <w:vertAlign w:val="subscript"/>
        </w:rPr>
      </w:pPr>
      <w:r>
        <w:rPr>
          <w:sz w:val="22"/>
          <w:szCs w:val="22"/>
          <w:vertAlign w:val="subscript"/>
        </w:rPr>
        <mc:AlternateContent>
          <mc:Choice Requires="wps">
            <w:drawing>
              <wp:anchor behindDoc="0" distT="635" distB="0" distL="635" distR="0" simplePos="0" locked="0" layoutInCell="0" allowOverlap="1" relativeHeight="3" wp14:anchorId="600FFC54">
                <wp:simplePos x="0" y="0"/>
                <wp:positionH relativeFrom="column">
                  <wp:posOffset>4198620</wp:posOffset>
                </wp:positionH>
                <wp:positionV relativeFrom="paragraph">
                  <wp:posOffset>1370330</wp:posOffset>
                </wp:positionV>
                <wp:extent cx="1701165" cy="175895"/>
                <wp:effectExtent l="635" t="635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00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330.6pt;margin-top:107.9pt;width:133.9pt;height:13.8pt;mso-wrap-style:none;v-text-anchor:middle" wp14:anchorId="600FFC54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1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635" distR="0" simplePos="0" locked="0" layoutInCell="0" allowOverlap="1" relativeHeight="5" wp14:anchorId="7C6AC8DC">
                <wp:simplePos x="0" y="0"/>
                <wp:positionH relativeFrom="column">
                  <wp:posOffset>109220</wp:posOffset>
                </wp:positionH>
                <wp:positionV relativeFrom="paragraph">
                  <wp:posOffset>1394460</wp:posOffset>
                </wp:positionV>
                <wp:extent cx="1701165" cy="175260"/>
                <wp:effectExtent l="635" t="0" r="0" b="0"/>
                <wp:wrapNone/>
                <wp:docPr id="3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000" cy="17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8.6pt;margin-top:109.8pt;width:133.9pt;height:13.75pt;mso-wrap-style:none;v-text-anchor:middle" wp14:anchorId="7C6AC8D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1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7" wp14:anchorId="08AC990D">
                <wp:simplePos x="0" y="0"/>
                <wp:positionH relativeFrom="column">
                  <wp:posOffset>4319270</wp:posOffset>
                </wp:positionH>
                <wp:positionV relativeFrom="paragraph">
                  <wp:posOffset>1395095</wp:posOffset>
                </wp:positionV>
                <wp:extent cx="1701165" cy="175895"/>
                <wp:effectExtent l="635" t="635" r="0" b="0"/>
                <wp:wrapNone/>
                <wp:docPr id="5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00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340.1pt;margin-top:109.85pt;width:133.9pt;height:13.8pt;mso-wrap-style:none;v-text-anchor:middle" wp14:anchorId="08AC990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1"/>
                        <w:rPr>
                          <w:rFonts w:ascii="Verdana" w:hAnsi="Verdana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bookmarkStart w:id="0" w:name="_GoBack"/>
      <w:bookmarkStart w:id="1" w:name="_GoBack"/>
      <w:bookmarkEnd w:id="1"/>
    </w:p>
    <w:p>
      <w:pPr>
        <w:pStyle w:val="Normal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left="581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Приложение к приказу филиала ПАО «РусГидро»-«Волжская ГЭС» №ВЛГЭС/79-353  от 03.07.2023    </w:t>
      </w:r>
    </w:p>
    <w:p>
      <w:pPr>
        <w:pStyle w:val="Normal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</w:t>
      </w:r>
    </w:p>
    <w:p>
      <w:pPr>
        <w:pStyle w:val="Normal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порядке подключения временных потребителей электроэнергии </w:t>
      </w:r>
    </w:p>
    <w:p>
      <w:pPr>
        <w:pStyle w:val="Normal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филиале ПАО «РусГидро»-«Волжская ГЭС»</w:t>
      </w:r>
    </w:p>
    <w:p>
      <w:pPr>
        <w:pStyle w:val="Normal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ременными потребителями электроэнергии являются сварочные аппараты, вентиляторы, калориферы, насосы, сборки и т.п. различное переносное и передвижное электрооборудование напряжением 12-380 В переменного тока, временно подключаемые через специально предназначенные для этих целей ремонтные сборки к собственным нуждам (далее – СН) ГЭС для выполнения работ или решения других производственных задач. 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Положение не распространяется на потребителей, подключаемых к розеткам различного конструктивного исполнения и напряжения: пылесосы, поломоечные машины, переносные светильники и т.д., с номинальным током не более 10 А.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FFFFFF" w:val="clear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не распространяется на временных потребителей, подключаемых непосредственно к ячейкам КРУ-10 кВ.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FFFFFF" w:val="clear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в п.3 подключения должны выполняться по утвержденной главным инженером станции проектной документации, содержащей в т.ч. результаты расчетов допустимости подключения и предусматривающей выполнение технических решений по полноценному обеспечению требований ПУЭ и НТД в части электробезопасности, наличия электрических защит от всех видов повреждений и ненормальных режимов, пожарной безопасности, надежности электроснабжения смежных потребителей собственных нужд и т.д.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FFFFFF" w:val="clear"/>
        </w:rPr>
        <w:t>Временные</w:t>
      </w:r>
      <w:r>
        <w:rPr>
          <w:rFonts w:ascii="Times New Roman" w:hAnsi="Times New Roman"/>
          <w:sz w:val="28"/>
          <w:szCs w:val="28"/>
        </w:rPr>
        <w:t xml:space="preserve"> потребители подключаются к ремонтным сборкам. В случае отсутствия на месте производства работ ремонтной сборки должна быть установлена временная ремонтная сборка, соответствующая указанной в заявке суммарной мощности нагрузки временных потребителей. 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fill="FFFFFF" w:val="clear"/>
        </w:rPr>
        <w:t>Временная ремонтная сборка должна быть оборудована защитными автоматичес</w:t>
      </w:r>
      <w:r>
        <w:rPr>
          <w:rFonts w:ascii="Times New Roman" w:hAnsi="Times New Roman"/>
          <w:sz w:val="28"/>
          <w:szCs w:val="28"/>
        </w:rPr>
        <w:t>кими выключателями (предохранителями) для каждого подключаемого присоединения и розетками, согласно требованиям ПУЭ. Параметры и защитные характеристики автоматических выключателей (предохранителей) ремонтных сборок должны обеспечивать условия чувствительности и селективного действия при коротких замыканиях и перегрузках.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Тип </w:t>
      </w:r>
      <w:r>
        <w:rPr>
          <w:rFonts w:ascii="Times New Roman" w:hAnsi="Times New Roman"/>
          <w:sz w:val="28"/>
          <w:szCs w:val="28"/>
          <w:shd w:fill="FFFFFF" w:val="clear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временной ремонтной сборки должен соответствовать месту установки и условиям эксплуатации сборки.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  <w:shd w:fill="FFFFFF" w:val="clear"/>
        </w:rPr>
        <w:t>схеме</w:t>
      </w:r>
      <w:r>
        <w:rPr>
          <w:rFonts w:ascii="Times New Roman" w:hAnsi="Times New Roman"/>
          <w:sz w:val="28"/>
          <w:szCs w:val="28"/>
        </w:rPr>
        <w:t xml:space="preserve"> собственных нужд ГЭС подключаются временные потребители, которые: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соответствуют правилам устройства электроустановок (ПУЭ),  правилам по охране труда при эксплуатации электроустановок, правилам безопасности при работе с инструментом и приспособлениями (СО 153-34.03.204) и  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правилам по охране труда при работе с инструментом и приспособлениями</w:t>
      </w:r>
      <w:r>
        <w:rPr>
          <w:rFonts w:ascii="Times New Roman" w:hAnsi="Times New Roman"/>
          <w:sz w:val="28"/>
          <w:szCs w:val="28"/>
        </w:rPr>
        <w:t>;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имеют надпись о принадлежности потребителя, ФИО лица ответственного за исправное состояние потребителя, паспортная или расчетная мощность, отметка об испытании;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имеют вводные устройства (автоматические выключатели, предохранители, рубильники);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 конструкции которых отсутствуют горючие элементы (например - деревянная рама);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имеют степень защиты оболочки не менее </w:t>
      </w:r>
      <w:r>
        <w:rPr>
          <w:rFonts w:ascii="Times New Roman" w:hAnsi="Times New Roman"/>
          <w:sz w:val="28"/>
          <w:szCs w:val="28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54 для наружных работ.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 xml:space="preserve">Для </w:t>
      </w:r>
      <w:r>
        <w:rPr>
          <w:rFonts w:ascii="Times New Roman" w:hAnsi="Times New Roman"/>
          <w:sz w:val="28"/>
          <w:szCs w:val="28"/>
        </w:rPr>
        <w:t>питания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переносных и передвижных электроприемников применяются шнуры и гибкие кабели с медными жилами, специально предназначенные для этой цели, с учетом возможных механических воздействий. Все жилы указанных проводников, в том числе заземляющая, должны быть в общей оболочке, оплетке или иметь общую изоляцию.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</w:rPr>
        <w:t>Сечение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жил кабелей, проводов и шнуров временных потребителей по условиям термической стойкости и невозгорания при коротких замыканиях и перегрузке должно быть не менее 6 мм</w:t>
      </w:r>
      <w:r>
        <w:rPr>
          <w:rFonts w:ascii="Times New Roman" w:hAnsi="Times New Roman"/>
          <w:sz w:val="28"/>
          <w:szCs w:val="28"/>
          <w:shd w:fill="FFFFFF" w:val="clear"/>
          <w:vertAlign w:val="superscript"/>
        </w:rPr>
        <w:t>2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для медных жил и соответствовать параметрам защитных устройств: автоматических выключателей или предохранителей ремонтных сборок. Минимально допустимое сечение жил кабелей проводов и шнуров временных потребителей, подключаемых к ремонтным сборкам приведено в таблице 1.</w:t>
      </w:r>
    </w:p>
    <w:p>
      <w:pPr>
        <w:pStyle w:val="Normal"/>
        <w:ind w:left="426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</w:r>
    </w:p>
    <w:p>
      <w:pPr>
        <w:pStyle w:val="Normal"/>
        <w:ind w:left="426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</w:r>
    </w:p>
    <w:tbl>
      <w:tblPr>
        <w:tblW w:w="7940" w:type="dxa"/>
        <w:jc w:val="left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97"/>
        <w:gridCol w:w="958"/>
        <w:gridCol w:w="957"/>
        <w:gridCol w:w="956"/>
        <w:gridCol w:w="957"/>
        <w:gridCol w:w="958"/>
        <w:gridCol w:w="956"/>
      </w:tblGrid>
      <w:tr>
        <w:trPr/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Ном. ток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АВ (ПР)</w:t>
            </w:r>
          </w:p>
        </w:tc>
        <w:tc>
          <w:tcPr>
            <w:tcW w:w="5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Минимально допустимое сечение кабеля, проводов</w:t>
            </w:r>
          </w:p>
        </w:tc>
      </w:tr>
      <w:tr>
        <w:trPr/>
        <w:tc>
          <w:tcPr>
            <w:tcW w:w="2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 жильный</w:t>
            </w:r>
          </w:p>
        </w:tc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2 жильный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3 и 4 жильный</w:t>
            </w:r>
          </w:p>
        </w:tc>
      </w:tr>
      <w:tr>
        <w:trPr/>
        <w:tc>
          <w:tcPr>
            <w:tcW w:w="2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медь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алюм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медь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алюм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медь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алюм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А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мм2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мм2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мм2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мм2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мм2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мм2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32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40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50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80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-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100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25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25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35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35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25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35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35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50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160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25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50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35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70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50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95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200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50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70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50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95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70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120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250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70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95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70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95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150</w:t>
            </w:r>
          </w:p>
        </w:tc>
      </w:tr>
    </w:tbl>
    <w:p>
      <w:pPr>
        <w:pStyle w:val="Normal"/>
        <w:ind w:left="426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ascii="Times New Roman" w:hAnsi="Times New Roman"/>
          <w:sz w:val="28"/>
          <w:szCs w:val="28"/>
        </w:rPr>
        <w:t>Кабельные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линии должны выполняться так, чтобы в процессе монтажа и эксплуатации было исключено возникновение в них опасных механических напряжений и повреждений, для чего: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851" w:leader="none"/>
        </w:tabs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кабели должны быть уложены с запасом по длине, достаточным для компенсации возможных смещений почвы и температурных деформаций самих кабелей и конструкций, по которым они проложены; укладывать запас кабеля в виде колец (витков) запрещается;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851" w:leader="none"/>
        </w:tabs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кабели, проложенные горизонтально по конструкциям, стенам, перекрытиям и т. п., должны быть жестко закреплены в конечных точках, непосредственно у концевых заделок, с обеих сторон изгибов и у соединительных и стопорных муфт, а также по всей длине кабеля;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851" w:leader="none"/>
        </w:tabs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кабели, проложенные вертикально по конструкциям и стенам, должны быть закреплены так, чтобы была предотвращена деформация оболочек и не нарушались соединения жил в муфтах под действием собственного веса кабелей;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851" w:leader="none"/>
        </w:tabs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конструкции, на которые укладываются небронированные кабели, должны быть выполнены таким образом, чтобы была исключена возможность механического повреждения оболочек кабелей; в местах жесткого крепления оболочки этих кабелей должны быть предохранены от механических повреждений и коррозии при помощи эластичных прокладок;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851" w:leader="none"/>
        </w:tabs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в месте подключения к ремсборке или другому источнику на подключаемом кабеле должна быть прикреплена бирка с надписью о принадлежности потребителя и номером заявки на подключение.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Открытую прокладку незащищенных изолированных проводов непосредственно по основаниям, на роликах, изоляторах, на тросах и лотках следует выполнять: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851" w:leader="none"/>
        </w:tabs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при напряжении выше 42 В в помещениях без повышенной опасности и при напряжении до 42 В в любых помещениях - на высоте не менее 2 м от уровня пола или площадки обслуживания;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851" w:leader="none"/>
        </w:tabs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при напряжении выше 42 В в помещениях с повышенной опасностью и особо опасных - на высоте не менее 2,5 м от уровня пола или площадки обслуживания.</w:t>
      </w:r>
    </w:p>
    <w:p>
      <w:pPr>
        <w:pStyle w:val="Normal"/>
        <w:tabs>
          <w:tab w:val="clear" w:pos="720"/>
          <w:tab w:val="left" w:pos="851" w:leader="none"/>
        </w:tabs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ab/>
        <w:t>Данные требования не распространяются на спуски к выключателям, розеткам, пусковым аппаратам, щиткам, светильникам, устанавливаемым на стене.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851" w:leader="none"/>
        </w:tabs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Разводка временных электросетей напряжением до 1000 В должна быть выполнена изолированными проводами или кабелями (без механических повреждений) на опорах или конструкциях, рассчитанных на механическую прочность при прокладке по ним проводов и кабелей, на высоте над уровнем земли, настила не менее: 3,5 м - над проходами; 6,0 м - над проездами; 2.5 м - над рабочими местами. </w:t>
      </w:r>
    </w:p>
    <w:p>
      <w:pPr>
        <w:pStyle w:val="Normal"/>
        <w:numPr>
          <w:ilvl w:val="0"/>
          <w:numId w:val="4"/>
        </w:numPr>
        <w:suppressAutoHyphens w:val="false"/>
        <w:spacing w:lineRule="auto" w:line="276"/>
        <w:ind w:firstLine="426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Выключатели, рубильники и другие коммутационные электрические аппараты, применяемые на открытом воздухе или во влажных цехах, должны быть в защищенном исполнении.</w:t>
      </w:r>
    </w:p>
    <w:p>
      <w:pPr>
        <w:pStyle w:val="Normal"/>
        <w:numPr>
          <w:ilvl w:val="0"/>
          <w:numId w:val="4"/>
        </w:numPr>
        <w:suppressAutoHyphens w:val="false"/>
        <w:spacing w:lineRule="auto" w:line="276"/>
        <w:ind w:firstLine="426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Электропусковые устройства должны быть размещены так, чтобы исключалась возможность пуска машин, механизмов и оборудования посторонними лицами. Запрещается включение нескольких токоприемников одним пусковым устройством. Распределительные щиты и рубильники должны быть оборудованы запирающими устройствами. </w:t>
      </w:r>
    </w:p>
    <w:p>
      <w:pPr>
        <w:pStyle w:val="Normal"/>
        <w:numPr>
          <w:ilvl w:val="0"/>
          <w:numId w:val="4"/>
        </w:numPr>
        <w:suppressAutoHyphens w:val="false"/>
        <w:spacing w:lineRule="auto" w:line="276"/>
        <w:ind w:firstLine="426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Штепсельные розетки на номинальные токи до 20 А, расположенные вне помещений, а также аналогичные штепсельные розетки, расположенные внутри помещений, но предназначенные для питания переносного электрооборудования и ручного инструмента, применяемого вне помещений, должны быть защищены устройствами защитного отключения с током срабатывания не более 30 мА, либо каждая розетка должна быть запитана от индивидуального разделительного трансформатора с напряжением вторичной обмотки не более 50 В.</w:t>
      </w:r>
    </w:p>
    <w:p>
      <w:pPr>
        <w:pStyle w:val="Normal"/>
        <w:numPr>
          <w:ilvl w:val="0"/>
          <w:numId w:val="4"/>
        </w:numPr>
        <w:suppressAutoHyphens w:val="false"/>
        <w:spacing w:lineRule="auto" w:line="276"/>
        <w:ind w:firstLine="426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Электроинструмент, применяемый при производстве работ, должен соответствовать классу защиты от поражения электрическим током, напряжению и частоте тока в электрической сети, возможности его применения с точки зрения безопасности в соответствии с местом и характером работы, а также эксплуатироваться с работоспособным устройством защитного отключения и надежным креплением съемного инструмента.</w:t>
      </w:r>
    </w:p>
    <w:p>
      <w:pPr>
        <w:pStyle w:val="Normal"/>
        <w:numPr>
          <w:ilvl w:val="0"/>
          <w:numId w:val="4"/>
        </w:numPr>
        <w:suppressAutoHyphens w:val="false"/>
        <w:spacing w:lineRule="auto" w:line="276"/>
        <w:ind w:firstLine="142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Электроинструмент и приспособления (защитно-отключающие устройства, кабели-удлинители) не реже одного раза в 6 месяцев должны подвергаться периодической проверке. Результаты проверки электроинструмента заносятся в журнал проверки и испытаний электроинструмента и приспособлений. На корпусах электроинструмента должны указываться инвентарные номера и дата следующих испытаний.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142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производственных помещениях спуски незащищенных проводов к выключателям, розеткам, аппаратам, щиткам и т. п. должны быть защищены от механических воздействий до высоты не менее 1,5 м от уровня пола или площадки обслуживания. Если незащищенные изолированные провода пересекаются с незащищенными или защищенными изолированными проводами с расстоянием между проводами менее 10 мм, то в местах пересечения на каждый незащищенный провод должна быть наложена дополнительная изоляция. 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426" w:leader="none"/>
        </w:tabs>
        <w:suppressAutoHyphens w:val="false"/>
        <w:spacing w:before="240" w:after="0"/>
        <w:ind w:firstLine="142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пересечении незащищенных и защищенных проводов и кабелей с трубопроводами расстояния между ними в свету должны быть не менее 50 мм, а с трубопроводами, содержащими горючие или легковоспламеняющиеся жидкости и газы, - не менее 100 мм. При расстоянии от проводов и кабелей до трубопроводов менее 250 мм провода и кабели должны быть дополнительно защищены от механических повреждений на длине не менее 250 мм в каждую сторону от трубопровода.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142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пересечении с горячими трубопроводами провода и кабели должны быть защищены от воздействия высокой температуры или должны иметь соответствующее исполнение. При параллельной прокладке расстояние от проводов и кабелей до трубопроводов должно быть не менее 100 мм, а до трубопроводов с горючими или легковоспламеняющимися жидкостями и газами - не менее 400 мм.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142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</w:rPr>
        <w:t>При прокладке незащищенных проводов на изолирующих опорах провода должны быть дополнительно изолированы (например, изоляционной трубой) в местах проходов через стены или перекрытия. При проходе этих проводов из одного сухого или влажного помещения в другое сухое или влажное помещение все провода одной линии допускается прокладывать в одной изоляционной трубе.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426" w:leader="none"/>
        </w:tabs>
        <w:suppressAutoHyphens w:val="false"/>
        <w:spacing w:before="240" w:after="0"/>
        <w:ind w:firstLine="142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</w:rPr>
        <w:t>При проходе проводов из сухого или влажного помещения в сырое, из одного сырого помещения в другое сырое или при выходе проводов из помещения наружу каждый провод должен прокладываться в отдельной изоляционной трубе. При выходе из сухого или влажного помещения в сырое или наружу здания соединения проводов должны выполняться в сухом или влажном помещении.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142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  <w:shd w:fill="FFFFFF" w:val="clear"/>
        </w:rPr>
        <w:t>ри прокладке кабелей рядом с другими кабелями, находящимися в эксплуатации, должны быть приняты меры для предотвращения повреждения последних.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142" w:left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Кабели должны прокладываться на расстоянии от нагретых поверхностей, предотвращающем нагрев кабелей выше допустимого, при этом должна предусматриваться защита кабелей от прорыва горячих веществ в местах установки задвижек и фланцевых соединений.</w:t>
      </w:r>
    </w:p>
    <w:p>
      <w:pPr>
        <w:pStyle w:val="Normal"/>
        <w:tabs>
          <w:tab w:val="clear" w:pos="720"/>
          <w:tab w:val="left" w:pos="993" w:leader="none"/>
        </w:tabs>
        <w:spacing w:before="24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FFFFFF" w:val="clear"/>
        </w:rPr>
        <w:t>Оперативная</w:t>
      </w:r>
      <w:r>
        <w:rPr>
          <w:rFonts w:ascii="Times New Roman" w:hAnsi="Times New Roman"/>
          <w:sz w:val="28"/>
          <w:szCs w:val="28"/>
        </w:rPr>
        <w:t xml:space="preserve"> служба ведет «Журналы учета временных потребителей» установленной формы, которые находятся на рабочих местах НСС, НСМ, ДЭМ – 220, ДЭМ – 500, ДЭМ – КВП.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142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FFFFFF" w:val="clear"/>
        </w:rPr>
        <w:t>Подключение</w:t>
      </w:r>
      <w:r>
        <w:rPr>
          <w:rFonts w:ascii="Times New Roman" w:hAnsi="Times New Roman"/>
          <w:sz w:val="28"/>
          <w:szCs w:val="28"/>
        </w:rPr>
        <w:t xml:space="preserve"> временных потребителей производится по заявке лиц, ответственных за эксплуатацию временных потребителей оформленной в «Журнале учета временных потребителей»:</w:t>
      </w:r>
    </w:p>
    <w:p>
      <w:pPr>
        <w:pStyle w:val="Normal"/>
        <w:numPr>
          <w:ilvl w:val="0"/>
          <w:numId w:val="3"/>
        </w:numPr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ОРУ-500 кВ – на ППУ-500;</w:t>
      </w:r>
    </w:p>
    <w:p>
      <w:pPr>
        <w:pStyle w:val="Normal"/>
        <w:numPr>
          <w:ilvl w:val="0"/>
          <w:numId w:val="3"/>
        </w:numPr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ОРУ-220 кВ и низового пирса ГЭС – на ППУ-220;</w:t>
      </w:r>
    </w:p>
    <w:p>
      <w:pPr>
        <w:pStyle w:val="Normal"/>
        <w:numPr>
          <w:ilvl w:val="0"/>
          <w:numId w:val="3"/>
        </w:numPr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ЦПУ – на ЦПУ;</w:t>
      </w:r>
    </w:p>
    <w:p>
      <w:pPr>
        <w:pStyle w:val="Normal"/>
        <w:numPr>
          <w:ilvl w:val="0"/>
          <w:numId w:val="3"/>
        </w:numPr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компрессорной станции верхового пирса, а также ВЩО, СУС – на КВП;</w:t>
      </w:r>
    </w:p>
    <w:p>
      <w:pPr>
        <w:pStyle w:val="Normal"/>
        <w:numPr>
          <w:ilvl w:val="0"/>
          <w:numId w:val="3"/>
        </w:numPr>
        <w:suppressAutoHyphens w:val="false"/>
        <w:ind w:firstLine="426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машинного зала и удаленных потребителей (по ВБ, НБ, ВСП, отм. +17,20 м, рыбоходу, блоку монтажной площадки, пл. 40, 41, 42) – у НСМ.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142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FFFFFF" w:val="clear"/>
        </w:rPr>
        <w:t>Заявку</w:t>
      </w:r>
      <w:r>
        <w:rPr>
          <w:rFonts w:ascii="Times New Roman" w:hAnsi="Times New Roman"/>
          <w:sz w:val="28"/>
          <w:szCs w:val="28"/>
        </w:rPr>
        <w:t xml:space="preserve"> разрешает один из представителей Волжской ГЭС – руководитель группы ЭТО ПТС, начальник ПТС, заместитель главного инженера по технической части, главный инженер или лицо, исполняющее обязанности отсутствующего. Разрешение записывается в «Журнал учета временных потребителей». Допускается выдача такого разрешения оперативному персоналу по телефону, если подключение производится не в рабочий день.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FFFFFF" w:val="clear"/>
        </w:rPr>
        <w:t>Подключение</w:t>
      </w:r>
      <w:r>
        <w:rPr>
          <w:rFonts w:ascii="Times New Roman" w:hAnsi="Times New Roman"/>
          <w:sz w:val="28"/>
          <w:szCs w:val="28"/>
        </w:rPr>
        <w:t xml:space="preserve"> временных потребителей к ремонтным сборкам осуществляет оперативный персонал. При отсутствии на месте производства работ ремонтной сборки, место подключения определяет лицо, разрешающее заявку. В этом случае подключение временной ремонтной сборки производит персонал подрядной организации, имеющий соответствующие группы по электробезопасности и право работы в электроустановках. Ввод в работу временной ремонтной сборки осуществляет оперативный персонал при наличии разрешающих записей в журнале учета временных потребителей. Лицами ответственными за эксплуатацию временных потребителей являются административно технический персонал подразделений и организаций, производящих работы на оборудовании Волжской ГЭС, производители работ (наблюдающие) по наряду или распоряжению, члены бригады выполняющие работы, связанные с использованием временных потребителей электроэнергии.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Лица, ответственные за эксплуатацию временных потребителей, обязаны:</w:t>
      </w:r>
    </w:p>
    <w:p>
      <w:pPr>
        <w:pStyle w:val="Normal"/>
        <w:numPr>
          <w:ilvl w:val="1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360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началом работы с ручными электрическими машинами, переносными электроинструментами и светильниками:</w:t>
      </w:r>
    </w:p>
    <w:p>
      <w:pPr>
        <w:pStyle w:val="Normal"/>
        <w:shd w:val="clear" w:color="auto" w:fill="FFFFFF"/>
        <w:spacing w:lineRule="atLeast" w:line="300"/>
        <w:ind w:firstLine="426" w:right="-1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проверить дату следующих испытаний;</w:t>
      </w:r>
    </w:p>
    <w:p>
      <w:pPr>
        <w:pStyle w:val="Normal"/>
        <w:shd w:val="clear" w:color="auto" w:fill="FFFFFF"/>
        <w:spacing w:lineRule="atLeast" w:line="300"/>
        <w:ind w:firstLine="426" w:right="-1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определить по паспорту класс машины или инструмента;</w:t>
      </w:r>
    </w:p>
    <w:p>
      <w:pPr>
        <w:pStyle w:val="Normal"/>
        <w:shd w:val="clear" w:color="auto" w:fill="FFFFFF"/>
        <w:spacing w:lineRule="atLeast" w:line="300"/>
        <w:ind w:firstLine="426" w:right="-1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проверить комплектность и надежности крепления деталей;</w:t>
      </w:r>
    </w:p>
    <w:p>
      <w:pPr>
        <w:pStyle w:val="Normal"/>
        <w:shd w:val="clear" w:color="auto" w:fill="FFFFFF"/>
        <w:spacing w:lineRule="atLeast" w:line="300"/>
        <w:ind w:firstLine="426" w:right="-1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убедится внешним осмотром в исправности кабеля (шнура), его изоляционной трубки и штепсельной вилки, целостности изоляционных деталей корпуса, рукоятки и крышек щеткодержателей, защитных кожухов;</w:t>
      </w:r>
    </w:p>
    <w:p>
      <w:pPr>
        <w:pStyle w:val="Normal"/>
        <w:shd w:val="clear" w:color="auto" w:fill="FFFFFF"/>
        <w:spacing w:lineRule="atLeast" w:line="300"/>
        <w:ind w:firstLine="426" w:right="-1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проверить исправность редуктора путем проворачивания рукой шпинделя электроинструмента (при отключенном электродвигателе);</w:t>
      </w:r>
    </w:p>
    <w:p>
      <w:pPr>
        <w:pStyle w:val="Normal"/>
        <w:shd w:val="clear" w:color="auto" w:fill="FFFFFF"/>
        <w:spacing w:lineRule="atLeast" w:line="300"/>
        <w:ind w:firstLine="426" w:right="-1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проверить чёткость работы выключателя;</w:t>
      </w:r>
    </w:p>
    <w:p>
      <w:pPr>
        <w:pStyle w:val="Normal"/>
        <w:shd w:val="clear" w:color="auto" w:fill="FFFFFF"/>
        <w:spacing w:lineRule="atLeast" w:line="300"/>
        <w:ind w:firstLine="426" w:right="-1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выполнить (при необходимости) тестирование</w:t>
      </w:r>
      <w:r>
        <w:rPr>
          <w:rStyle w:val="Apple-converted-space"/>
          <w:rFonts w:ascii="Times New Roman" w:hAnsi="Times New Roman"/>
          <w:sz w:val="28"/>
          <w:szCs w:val="28"/>
        </w:rPr>
        <w:t> </w:t>
      </w:r>
      <w:r>
        <w:rPr>
          <w:rStyle w:val="Hyperlink"/>
          <w:rFonts w:ascii="Times New Roman" w:hAnsi="Times New Roman"/>
          <w:color w:val="auto"/>
          <w:sz w:val="28"/>
          <w:u w:val="none"/>
        </w:rPr>
        <w:t>устройства защитного отключения</w:t>
      </w:r>
      <w:r>
        <w:rPr>
          <w:rStyle w:val="Apple-converted-space"/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(УЗО);</w:t>
      </w:r>
    </w:p>
    <w:p>
      <w:pPr>
        <w:pStyle w:val="Normal"/>
        <w:shd w:val="clear" w:color="auto" w:fill="FFFFFF"/>
        <w:spacing w:lineRule="atLeast" w:line="300"/>
        <w:ind w:firstLine="426" w:right="-1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проверить работу электроинструмента или машины на холостом ходу.</w:t>
      </w:r>
    </w:p>
    <w:p>
      <w:pPr>
        <w:pStyle w:val="Normal"/>
        <w:numPr>
          <w:ilvl w:val="1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360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дальнейшем: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содержать и эксплуатировать временные потребители в соответствии с правилами безопасности, охраны труда и ПУЭ;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ежедневно по окончании работ снимать напряжение с кабеля (провода), питающего временного потребителя, посредством отключения вводного устройства на потребителе и коммутационного аппарата на ремонтной сборке; 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строго соблюдать порядок, установленный настоящим «Положением».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полном завершении работ, лица, ответственные за эксплуатацию временных потребителей, должны сообщить об этом оперативному персоналу, который отключает временного потребителя и делает соответствующую запись в журнале учета временных потребителей.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отключения, лица, ответственные за эксплуатацию временных потребителей, обязаны в течении суток убрать временную установку на место хранения. 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Персонал оперативной службы обязан:</w:t>
      </w:r>
    </w:p>
    <w:p>
      <w:pPr>
        <w:pStyle w:val="BodyTextIndent"/>
        <w:ind w:firstLine="426" w:left="360"/>
        <w:rPr>
          <w:sz w:val="28"/>
          <w:szCs w:val="28"/>
        </w:rPr>
      </w:pPr>
      <w:r>
        <w:rPr>
          <w:sz w:val="28"/>
          <w:szCs w:val="28"/>
        </w:rPr>
        <w:t>а) подключать установки временных потребителей только к специально оборудованным для этой цели ремонтным сборкам, в которых имеются автоматы и исправные клеммы для подключения кабеля, питающего подключаемую установку, а также наличие схемы подключения (если требуется).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при подключении временных потребителей не допускать подключения оборудования, не соответствующего заявленному в «Журнале учета временных потребителей;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во время выполнения графика осмотров оборудования, утвержденного главным инженером, обращать внимание на состояние временных потребителей;</w:t>
      </w:r>
    </w:p>
    <w:p>
      <w:pPr>
        <w:pStyle w:val="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при обнаружении нарушений настоящего «Положения», Правил по охране труда при эксплуатации электроустановок, а также Правил устройства электроустановок (ПУЭ) – прокладка питающих кабелей к ремонтным сборкам непосредственно по действующему оборудованию  (по металлоконструкциям, трубопроводам, защитным и перильным ограждениям и т.д.),  по полу без защиты от механических повреждений, перекрещивание питающих кабелей – </w:t>
      </w:r>
      <w:r>
        <w:rPr>
          <w:rFonts w:ascii="Times New Roman" w:hAnsi="Times New Roman"/>
          <w:sz w:val="28"/>
          <w:szCs w:val="28"/>
          <w:u w:val="single"/>
        </w:rPr>
        <w:t>отключать временные потребители и докладывать лицу, давшему разрешение на подключение.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Лица, дающие разрешение на подключение временных потребителей, обязаны просматривать «Журнал учета временных потребителей» и при осмотрах обращать особое внимание на состояние временных потребителей.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993" w:leader="none"/>
        </w:tabs>
        <w:suppressAutoHyphens w:val="false"/>
        <w:spacing w:before="240" w:after="0"/>
        <w:ind w:firstLine="42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Лица, не выполняющие требования настоящего «Положения», несут ответственность в соответствии с действующим законодательством, как нарушающие противопожарный режим ГЭС, Правила устройства электроустановок (ПУЭ), Правила по охране труда при эксплуатации электроустановок и правилам безопасности при работе с инструментом и приспособлениями.</w:t>
      </w:r>
    </w:p>
    <w:p>
      <w:pPr>
        <w:pStyle w:val="Normal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first" r:id="rId5"/>
      <w:type w:val="nextPage"/>
      <w:pgSz w:w="11906" w:h="16838"/>
      <w:pgMar w:left="1701" w:right="709" w:gutter="0" w:header="567" w:top="709" w:footer="709" w:bottom="568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HeliosLightC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nil"/>
      </w:pBdr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pBdr>
                              <w:bottom w:val="nil"/>
                            </w:pBdr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126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pBdr>
                        <w:bottom w:val="nil"/>
                      </w:pBdr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73977003"/>
    </w:sdtPr>
    <w:sdtContent>
      <w:p>
        <w:pPr>
          <w:pStyle w:val="Header"/>
          <w:pBdr>
            <w:bottom w:val="nil"/>
          </w:pBdr>
          <w:jc w:val="center"/>
          <w:rPr>
            <w:i w:val="false"/>
            <w:i w:val="false"/>
          </w:rPr>
        </w:pPr>
        <w:r>
          <w:rPr>
            <w:rFonts w:ascii="Times New Roman" w:hAnsi="Times New Roman"/>
            <w:i w:val="false"/>
          </w:rPr>
          <w:fldChar w:fldCharType="begin"/>
        </w:r>
        <w:r>
          <w:rPr>
            <w:i w:val="false"/>
            <w:rFonts w:ascii="Times New Roman" w:hAnsi="Times New Roman"/>
          </w:rPr>
          <w:instrText xml:space="preserve"> PAGE </w:instrText>
        </w:r>
        <w:r>
          <w:rPr>
            <w:i w:val="false"/>
            <w:rFonts w:ascii="Times New Roman" w:hAnsi="Times New Roman"/>
          </w:rPr>
          <w:fldChar w:fldCharType="separate"/>
        </w:r>
        <w:r>
          <w:rPr>
            <w:i w:val="false"/>
            <w:rFonts w:ascii="Times New Roman" w:hAnsi="Times New Roman"/>
          </w:rPr>
          <w:t>7</w:t>
        </w:r>
        <w:r>
          <w:rPr>
            <w:i w:val="false"/>
            <w:rFonts w:ascii="Times New Roman" w:hAnsi="Times New Roman"/>
          </w:rPr>
          <w:fldChar w:fldCharType="end"/>
        </w:r>
      </w:p>
    </w:sdtContent>
  </w:sdt>
  <w:p>
    <w:pPr>
      <w:pStyle w:val="Header"/>
      <w:pBdr>
        <w:bottom w:val="nil"/>
      </w:pBdr>
      <w:rPr>
        <w:i w:val="false"/>
        <w:i w:val="false"/>
      </w:rPr>
    </w:pPr>
    <w:r>
      <w:rPr>
        <w:i w:val="fals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nil"/>
      </w:pBdr>
      <w:ind w:left="2722"/>
      <w:rPr/>
    </w:pPr>
    <w:r>
      <w:rPr>
        <w:lang w:val="en-US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/>
    <w:lsdException w:name="toc 2" w:uiPriority="0" w:semiHidden="1" w:unhideWhenUsed="1"/>
    <w:lsdException w:name="toc 3" w:uiPriority="0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uiPriority="67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44bb6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e4643d"/>
    <w:pPr>
      <w:keepNext w:val="true"/>
      <w:pageBreakBefore/>
      <w:spacing w:before="0" w:after="240"/>
      <w:jc w:val="center"/>
      <w:outlineLvl w:val="0"/>
    </w:pPr>
    <w:rPr>
      <w:b/>
      <w:sz w:val="30"/>
    </w:rPr>
  </w:style>
  <w:style w:type="paragraph" w:styleId="Heading2">
    <w:name w:val="Heading 2"/>
    <w:basedOn w:val="Normal"/>
    <w:next w:val="Normal"/>
    <w:link w:val="2"/>
    <w:qFormat/>
    <w:rsid w:val="00e4643d"/>
    <w:pPr>
      <w:keepNext w:val="true"/>
      <w:spacing w:before="360" w:after="0"/>
      <w:outlineLvl w:val="1"/>
    </w:pPr>
    <w:rPr>
      <w:b/>
      <w:caps/>
      <w:sz w:val="22"/>
    </w:rPr>
  </w:style>
  <w:style w:type="paragraph" w:styleId="Heading3">
    <w:name w:val="Heading 3"/>
    <w:basedOn w:val="Normal"/>
    <w:next w:val="Normal"/>
    <w:link w:val="3"/>
    <w:qFormat/>
    <w:rsid w:val="00e4643d"/>
    <w:pPr>
      <w:keepNext w:val="true"/>
      <w:spacing w:before="240" w:after="0"/>
      <w:outlineLvl w:val="2"/>
    </w:pPr>
    <w:rPr>
      <w:b/>
      <w:sz w:val="22"/>
    </w:rPr>
  </w:style>
  <w:style w:type="paragraph" w:styleId="Heading4">
    <w:name w:val="Heading 4"/>
    <w:basedOn w:val="Normal"/>
    <w:next w:val="Normal"/>
    <w:link w:val="4"/>
    <w:qFormat/>
    <w:rsid w:val="00e4643d"/>
    <w:pPr>
      <w:keepNext w:val="true"/>
      <w:spacing w:before="180" w:after="0"/>
      <w:outlineLvl w:val="3"/>
    </w:pPr>
    <w:rPr>
      <w:b/>
      <w:i/>
    </w:rPr>
  </w:style>
  <w:style w:type="paragraph" w:styleId="Heading5">
    <w:name w:val="Heading 5"/>
    <w:basedOn w:val="Normal"/>
    <w:next w:val="Normal"/>
    <w:link w:val="5"/>
    <w:qFormat/>
    <w:rsid w:val="00e4643d"/>
    <w:pPr>
      <w:keepNext w:val="true"/>
      <w:keepLines/>
      <w:spacing w:before="0" w:after="60"/>
      <w:outlineLvl w:val="4"/>
    </w:pPr>
    <w:rPr>
      <w:bCs/>
      <w:i/>
      <w:iCs/>
      <w:szCs w:val="26"/>
    </w:rPr>
  </w:style>
  <w:style w:type="paragraph" w:styleId="Heading6">
    <w:name w:val="Heading 6"/>
    <w:basedOn w:val="Normal"/>
    <w:next w:val="Normal"/>
    <w:link w:val="6"/>
    <w:qFormat/>
    <w:rsid w:val="00e4643d"/>
    <w:pPr>
      <w:keepNext w:val="true"/>
      <w:keepLines/>
      <w:spacing w:before="360" w:after="240"/>
      <w:jc w:val="center"/>
      <w:outlineLvl w:val="5"/>
    </w:pPr>
    <w:rPr>
      <w:b/>
      <w:sz w:val="30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3" w:customStyle="1">
    <w:name w:val="Верхний колонтитул Знак"/>
    <w:uiPriority w:val="99"/>
    <w:qFormat/>
    <w:rsid w:val="00c33351"/>
    <w:rPr>
      <w:rFonts w:ascii="HeliosLightC" w:hAnsi="HeliosLightC"/>
      <w:i/>
      <w:lang w:val="ru-RU" w:eastAsia="ru-RU"/>
    </w:rPr>
  </w:style>
  <w:style w:type="character" w:styleId="Hyperlink">
    <w:name w:val="Hyperlink"/>
    <w:uiPriority w:val="99"/>
    <w:unhideWhenUsed/>
    <w:rsid w:val="009441dc"/>
    <w:rPr>
      <w:color w:val="0000FF"/>
      <w:u w:val="single"/>
    </w:rPr>
  </w:style>
  <w:style w:type="character" w:styleId="FootnoteReference" w:customStyle="1">
    <w:name w:val="Footnote Reference"/>
    <w:rPr>
      <w:rFonts w:ascii="Times New Roman" w:hAnsi="Times New Roman"/>
      <w:strike w:val="false"/>
      <w:dstrike w:val="false"/>
      <w:sz w:val="20"/>
      <w:vertAlign w:val="superscript"/>
    </w:rPr>
  </w:style>
  <w:style w:type="character" w:styleId="FootnoteCharacters" w:customStyle="1">
    <w:name w:val="Footnote Characters"/>
    <w:semiHidden/>
    <w:qFormat/>
    <w:rsid w:val="00e4643d"/>
    <w:rPr>
      <w:rFonts w:ascii="Times New Roman" w:hAnsi="Times New Roman"/>
      <w:strike w:val="false"/>
      <w:dstrike w:val="false"/>
      <w:sz w:val="20"/>
      <w:vertAlign w:val="superscript"/>
    </w:rPr>
  </w:style>
  <w:style w:type="character" w:styleId="Style4" w:customStyle="1">
    <w:name w:val="Нижний колонтитул Знак"/>
    <w:qFormat/>
    <w:rsid w:val="00c33351"/>
    <w:rPr>
      <w:rFonts w:ascii="HeliosLightC" w:hAnsi="HeliosLightC"/>
      <w:sz w:val="18"/>
      <w:lang w:val="ru-RU" w:eastAsia="ru-RU"/>
    </w:rPr>
  </w:style>
  <w:style w:type="character" w:styleId="Pagenumber">
    <w:name w:val="page number"/>
    <w:basedOn w:val="DefaultParagraphFont"/>
    <w:qFormat/>
    <w:rsid w:val="00e4643d"/>
    <w:rPr/>
  </w:style>
  <w:style w:type="character" w:styleId="1" w:customStyle="1">
    <w:name w:val="Заголовок 1 Знак"/>
    <w:qFormat/>
    <w:rsid w:val="00016148"/>
    <w:rPr>
      <w:rFonts w:ascii="HeliosLightC" w:hAnsi="HeliosLightC"/>
      <w:b/>
      <w:sz w:val="30"/>
      <w:lang w:val="ru-RU" w:eastAsia="ru-RU"/>
    </w:rPr>
  </w:style>
  <w:style w:type="character" w:styleId="2" w:customStyle="1">
    <w:name w:val="Заголовок 2 Знак"/>
    <w:qFormat/>
    <w:rsid w:val="00016148"/>
    <w:rPr>
      <w:rFonts w:ascii="HeliosLightC" w:hAnsi="HeliosLightC"/>
      <w:b/>
      <w:caps/>
      <w:sz w:val="22"/>
      <w:lang w:val="ru-RU" w:eastAsia="ru-RU"/>
    </w:rPr>
  </w:style>
  <w:style w:type="character" w:styleId="3" w:customStyle="1">
    <w:name w:val="Заголовок 3 Знак"/>
    <w:qFormat/>
    <w:rsid w:val="00016148"/>
    <w:rPr>
      <w:rFonts w:ascii="HeliosLightC" w:hAnsi="HeliosLightC"/>
      <w:b/>
      <w:sz w:val="22"/>
      <w:lang w:val="ru-RU" w:eastAsia="ru-RU"/>
    </w:rPr>
  </w:style>
  <w:style w:type="character" w:styleId="4" w:customStyle="1">
    <w:name w:val="Заголовок 4 Знак"/>
    <w:qFormat/>
    <w:rsid w:val="00016148"/>
    <w:rPr>
      <w:rFonts w:ascii="HeliosLightC" w:hAnsi="HeliosLightC"/>
      <w:b/>
      <w:i/>
      <w:lang w:val="ru-RU" w:eastAsia="ru-RU"/>
    </w:rPr>
  </w:style>
  <w:style w:type="character" w:styleId="5" w:customStyle="1">
    <w:name w:val="Заголовок 5 Знак"/>
    <w:qFormat/>
    <w:rsid w:val="00016148"/>
    <w:rPr>
      <w:rFonts w:ascii="HeliosLightC" w:hAnsi="HeliosLightC"/>
      <w:bCs/>
      <w:i/>
      <w:iCs/>
      <w:szCs w:val="26"/>
      <w:lang w:val="ru-RU" w:eastAsia="ru-RU"/>
    </w:rPr>
  </w:style>
  <w:style w:type="character" w:styleId="6" w:customStyle="1">
    <w:name w:val="Заголовок 6 Знак"/>
    <w:qFormat/>
    <w:rsid w:val="00016148"/>
    <w:rPr>
      <w:rFonts w:ascii="HeliosLightC" w:hAnsi="HeliosLightC"/>
      <w:b/>
      <w:sz w:val="30"/>
      <w:szCs w:val="28"/>
      <w:lang w:val="ru-RU" w:eastAsia="ru-RU"/>
    </w:rPr>
  </w:style>
  <w:style w:type="character" w:styleId="FollowedHyperlink" w:customStyle="1">
    <w:name w:val="FollowedHyperlink"/>
    <w:rsid w:val="00e4643d"/>
    <w:rPr>
      <w:rFonts w:ascii="Times New Roman" w:hAnsi="Times New Roman"/>
      <w:color w:val="800080"/>
      <w:sz w:val="20"/>
      <w:u w:val="single"/>
    </w:rPr>
  </w:style>
  <w:style w:type="character" w:styleId="Style5" w:customStyle="1">
    <w:name w:val="Текст выноски Знак"/>
    <w:link w:val="BalloonText"/>
    <w:semiHidden/>
    <w:qFormat/>
    <w:rsid w:val="00c33351"/>
    <w:rPr>
      <w:rFonts w:ascii="Tahoma" w:hAnsi="Tahoma" w:cs="Tahoma"/>
      <w:sz w:val="16"/>
      <w:szCs w:val="16"/>
      <w:lang w:val="ru-RU" w:eastAsia="ru-RU"/>
    </w:rPr>
  </w:style>
  <w:style w:type="character" w:styleId="Style6" w:customStyle="1">
    <w:name w:val="Текст сноски Знак"/>
    <w:semiHidden/>
    <w:qFormat/>
    <w:rsid w:val="00c33351"/>
    <w:rPr>
      <w:rFonts w:ascii="HeliosLightC" w:hAnsi="HeliosLightC"/>
      <w:lang w:val="ru-RU" w:eastAsia="ru-RU"/>
    </w:rPr>
  </w:style>
  <w:style w:type="character" w:styleId="Style7" w:customStyle="1">
    <w:name w:val="Основной текст с отступом Знак"/>
    <w:basedOn w:val="DefaultParagraphFont"/>
    <w:uiPriority w:val="99"/>
    <w:qFormat/>
    <w:rsid w:val="00c34c81"/>
    <w:rPr>
      <w:sz w:val="24"/>
      <w:szCs w:val="24"/>
      <w:lang w:val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869a1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uiPriority w:val="99"/>
    <w:qFormat/>
    <w:rsid w:val="003869a1"/>
    <w:rPr>
      <w:rFonts w:ascii="Geneva CY" w:hAnsi="Geneva CY" w:eastAsia="Geneva"/>
      <w:lang w:val="ru-RU" w:eastAsia="en-US"/>
    </w:rPr>
  </w:style>
  <w:style w:type="character" w:styleId="Style9" w:customStyle="1">
    <w:name w:val="Тема примечания Знак"/>
    <w:basedOn w:val="Style8"/>
    <w:link w:val="Annotationsubject"/>
    <w:uiPriority w:val="99"/>
    <w:semiHidden/>
    <w:qFormat/>
    <w:rsid w:val="003869a1"/>
    <w:rPr>
      <w:rFonts w:ascii="Geneva CY" w:hAnsi="Geneva CY" w:eastAsia="Geneva"/>
      <w:b/>
      <w:bCs/>
      <w:lang w:val="ru-RU" w:eastAsia="en-US"/>
    </w:rPr>
  </w:style>
  <w:style w:type="character" w:styleId="Style10" w:customStyle="1">
    <w:name w:val="Текст концевой сноски Знак"/>
    <w:basedOn w:val="DefaultParagraphFont"/>
    <w:uiPriority w:val="99"/>
    <w:semiHidden/>
    <w:qFormat/>
    <w:rsid w:val="000f23ca"/>
    <w:rPr>
      <w:rFonts w:ascii="Geneva CY" w:hAnsi="Geneva CY" w:eastAsia="Geneva"/>
      <w:lang w:val="ru-RU" w:eastAsia="en-US"/>
    </w:rPr>
  </w:style>
  <w:style w:type="character" w:styleId="EndnoteReference" w:customStyle="1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uiPriority w:val="99"/>
    <w:semiHidden/>
    <w:unhideWhenUsed/>
    <w:qFormat/>
    <w:rsid w:val="000f23ca"/>
    <w:rPr>
      <w:vertAlign w:val="superscript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ca5d40"/>
    <w:rPr>
      <w:rFonts w:ascii="Courier New" w:hAnsi="Courier New" w:cs="Courier New"/>
      <w:lang w:val="ru-RU"/>
    </w:rPr>
  </w:style>
  <w:style w:type="character" w:styleId="Style11" w:customStyle="1">
    <w:name w:val="Абзац списка Знак"/>
    <w:link w:val="ListParagraph"/>
    <w:uiPriority w:val="34"/>
    <w:qFormat/>
    <w:locked/>
    <w:rsid w:val="00fb03bb"/>
    <w:rPr>
      <w:rFonts w:ascii="Geneva CY" w:hAnsi="Geneva CY" w:eastAsia="Geneva"/>
      <w:sz w:val="24"/>
      <w:lang w:val="ru-RU" w:eastAsia="en-US"/>
    </w:rPr>
  </w:style>
  <w:style w:type="character" w:styleId="Apple-converted-space" w:customStyle="1">
    <w:name w:val="apple-converted-space"/>
    <w:qFormat/>
    <w:rsid w:val="009441dc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next w:val="Normal"/>
    <w:qFormat/>
    <w:rsid w:val="00e4643d"/>
    <w:pPr>
      <w:keepNext w:val="true"/>
      <w:spacing w:before="0" w:after="40"/>
    </w:pPr>
    <w:rPr>
      <w:b/>
      <w:b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Disclaimer" w:customStyle="1">
    <w:name w:val="Disclaimer"/>
    <w:basedOn w:val="Normal"/>
    <w:qFormat/>
    <w:rsid w:val="00e4643d"/>
    <w:pPr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</w:pPr>
    <w:rPr>
      <w:b/>
      <w:sz w:val="18"/>
    </w:rPr>
  </w:style>
  <w:style w:type="paragraph" w:styleId="Subject" w:customStyle="1">
    <w:name w:val="Subject"/>
    <w:basedOn w:val="Normal"/>
    <w:next w:val="Normal"/>
    <w:qFormat/>
    <w:rsid w:val="00e4643d"/>
    <w:pPr>
      <w:jc w:val="center"/>
    </w:pPr>
    <w:rPr>
      <w:b/>
      <w:bCs/>
      <w:u w:val="single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uiPriority w:val="99"/>
    <w:rsid w:val="00e4643d"/>
    <w:pPr>
      <w:pBdr>
        <w:bottom w:val="single" w:sz="4" w:space="1" w:color="000000"/>
      </w:pBdr>
      <w:jc w:val="right"/>
    </w:pPr>
    <w:rPr>
      <w:i/>
    </w:rPr>
  </w:style>
  <w:style w:type="paragraph" w:styleId="Style15" w:customStyle="1">
    <w:name w:val="Источник"/>
    <w:basedOn w:val="Normal"/>
    <w:next w:val="Normal"/>
    <w:qFormat/>
    <w:rsid w:val="00e4643d"/>
    <w:pPr>
      <w:keepLines/>
      <w:spacing w:before="60" w:after="60"/>
    </w:pPr>
    <w:rPr>
      <w:i/>
      <w:iCs/>
      <w:sz w:val="16"/>
      <w:szCs w:val="24"/>
    </w:rPr>
  </w:style>
  <w:style w:type="paragraph" w:styleId="ListBullet">
    <w:name w:val="List Bullet"/>
    <w:basedOn w:val="Normal"/>
    <w:qFormat/>
    <w:rsid w:val="00e4643d"/>
    <w:pPr>
      <w:numPr>
        <w:ilvl w:val="0"/>
        <w:numId w:val="1"/>
      </w:numPr>
    </w:pPr>
    <w:rPr/>
  </w:style>
  <w:style w:type="paragraph" w:styleId="Footer">
    <w:name w:val="Footer"/>
    <w:basedOn w:val="Normal"/>
    <w:link w:val="Style4"/>
    <w:rsid w:val="00e4643d"/>
    <w:pPr>
      <w:keepLines/>
      <w:pBdr>
        <w:top w:val="single" w:sz="4" w:space="1" w:color="000000"/>
      </w:pBdr>
      <w:tabs>
        <w:tab w:val="clear" w:pos="720"/>
        <w:tab w:val="right" w:pos="9452" w:leader="none"/>
      </w:tabs>
    </w:pPr>
    <w:rPr>
      <w:sz w:val="18"/>
    </w:rPr>
  </w:style>
  <w:style w:type="paragraph" w:styleId="ListNumber">
    <w:name w:val="List Number"/>
    <w:basedOn w:val="Normal"/>
    <w:qFormat/>
    <w:rsid w:val="00e4643d"/>
    <w:pPr>
      <w:numPr>
        <w:ilvl w:val="0"/>
        <w:numId w:val="2"/>
      </w:numPr>
    </w:pPr>
    <w:rPr/>
  </w:style>
  <w:style w:type="paragraph" w:styleId="TOC1">
    <w:name w:val="TOC 1"/>
    <w:basedOn w:val="Normal"/>
    <w:next w:val="Normal"/>
    <w:semiHidden/>
    <w:rsid w:val="00e4643d"/>
    <w:pPr>
      <w:tabs>
        <w:tab w:val="clear" w:pos="720"/>
        <w:tab w:val="right" w:pos="9412" w:leader="dot"/>
      </w:tabs>
    </w:pPr>
    <w:rPr>
      <w:bCs/>
      <w:caps/>
      <w:sz w:val="22"/>
      <w:szCs w:val="22"/>
    </w:rPr>
  </w:style>
  <w:style w:type="paragraph" w:styleId="TOC2">
    <w:name w:val="TOC 2"/>
    <w:basedOn w:val="Normal"/>
    <w:next w:val="Normal"/>
    <w:autoRedefine/>
    <w:semiHidden/>
    <w:rsid w:val="00e4643d"/>
    <w:pPr>
      <w:tabs>
        <w:tab w:val="clear" w:pos="720"/>
        <w:tab w:val="right" w:pos="9356" w:leader="dot"/>
      </w:tabs>
      <w:spacing w:before="60" w:after="60"/>
      <w:ind w:left="284" w:right="58"/>
    </w:pPr>
    <w:rPr>
      <w:sz w:val="22"/>
      <w:szCs w:val="26"/>
      <w:lang w:val="en-US"/>
    </w:rPr>
  </w:style>
  <w:style w:type="paragraph" w:styleId="TOC3">
    <w:name w:val="TOC 3"/>
    <w:basedOn w:val="Normal"/>
    <w:next w:val="Normal"/>
    <w:autoRedefine/>
    <w:semiHidden/>
    <w:rsid w:val="00e4643d"/>
    <w:pPr>
      <w:tabs>
        <w:tab w:val="clear" w:pos="720"/>
        <w:tab w:val="right" w:pos="9356" w:leader="dot"/>
        <w:tab w:val="right" w:pos="9404" w:leader="dot"/>
      </w:tabs>
      <w:spacing w:before="0" w:after="40"/>
      <w:ind w:left="482" w:right="58"/>
    </w:pPr>
    <w:rPr>
      <w:bCs/>
      <w:szCs w:val="22"/>
    </w:rPr>
  </w:style>
  <w:style w:type="paragraph" w:styleId="TOC4">
    <w:name w:val="TOC 4"/>
    <w:basedOn w:val="Normal"/>
    <w:next w:val="Normal"/>
    <w:semiHidden/>
    <w:rsid w:val="00e4643d"/>
    <w:pPr>
      <w:ind w:left="720"/>
    </w:pPr>
    <w:rPr>
      <w:i/>
      <w:szCs w:val="24"/>
    </w:rPr>
  </w:style>
  <w:style w:type="paragraph" w:styleId="TOC5">
    <w:name w:val="TOC 5"/>
    <w:basedOn w:val="Normal"/>
    <w:next w:val="Normal"/>
    <w:autoRedefine/>
    <w:semiHidden/>
    <w:rsid w:val="00e4643d"/>
    <w:pPr>
      <w:ind w:left="800"/>
    </w:pPr>
    <w:rPr/>
  </w:style>
  <w:style w:type="paragraph" w:styleId="TOC6">
    <w:name w:val="TOC 6"/>
    <w:basedOn w:val="Normal"/>
    <w:next w:val="Normal"/>
    <w:autoRedefine/>
    <w:semiHidden/>
    <w:rsid w:val="00e4643d"/>
    <w:pPr>
      <w:ind w:left="1000"/>
    </w:pPr>
    <w:rPr/>
  </w:style>
  <w:style w:type="paragraph" w:styleId="TOC7">
    <w:name w:val="TOC 7"/>
    <w:basedOn w:val="Normal"/>
    <w:next w:val="Normal"/>
    <w:autoRedefine/>
    <w:semiHidden/>
    <w:rsid w:val="00e4643d"/>
    <w:pPr>
      <w:ind w:left="1200"/>
    </w:pPr>
    <w:rPr/>
  </w:style>
  <w:style w:type="paragraph" w:styleId="TOC8">
    <w:name w:val="TOC 8"/>
    <w:basedOn w:val="Normal"/>
    <w:next w:val="Normal"/>
    <w:autoRedefine/>
    <w:semiHidden/>
    <w:rsid w:val="00e4643d"/>
    <w:pPr>
      <w:ind w:left="1400"/>
    </w:pPr>
    <w:rPr/>
  </w:style>
  <w:style w:type="paragraph" w:styleId="TOC9">
    <w:name w:val="TOC 9"/>
    <w:basedOn w:val="Normal"/>
    <w:next w:val="Normal"/>
    <w:autoRedefine/>
    <w:semiHidden/>
    <w:rsid w:val="00e4643d"/>
    <w:pPr>
      <w:ind w:left="1600"/>
    </w:pPr>
    <w:rPr/>
  </w:style>
  <w:style w:type="paragraph" w:styleId="Style16" w:customStyle="1">
    <w:name w:val="Примечание"/>
    <w:basedOn w:val="Normal"/>
    <w:next w:val="Normal"/>
    <w:qFormat/>
    <w:rsid w:val="00e4643d"/>
    <w:pPr>
      <w:keepLines/>
      <w:tabs>
        <w:tab w:val="clear" w:pos="720"/>
        <w:tab w:val="left" w:pos="992" w:leader="none"/>
      </w:tabs>
      <w:spacing w:before="40" w:after="0"/>
    </w:pPr>
    <w:rPr>
      <w:iCs/>
      <w:sz w:val="16"/>
      <w:szCs w:val="24"/>
    </w:rPr>
  </w:style>
  <w:style w:type="paragraph" w:styleId="BalloonText">
    <w:name w:val="Balloon Text"/>
    <w:basedOn w:val="Normal"/>
    <w:link w:val="Style5"/>
    <w:semiHidden/>
    <w:qFormat/>
    <w:rsid w:val="00e4643d"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Style6"/>
    <w:semiHidden/>
    <w:rsid w:val="00e4643d"/>
    <w:pPr/>
    <w:rPr/>
  </w:style>
  <w:style w:type="paragraph" w:styleId="Style17" w:customStyle="1">
    <w:name w:val="Текст таблицы (лев.)"/>
    <w:basedOn w:val="Normal"/>
    <w:qFormat/>
    <w:rsid w:val="00e4643d"/>
    <w:pPr>
      <w:keepNext w:val="true"/>
      <w:spacing w:before="20" w:after="0"/>
    </w:pPr>
    <w:rPr>
      <w:sz w:val="18"/>
    </w:rPr>
  </w:style>
  <w:style w:type="paragraph" w:styleId="Style18" w:customStyle="1">
    <w:name w:val="Текст таблицы (прав.)"/>
    <w:basedOn w:val="Style17"/>
    <w:qFormat/>
    <w:rsid w:val="00e4643d"/>
    <w:pPr>
      <w:jc w:val="right"/>
    </w:pPr>
    <w:rPr/>
  </w:style>
  <w:style w:type="paragraph" w:styleId="Style19" w:customStyle="1">
    <w:name w:val="Шапка таблицы (лев.)"/>
    <w:basedOn w:val="Normal"/>
    <w:next w:val="Normal"/>
    <w:qFormat/>
    <w:rsid w:val="00e4643d"/>
    <w:pPr>
      <w:keepNext w:val="true"/>
      <w:spacing w:before="60" w:after="0"/>
    </w:pPr>
    <w:rPr>
      <w:b/>
    </w:rPr>
  </w:style>
  <w:style w:type="paragraph" w:styleId="Style20" w:customStyle="1">
    <w:name w:val="Шапка таблицы (прав.)"/>
    <w:basedOn w:val="Style19"/>
    <w:next w:val="Normal"/>
    <w:qFormat/>
    <w:rsid w:val="00e4643d"/>
    <w:pPr>
      <w:jc w:val="right"/>
    </w:pPr>
    <w:rPr/>
  </w:style>
  <w:style w:type="paragraph" w:styleId="BodyTextIndent">
    <w:name w:val="Body Text Indent"/>
    <w:basedOn w:val="Normal"/>
    <w:link w:val="Style7"/>
    <w:uiPriority w:val="99"/>
    <w:rsid w:val="00c34c81"/>
    <w:pPr>
      <w:ind w:left="360"/>
    </w:pPr>
    <w:rPr>
      <w:rFonts w:ascii="Times New Roman" w:hAnsi="Times New Roman" w:eastAsia="Times New Roman"/>
      <w:szCs w:val="24"/>
      <w:lang w:eastAsia="ru-RU"/>
    </w:rPr>
  </w:style>
  <w:style w:type="paragraph" w:styleId="ListParagraph">
    <w:name w:val="List Paragraph"/>
    <w:basedOn w:val="Normal"/>
    <w:link w:val="Style11"/>
    <w:uiPriority w:val="34"/>
    <w:qFormat/>
    <w:rsid w:val="008634e2"/>
    <w:pPr>
      <w:spacing w:before="0" w:after="0"/>
      <w:ind w:left="720"/>
      <w:contextualSpacing/>
    </w:pPr>
    <w:rPr/>
  </w:style>
  <w:style w:type="paragraph" w:styleId="Annotationtext">
    <w:name w:val="annotation text"/>
    <w:basedOn w:val="Normal"/>
    <w:link w:val="Style8"/>
    <w:uiPriority w:val="99"/>
    <w:unhideWhenUsed/>
    <w:qFormat/>
    <w:rsid w:val="003869a1"/>
    <w:pPr/>
    <w:rPr>
      <w:sz w:val="20"/>
    </w:rPr>
  </w:style>
  <w:style w:type="paragraph" w:styleId="Annotationsubject">
    <w:name w:val="annotation subject"/>
    <w:basedOn w:val="Annotationtext"/>
    <w:next w:val="Annotationtext"/>
    <w:link w:val="Style9"/>
    <w:uiPriority w:val="99"/>
    <w:semiHidden/>
    <w:unhideWhenUsed/>
    <w:qFormat/>
    <w:rsid w:val="003869a1"/>
    <w:pPr/>
    <w:rPr>
      <w:b/>
      <w:bCs/>
    </w:rPr>
  </w:style>
  <w:style w:type="paragraph" w:styleId="Revision">
    <w:name w:val="Revision"/>
    <w:uiPriority w:val="71"/>
    <w:qFormat/>
    <w:rsid w:val="003869a1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EndnoteText">
    <w:name w:val="Endnote Text"/>
    <w:basedOn w:val="Normal"/>
    <w:link w:val="Style10"/>
    <w:uiPriority w:val="99"/>
    <w:semiHidden/>
    <w:unhideWhenUsed/>
    <w:rsid w:val="000f23ca"/>
    <w:pPr/>
    <w:rPr>
      <w:sz w:val="20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ca5d40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lang w:eastAsia="ru-RU"/>
    </w:rPr>
  </w:style>
  <w:style w:type="paragraph" w:styleId="Style21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Table Grid"/>
    <w:basedOn w:val="a3"/>
    <w:uiPriority w:val="59"/>
    <w:rsid w:val="005901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5EB67-0543-4B96-B73C-684B2AA9F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Application>AlterOffice/2026.2.0.0$Linux_X86_64 LibreOffice_project/bc4ef1adf80b36c7a6365f8ed6cbf29021361edd</Application>
  <AppVersion>15.0000</AppVersion>
  <Pages>7</Pages>
  <Words>2079</Words>
  <Characters>13852</Characters>
  <CharactersWithSpaces>15747</CharactersWithSpaces>
  <Paragraphs>173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2023-07-04T06:23:00Z</dcterms:created>
  <dc:creator>AZ</dc:creator>
  <dc:description/>
  <dc:language>ru-RU</dc:language>
  <cp:lastModifiedBy>kostinsa@corp.gidroogk.com</cp:lastModifiedBy>
  <cp:lastPrinted>2021-12-29T12:42:00Z</cp:lastPrinted>
  <dcterms:modified xsi:type="dcterms:W3CDTF">2026-10-21T08:38:34Z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