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media/image1.png" ContentType="image/png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6195" w:type="dxa"/>
        <w:jc w:val="left"/>
        <w:tblInd w:w="-74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firstRow="0" w:lastRow="0" w:firstColumn="0" w:lastColumn="0"/>
      </w:tblPr>
      <w:tblGrid>
        <w:gridCol w:w="4502"/>
        <w:gridCol w:w="442"/>
        <w:gridCol w:w="439"/>
        <w:gridCol w:w="5407"/>
        <w:gridCol w:w="5405"/>
      </w:tblGrid>
      <w:tr>
        <w:trPr/>
        <w:tc>
          <w:tcPr>
            <w:tcW w:w="4502" w:type="dxa"/>
            <w:tcBorders/>
            <w:shd w:color="auto" w:fill="auto" w:val="clear"/>
          </w:tcPr>
          <w:p>
            <w:pPr>
              <w:pStyle w:val="Normal"/>
              <w:pageBreakBefore/>
              <w:widowControl w:val="false"/>
              <w:rPr>
                <w:rFonts w:ascii="Verdana" w:hAnsi="Verdana"/>
                <w:sz w:val="14"/>
                <w:szCs w:val="14"/>
              </w:rPr>
            </w:pPr>
            <w:r>
              <w:rPr/>
              <w:drawing>
                <wp:inline distT="0" distB="0" distL="0" distR="0">
                  <wp:extent cx="3066415" cy="2615565"/>
                  <wp:effectExtent l="0" t="0" r="0" b="0"/>
                  <wp:docPr id="1" name="Рисунок 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6415" cy="2615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 w:val="false"/>
              <w:ind w:firstLine="426"/>
              <w:rPr>
                <w:rFonts w:ascii="Verdana" w:hAnsi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</w:rPr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42" w:type="dxa"/>
            <w:tcBorders/>
          </w:tcPr>
          <w:p>
            <w:pPr>
              <w:pStyle w:val="Normal"/>
              <w:widowControl w:val="false"/>
              <w:snapToGrid w:val="false"/>
              <w:rPr/>
            </w:pPr>
            <w:r>
              <w:rPr/>
            </w:r>
          </w:p>
        </w:tc>
        <w:tc>
          <w:tcPr>
            <w:tcW w:w="439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rPr/>
            </w:pPr>
            <w:r>
              <w:rPr/>
            </w:r>
          </w:p>
        </w:tc>
        <w:tc>
          <w:tcPr>
            <w:tcW w:w="5407" w:type="dxa"/>
            <w:tcBorders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/>
            </w:r>
          </w:p>
          <w:p>
            <w:pPr>
              <w:pStyle w:val="Normal"/>
              <w:widowControl w:val="false"/>
              <w:ind w:left="1416" w:firstLine="708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ListParagraph"/>
              <w:widowControl w:val="false"/>
              <w:ind w:left="0" w:hanging="0"/>
              <w:jc w:val="right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en-US"/>
              </w:rPr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5405" w:type="dxa"/>
            <w:tcBorders/>
            <w:shd w:color="auto" w:fill="auto" w:val="clear"/>
          </w:tcPr>
          <w:p>
            <w:pPr>
              <w:pStyle w:val="Normal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ind w:left="1416" w:firstLine="708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Руководителю </w:t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ООО "БароСервис"</w:t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Красноярск,</w:t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Мте Залка,</w:t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дом 2, оф. 88</w:t>
            </w:r>
          </w:p>
          <w:p>
            <w:pPr>
              <w:pStyle w:val="ListParagraph"/>
              <w:widowControl w:val="false"/>
              <w:ind w:left="0" w:hanging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</w:tbl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Запрос технико-коммерческих предложений в рамках</w:t>
      </w:r>
    </w:p>
    <w:p>
      <w:pPr>
        <w:pStyle w:val="Normal"/>
        <w:jc w:val="center"/>
        <w:rPr>
          <w:rFonts w:ascii="Times New Roman" w:hAnsi="Times New Roman" w:eastAsia="Calibri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нерегламентированной закупки по лоту № </w:t>
      </w:r>
      <w:r>
        <w:rPr>
          <w:rFonts w:eastAsia="Calibri" w:ascii="Times New Roman" w:hAnsi="Times New Roman"/>
          <w:b/>
          <w:bCs/>
          <w:sz w:val="28"/>
          <w:szCs w:val="28"/>
        </w:rPr>
        <w:t>410</w:t>
      </w:r>
      <w:r>
        <w:rPr>
          <w:rFonts w:eastAsia="Calibri" w:ascii="Times New Roman" w:hAnsi="Times New Roman"/>
          <w:b/>
          <w:bCs/>
          <w:sz w:val="28"/>
          <w:szCs w:val="28"/>
        </w:rPr>
        <w:t>7</w:t>
      </w:r>
      <w:r>
        <w:rPr>
          <w:rFonts w:eastAsia="Calibri" w:ascii="Times New Roman" w:hAnsi="Times New Roman"/>
          <w:b/>
          <w:bCs/>
          <w:sz w:val="28"/>
          <w:szCs w:val="28"/>
        </w:rPr>
        <w:t>-ТО ПРОД-2026-ТК-СШФ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eastAsia="Calibri" w:cs="Times New Roman" w:ascii="Times New Roman" w:hAnsi="Times New Roman" w:eastAsiaTheme="minorHAnsi"/>
          <w:b/>
          <w:bCs/>
          <w:color w:val="auto"/>
          <w:kern w:val="0"/>
          <w:sz w:val="28"/>
          <w:szCs w:val="28"/>
          <w:lang w:val="ru-RU" w:eastAsia="en-US" w:bidi="ar-SA"/>
        </w:rPr>
        <w:t>«ОКПД2 45.20.11.100. Услуги по ремонту  газораспределительного механизма и подвески TOYOTA LC-200 для нужд Саяно-Шушенского участка Саяно-Шушенского филиала АО "ТК РусГидро"»</w:t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3"/>
        </w:numPr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Акционерное общество «Транспортная компания РусГидро»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(АО «ТК РусГидро) в лице Саяно-шушенского филиала сообщает о проведении анализа технико-коммерческих предложений потенциальных поставщиков в рамках нерегламентированной закупки по поставке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ru-RU" w:eastAsia="en-US" w:bidi="ar-SA"/>
        </w:rPr>
        <w:t>«ОКПД2 45.20.11.100. Услуги по ремонту  газораспределительного механизма и подвески TOYOTA LC-200 для нужд Саяно-Шушенского участка Саяно-Шушенского филиала АО "ТК РусГидро"».</w:t>
      </w:r>
    </w:p>
    <w:p>
      <w:pPr>
        <w:pStyle w:val="Normal"/>
        <w:numPr>
          <w:ilvl w:val="0"/>
          <w:numId w:val="3"/>
        </w:numPr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3"/>
        </w:numPr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3"/>
        </w:numPr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3"/>
        </w:numPr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/>
      </w:pPr>
      <w:r>
        <w:rPr>
          <w:rFonts w:ascii="Times New Roman" w:hAnsi="Times New Roman"/>
          <w:sz w:val="28"/>
          <w:szCs w:val="28"/>
        </w:rPr>
        <w:t xml:space="preserve">юридический адрес, почтовый адрес, ИНН </w:t>
      </w:r>
      <w:r>
        <w:rPr>
          <w:rStyle w:val="Style9"/>
          <w:rFonts w:ascii="Times New Roman" w:hAnsi="Times New Roman"/>
          <w:b w:val="false"/>
          <w:i w:val="false"/>
          <w:sz w:val="28"/>
          <w:szCs w:val="28"/>
          <w:shd w:fill="auto" w:val="clear"/>
        </w:rPr>
        <w:t>[для юридических лиц]</w:t>
      </w:r>
      <w:r>
        <w:rPr>
          <w:rFonts w:ascii="Times New Roman" w:hAnsi="Times New Roman"/>
          <w:i/>
          <w:sz w:val="28"/>
          <w:szCs w:val="28"/>
        </w:rPr>
        <w:t xml:space="preserve"> / </w:t>
      </w:r>
      <w:r>
        <w:rPr>
          <w:rFonts w:ascii="Times New Roman" w:hAnsi="Times New Roman"/>
          <w:sz w:val="28"/>
          <w:szCs w:val="28"/>
        </w:rPr>
        <w:t xml:space="preserve">паспортные данные, адрес регистрации, ИНН (при наличии) </w:t>
      </w:r>
      <w:r>
        <w:rPr>
          <w:rStyle w:val="Style9"/>
          <w:rFonts w:ascii="Times New Roman" w:hAnsi="Times New Roman"/>
          <w:b w:val="false"/>
          <w:i w:val="false"/>
          <w:sz w:val="28"/>
          <w:szCs w:val="28"/>
          <w:shd w:fill="auto" w:val="clear"/>
        </w:rPr>
        <w:t>[для физических лиц]</w:t>
      </w:r>
      <w:r>
        <w:rPr>
          <w:rFonts w:ascii="Times New Roman" w:hAnsi="Times New Roman"/>
          <w:i/>
          <w:sz w:val="28"/>
          <w:szCs w:val="28"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контактные данные: номер телефона, </w:t>
      </w:r>
      <w:r>
        <w:rPr>
          <w:rFonts w:ascii="Times New Roman" w:hAnsi="Times New Roman"/>
          <w:sz w:val="28"/>
          <w:szCs w:val="28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>
        <w:rPr>
          <w:rFonts w:ascii="Times New Roman" w:hAnsi="Times New Roman"/>
          <w:sz w:val="28"/>
          <w:szCs w:val="28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подтверждение возможности поставки требуемого объема продукции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сроки поставки продукции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цену предложения в рублях (без учета НДС и с учетом НДС).</w:t>
      </w:r>
    </w:p>
    <w:p>
      <w:pPr>
        <w:pStyle w:val="Normal"/>
        <w:numPr>
          <w:ilvl w:val="0"/>
          <w:numId w:val="3"/>
        </w:numPr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 подачи технико-коммерческих предложений: до 10:00 МСК 2</w:t>
      </w:r>
      <w:r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.2026 г. </w:t>
      </w:r>
    </w:p>
    <w:p>
      <w:pPr>
        <w:pStyle w:val="Normal"/>
        <w:numPr>
          <w:ilvl w:val="0"/>
          <w:numId w:val="3"/>
        </w:numPr>
        <w:spacing w:before="120" w:after="0"/>
        <w:ind w:left="0" w:hanging="11"/>
        <w:rPr/>
      </w:pPr>
      <w:r>
        <w:rPr>
          <w:rFonts w:ascii="Times New Roman" w:hAnsi="Times New Roman"/>
          <w:sz w:val="28"/>
          <w:szCs w:val="28"/>
        </w:rPr>
        <w:t xml:space="preserve">Предложения должны быть направлены в виде сканированной электронной копии на ЭТП АО «Российский аукционный дом» </w:t>
      </w:r>
      <w:hyperlink r:id="rId3">
        <w:r>
          <w:rPr>
            <w:rStyle w:val="Hyperlink"/>
            <w:rFonts w:ascii="Times New Roman" w:hAnsi="Times New Roman"/>
            <w:sz w:val="28"/>
            <w:szCs w:val="28"/>
          </w:rPr>
          <w:t>https://tender.lot-online.ru</w:t>
        </w:r>
      </w:hyperlink>
      <w:r>
        <w:rPr>
          <w:rFonts w:ascii="Times New Roman" w:hAnsi="Times New Roman"/>
          <w:sz w:val="28"/>
          <w:szCs w:val="28"/>
        </w:rPr>
        <w:t xml:space="preserve"> или на адрес электронной почты  sulekovaa@rushydro.ru</w:t>
      </w:r>
    </w:p>
    <w:p>
      <w:pPr>
        <w:pStyle w:val="Normal"/>
        <w:ind w:left="567" w:hang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567" w:leader="none"/>
        </w:tabs>
        <w:spacing w:before="120" w:after="0"/>
        <w:ind w:left="567" w:hanging="0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</w:r>
      <w:bookmarkStart w:id="0" w:name="_GoBack_Копия_1"/>
      <w:bookmarkStart w:id="1" w:name="_GoBack_Копия_1"/>
      <w:bookmarkEnd w:id="1"/>
    </w:p>
    <w:p>
      <w:pPr>
        <w:pStyle w:val="Normal"/>
        <w:spacing w:before="12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keepNext w:val="true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Приложения: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851" w:leader="none"/>
        </w:tabs>
        <w:spacing w:before="120" w:after="0"/>
        <w:ind w:left="850" w:hanging="4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851" w:leader="none"/>
        </w:tabs>
        <w:spacing w:before="120" w:after="0"/>
        <w:ind w:left="850" w:hanging="4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tabs>
          <w:tab w:val="clear" w:pos="708"/>
          <w:tab w:val="left" w:pos="3810" w:leader="none"/>
        </w:tabs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3810" w:leader="none"/>
        </w:tabs>
        <w:rPr>
          <w:rFonts w:ascii="Times New Roman" w:hAnsi="Times New Roman"/>
          <w:sz w:val="16"/>
          <w:szCs w:val="16"/>
        </w:rPr>
      </w:pPr>
      <w:r>
        <w:rPr/>
      </w:r>
    </w:p>
    <w:sectPr>
      <w:type w:val="nextPage"/>
      <w:pgSz w:w="11906" w:h="16838"/>
      <w:pgMar w:left="1531" w:right="851" w:gutter="0" w:header="0" w:top="851" w:footer="0" w:bottom="426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Verdana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014f5"/>
    <w:pPr>
      <w:widowControl/>
      <w:suppressAutoHyphens w:val="true"/>
      <w:bidi w:val="0"/>
      <w:spacing w:before="0" w:after="0"/>
      <w:jc w:val="both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pple-converted-space" w:customStyle="1">
    <w:name w:val="apple-converted-space"/>
    <w:basedOn w:val="DefaultParagraphFont"/>
    <w:qFormat/>
    <w:rsid w:val="005014f5"/>
    <w:rPr/>
  </w:style>
  <w:style w:type="character" w:styleId="Hyperlink">
    <w:name w:val="Hyperlink"/>
    <w:basedOn w:val="DefaultParagraphFont"/>
    <w:uiPriority w:val="99"/>
    <w:unhideWhenUsed/>
    <w:rsid w:val="00351e77"/>
    <w:rPr>
      <w:color w:val="0000FF"/>
      <w:u w:val="single"/>
    </w:rPr>
  </w:style>
  <w:style w:type="character" w:styleId="Style8" w:customStyle="1">
    <w:name w:val="Текст выноски Знак"/>
    <w:basedOn w:val="DefaultParagraphFont"/>
    <w:link w:val="BalloonText"/>
    <w:uiPriority w:val="99"/>
    <w:semiHidden/>
    <w:qFormat/>
    <w:rsid w:val="000a5fbc"/>
    <w:rPr>
      <w:rFonts w:ascii="Segoe UI" w:hAnsi="Segoe UI" w:eastAsia="Calibri" w:cs="Segoe UI"/>
      <w:sz w:val="18"/>
      <w:szCs w:val="18"/>
    </w:rPr>
  </w:style>
  <w:style w:type="character" w:styleId="Style9" w:customStyle="1">
    <w:name w:val="комментарий"/>
    <w:qFormat/>
    <w:rPr>
      <w:b/>
      <w:i/>
      <w:shd w:fill="FFFF99" w:val="clear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BalloonText">
    <w:name w:val="Balloon Text"/>
    <w:basedOn w:val="Normal"/>
    <w:link w:val="Style8"/>
    <w:uiPriority w:val="99"/>
    <w:semiHidden/>
    <w:unhideWhenUsed/>
    <w:qFormat/>
    <w:rsid w:val="000a5fbc"/>
    <w:pPr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a5211"/>
    <w:pPr>
      <w:ind w:left="708" w:hanging="0"/>
      <w:jc w:val="left"/>
    </w:pPr>
    <w:rPr>
      <w:rFonts w:ascii="Times New Roman" w:hAnsi="Times New Roman" w:eastAsia="Times New Roman"/>
      <w:kern w:val="2"/>
      <w:sz w:val="24"/>
      <w:szCs w:val="20"/>
      <w:lang w:eastAsia="ru-RU"/>
    </w:rPr>
  </w:style>
  <w:style w:type="paragraph" w:styleId="1" w:customStyle="1">
    <w:name w:val="Стиль Заголовок 1 + по ширине"/>
    <w:basedOn w:val="Heading1"/>
    <w:qFormat/>
    <w:pPr>
      <w:numPr>
        <w:ilvl w:val="0"/>
        <w:numId w:val="2"/>
      </w:numPr>
      <w:spacing w:before="480" w:after="240"/>
      <w:ind w:left="720" w:hanging="360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uiPriority w:val="59"/>
    <w:rsid w:val="00d57320"/>
    <w:pPr>
      <w:jc w:val="both"/>
    </w:pPr>
    <w:rPr>
      <w:sz w:val="26"/>
      <w:szCs w:val="26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ad">
    <w:name w:val="Table Grid"/>
    <w:basedOn w:val="a1"/>
    <w:uiPriority w:val="39"/>
    <w:rsid w:val="00d5732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tender.lot-online.ru/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88C88B-62F1-4A47-9BE4-EF5532AD1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Application>AlterOffice/3.4.0.9$Linux_X86_64 LibreOffice_project/b8daf9e823b1a5463a2f48435ddc2e8696e7d4fc</Application>
  <AppVersion>15.0000</AppVersion>
  <Pages>3</Pages>
  <Words>512</Words>
  <Characters>3610</Characters>
  <CharactersWithSpaces>4077</CharactersWithSpaces>
  <Paragraphs>31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2025-03-14T05:32:00Z</dcterms:created>
  <dc:creator>Сергей Шефер</dc:creator>
  <dc:description/>
  <dc:language>ru-RU</dc:language>
  <cp:lastModifiedBy>sulekovaa@corp.gidroogk.com</cp:lastModifiedBy>
  <cp:lastPrinted>2025-03-28T08:35:52Z</cp:lastPrinted>
  <dcterms:modified xsi:type="dcterms:W3CDTF">2026-10-22T15:32:01Z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