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«УТВЕРЖДАЮ»</w:t>
      </w:r>
    </w:p>
    <w:p>
      <w:pPr>
        <w:pStyle w:val="Style25"/>
        <w:spacing w:before="0"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Директор</w:t>
      </w:r>
    </w:p>
    <w:p>
      <w:pPr>
        <w:pStyle w:val="Style25"/>
        <w:spacing w:lineRule="auto" w:line="240" w:before="0" w:after="0"/>
        <w:jc w:val="right"/>
        <w:rPr/>
      </w:pPr>
      <w:r>
        <w:rPr>
          <w:rFonts w:cs="Times New Roman" w:ascii="Times New Roman" w:hAnsi="Times New Roman"/>
          <w:sz w:val="24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val="ru-RU"/>
        </w:rPr>
        <w:t xml:space="preserve">Саяно-Шушенского филиала </w:t>
      </w:r>
    </w:p>
    <w:p>
      <w:pPr>
        <w:pStyle w:val="Style25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АО «ТК РусГидро»</w:t>
      </w:r>
    </w:p>
    <w:p>
      <w:pPr>
        <w:pStyle w:val="ListParagraph"/>
        <w:spacing w:before="240" w:after="0"/>
        <w:contextualSpacing/>
        <w:jc w:val="right"/>
        <w:rPr/>
      </w:pPr>
      <w:r>
        <w:rPr>
          <w:rFonts w:eastAsia="Times New Roman"/>
        </w:rPr>
        <w:t xml:space="preserve">        </w:t>
      </w:r>
      <w:r>
        <w:rPr/>
        <w:t>_______________В.А. Кяри</w:t>
      </w:r>
    </w:p>
    <w:p>
      <w:pPr>
        <w:pStyle w:val="ListParagraph"/>
        <w:spacing w:before="240" w:after="0"/>
        <w:contextualSpacing/>
        <w:jc w:val="right"/>
        <w:rPr>
          <w:rFonts w:eastAsia="Calibri"/>
          <w:bCs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>«____»________________</w:t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для комплексного договора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bCs/>
        </w:rPr>
      </w:pPr>
      <w:r>
        <w:rPr>
          <w:b/>
          <w:bCs/>
        </w:rPr>
        <w:t>«ОКПД2 45.20.11.100. Услуги по ремонту  газораспределительн</w:t>
      </w:r>
      <w:r>
        <w:rPr>
          <w:b/>
          <w:bCs/>
        </w:rPr>
        <w:t>ого</w:t>
      </w:r>
      <w:r>
        <w:rPr>
          <w:b/>
          <w:bCs/>
        </w:rPr>
        <w:t xml:space="preserve"> механизм</w:t>
      </w:r>
      <w:r>
        <w:rPr>
          <w:b/>
          <w:bCs/>
        </w:rPr>
        <w:t>а и подвески</w:t>
      </w:r>
      <w:r>
        <w:rPr>
          <w:b/>
          <w:bCs/>
        </w:rPr>
        <w:t xml:space="preserve"> TOYOTA LC-200 для нужд Саяно-Шушенского участка Саяно-Шушенского филиала АО "ТК РусГидро"»</w:t>
      </w:r>
    </w:p>
    <w:p>
      <w:pPr>
        <w:pStyle w:val="Normal"/>
        <w:jc w:val="center"/>
        <w:rPr/>
      </w:pPr>
      <w:r>
        <w:rPr>
          <w:rStyle w:val="Style8"/>
          <w:rFonts w:eastAsia="Calibri"/>
          <w:b/>
          <w:bCs/>
          <w:i/>
          <w:sz w:val="26"/>
          <w:szCs w:val="26"/>
          <w:shd w:fill="auto" w:val="clear"/>
        </w:rPr>
        <w:t xml:space="preserve">  </w:t>
      </w:r>
      <w:r>
        <w:rPr>
          <w:rStyle w:val="Style8"/>
          <w:rFonts w:eastAsia="Calibri"/>
          <w:b/>
          <w:bCs/>
          <w:i/>
          <w:sz w:val="26"/>
          <w:szCs w:val="26"/>
          <w:shd w:fill="auto" w:val="clear"/>
        </w:rPr>
        <w:t>Лот № 410</w:t>
      </w:r>
      <w:r>
        <w:rPr>
          <w:rStyle w:val="Style8"/>
          <w:rFonts w:eastAsia="Calibri"/>
          <w:b/>
          <w:bCs/>
          <w:i/>
          <w:sz w:val="26"/>
          <w:szCs w:val="26"/>
          <w:shd w:fill="auto" w:val="clear"/>
        </w:rPr>
        <w:t>7</w:t>
      </w:r>
      <w:r>
        <w:rPr>
          <w:rStyle w:val="Style8"/>
          <w:rFonts w:eastAsia="Calibri"/>
          <w:b/>
          <w:bCs/>
          <w:i/>
          <w:sz w:val="26"/>
          <w:szCs w:val="26"/>
          <w:shd w:fill="auto" w:val="clear"/>
        </w:rPr>
        <w:t>-ТО ПРОД-2026-ТК-СШФ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97017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7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7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7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7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8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8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по объемам и срокам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8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видам и объемам поставок МТР, работ,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8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Перечень и объем выполняемых работ / оказываемых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8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2.2 Перечень и объем закупаемых МТР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87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поставки МТР, выполнению работ, оказанию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8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3.1 Требования по срокам выполнения работ /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8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_Toc54970189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3.2 Требования по срокам поставки МТР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97019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9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_Toc54970191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продукции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970192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_Toc54970192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caps/>
        </w:rPr>
      </w:pPr>
      <w:bookmarkStart w:id="0" w:name="_Toc51339692"/>
      <w:bookmarkStart w:id="1" w:name="_Toc54970174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54970175"/>
      <w:r>
        <w:rPr/>
        <w:t>Обозначения и сокращения</w:t>
      </w:r>
      <w:bookmarkEnd w:id="2"/>
      <w:bookmarkEnd w:id="3"/>
    </w:p>
    <w:tbl>
      <w:tblPr>
        <w:tblW w:w="978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6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РФ</w:t>
            </w:r>
          </w:p>
        </w:tc>
        <w:tc>
          <w:tcPr>
            <w:tcW w:w="7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АО «ТК РусГидро»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Акционерное общество «Транспортной компании РусГидро»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ТО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ОКПД2</w:t>
            </w:r>
          </w:p>
        </w:tc>
        <w:tc>
          <w:tcPr>
            <w:tcW w:w="7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Общероссийский классификатор продукции по видам экономической деятельности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ТС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Техническое требование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ДВС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Двигатель внутреннего сгорания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ГБЦ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Головка блока цилиндров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ГУР</w:t>
            </w:r>
          </w:p>
        </w:tc>
        <w:tc>
          <w:tcPr>
            <w:tcW w:w="7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Гидроусилитель руля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r>
        <w:br w:type="page"/>
      </w:r>
      <w:bookmarkStart w:id="4" w:name="_Toc54970176"/>
      <w:r>
        <w:rPr/>
        <w:t>Наименование закупаемой продукции</w:t>
      </w:r>
      <w:bookmarkStart w:id="5" w:name="_Toc46743506"/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i w:val="false"/>
          <w:iCs w:val="false"/>
          <w:sz w:val="24"/>
          <w:szCs w:val="24"/>
          <w:lang w:eastAsia="x-none"/>
        </w:rPr>
        <w:t>«ОКПД2 45.20.11.100. Услуги по ремонту  газораспределительного механизма и подвески TOYOTA LC-200 для нужд Саяно-Шушенского участка Саяно-Шушенского филиала АО "ТК РусГидро"»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54970177"/>
      <w:bookmarkStart w:id="7" w:name="_Toc46743507"/>
      <w:r>
        <w:rPr/>
        <w:t>Цель использования закупаемой продукции</w:t>
      </w:r>
      <w:bookmarkEnd w:id="7"/>
      <w:r>
        <w:rPr>
          <w:lang w:val="ru-RU"/>
        </w:rPr>
        <w:t xml:space="preserve"> </w:t>
      </w:r>
      <w:bookmarkEnd w:id="6"/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before="240" w:after="60"/>
        <w:ind w:left="0" w:right="0" w:hanging="0"/>
        <w:jc w:val="both"/>
        <w:rPr/>
      </w:pPr>
      <w:r>
        <w:rPr>
          <w:rStyle w:val="Style8"/>
          <w:rFonts w:eastAsia="Times New Roman"/>
          <w:b w:val="false"/>
          <w:bCs/>
          <w:i w:val="false"/>
          <w:iCs w:val="false"/>
          <w:sz w:val="24"/>
          <w:szCs w:val="24"/>
          <w:shd w:fill="auto" w:val="clear"/>
        </w:rPr>
        <w:t>Содержание автомобилей Саяно-Шушенского транспортного участка Саяно-Шушенского филиала АО "ТК РусГидро" в технически исправном состоянии, проведение текущего ремонта с соблюдением Правил оказания услуг (выполнения работ) по техническому обслуживанию и ремонту автомототранспортных средств" утвержденных Постановлением Правительства РФ от 29.05.2025 N 780 (ред. от 27.10.2025), инструкций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средств.</w:t>
      </w:r>
    </w:p>
    <w:p>
      <w:pPr>
        <w:pStyle w:val="Heading4"/>
        <w:numPr>
          <w:ilvl w:val="1"/>
          <w:numId w:val="3"/>
        </w:numPr>
        <w:rPr>
          <w:highlight w:val="none"/>
          <w:shd w:fill="auto" w:val="clear"/>
        </w:rPr>
      </w:pPr>
      <w:bookmarkStart w:id="8" w:name="_Toc54970178"/>
      <w:bookmarkStart w:id="9" w:name="_Toc46743508"/>
      <w:r>
        <w:rPr>
          <w:shd w:fill="auto" w:val="clear"/>
        </w:rPr>
        <w:t>Существующее положение</w:t>
      </w:r>
      <w:bookmarkEnd w:id="9"/>
      <w:r>
        <w:rPr>
          <w:shd w:fill="auto" w:val="clear"/>
          <w:lang w:val="ru-RU"/>
        </w:rPr>
        <w:t xml:space="preserve"> </w:t>
      </w:r>
      <w:bookmarkEnd w:id="8"/>
    </w:p>
    <w:p>
      <w:pPr>
        <w:pStyle w:val="Normal"/>
        <w:rPr/>
      </w:pPr>
      <w:r>
        <w:rPr>
          <w:rStyle w:val="Style8"/>
          <w:b w:val="false"/>
          <w:bCs/>
          <w:i w:val="false"/>
          <w:iCs w:val="false"/>
          <w:sz w:val="24"/>
          <w:szCs w:val="24"/>
          <w:shd w:fill="auto" w:val="clear"/>
          <w:lang w:val="ru-RU"/>
        </w:rPr>
        <w:t xml:space="preserve">На автомобиле  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x-none"/>
        </w:rPr>
        <w:t>TOYOTA LC-200  газораспределительн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x-none"/>
        </w:rPr>
        <w:t>ый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x-none"/>
        </w:rPr>
        <w:t xml:space="preserve"> механизм и подвеск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x-none"/>
        </w:rPr>
        <w:t>а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x-none"/>
        </w:rPr>
        <w:t>.</w:t>
      </w:r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0" w:name="_Toc54970179"/>
      <w:r>
        <w:rPr>
          <w:sz w:val="24"/>
          <w:szCs w:val="24"/>
        </w:rPr>
        <w:t>Таблица 1. Перечень объектов заказчика</w:t>
      </w:r>
      <w:bookmarkEnd w:id="10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2860"/>
        <w:gridCol w:w="2410"/>
        <w:gridCol w:w="1988"/>
        <w:gridCol w:w="184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поставки МТР, производства работ,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работы, оказываются услуги)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x-none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x-none" w:bidi="ar-SA"/>
              </w:rPr>
              <w:t>ОКПД2 45.20.11.100. Услуги по ремонту  газораспределительного механизма и подвески TOYOTA LC-200 для нужд Саяно-Шушенского участка Саяно-Шушенского филиала АО "ТК РусГидро"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 территории Республики Хакасия или Красноярского края, но не далее 150 км от места нахождения Заказчика: Республика Хакасия г.Саяногорск рп.Черёмушки, стр. 101.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TOYOTA LC-200, VIN </w:t>
            </w:r>
            <w:r>
              <w:rPr>
                <w:color w:val="000000"/>
                <w:sz w:val="24"/>
                <w:szCs w:val="24"/>
                <w:lang w:val="en-US" w:eastAsia="x-none"/>
              </w:rPr>
              <w:t>JTMHX</w:t>
            </w:r>
            <w:r>
              <w:rPr>
                <w:color w:val="000000"/>
                <w:sz w:val="24"/>
                <w:szCs w:val="24"/>
                <w:lang w:eastAsia="x-none"/>
              </w:rPr>
              <w:t>02</w:t>
            </w:r>
            <w:r>
              <w:rPr>
                <w:color w:val="000000"/>
                <w:sz w:val="24"/>
                <w:szCs w:val="24"/>
                <w:lang w:val="en-US" w:eastAsia="x-none"/>
              </w:rPr>
              <w:t>J</w:t>
            </w:r>
            <w:r>
              <w:rPr>
                <w:color w:val="000000"/>
                <w:sz w:val="24"/>
                <w:szCs w:val="24"/>
                <w:lang w:eastAsia="x-none"/>
              </w:rPr>
              <w:t>504208565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3"/>
        </w:numPr>
        <w:ind w:left="0" w:hanging="0"/>
        <w:jc w:val="center"/>
        <w:rPr>
          <w:caps/>
          <w:lang w:val="ru-RU"/>
        </w:rPr>
      </w:pPr>
      <w:bookmarkStart w:id="11" w:name="_Toc51339693"/>
      <w:bookmarkStart w:id="12" w:name="_Toc54970182"/>
      <w:bookmarkStart w:id="13" w:name="_Toc50125126"/>
      <w:bookmarkEnd w:id="13"/>
      <w:r>
        <w:rPr/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rPr/>
      </w:pPr>
      <w:bookmarkStart w:id="14" w:name="_Toc54970183"/>
      <w:r>
        <w:rPr/>
        <w:t xml:space="preserve">Требования </w:t>
      </w:r>
      <w:r>
        <w:rPr>
          <w:lang w:val="ru-RU"/>
        </w:rPr>
        <w:t>по</w:t>
      </w:r>
      <w:r>
        <w:rPr/>
        <w:t xml:space="preserve"> объемам и срокам</w:t>
      </w:r>
      <w:bookmarkEnd w:id="14"/>
      <w:r>
        <w:rPr/>
        <w:t xml:space="preserve"> </w:t>
      </w:r>
    </w:p>
    <w:p>
      <w:pPr>
        <w:pStyle w:val="Heading3"/>
        <w:numPr>
          <w:ilvl w:val="2"/>
          <w:numId w:val="3"/>
        </w:numPr>
        <w:rPr/>
      </w:pPr>
      <w:bookmarkStart w:id="15" w:name="_Toc54970184"/>
      <w:r>
        <w:rPr/>
        <w:t>Требования к видам и объемам поставок</w:t>
      </w:r>
      <w:r>
        <w:rPr>
          <w:lang w:val="ru-RU"/>
        </w:rPr>
        <w:t xml:space="preserve"> МТР</w:t>
      </w:r>
      <w:r>
        <w:rPr/>
        <w:t>, работ, услуг</w:t>
      </w:r>
      <w:bookmarkEnd w:id="15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6" w:name="_Toc54970185"/>
      <w:bookmarkStart w:id="17" w:name="_Toc51339695"/>
      <w:r>
        <w:rPr>
          <w:sz w:val="24"/>
          <w:szCs w:val="24"/>
        </w:rPr>
        <w:t>Таблица 2.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7"/>
      <w:r>
        <w:rPr>
          <w:sz w:val="24"/>
          <w:szCs w:val="24"/>
        </w:rPr>
        <w:t>выполняемых работ</w:t>
      </w:r>
      <w:r>
        <w:rPr>
          <w:sz w:val="24"/>
          <w:szCs w:val="24"/>
          <w:lang w:val="ru-RU"/>
        </w:rPr>
        <w:t xml:space="preserve"> / </w:t>
      </w:r>
      <w:r>
        <w:rPr>
          <w:sz w:val="24"/>
          <w:szCs w:val="24"/>
        </w:rPr>
        <w:t>оказываемых услуг</w:t>
      </w:r>
      <w:bookmarkEnd w:id="16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5416"/>
        <w:gridCol w:w="1422"/>
        <w:gridCol w:w="212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(услуг) / этапа работ (услуг)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Услуги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ремонту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газораспределительного механизма ДВС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усл.ед.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Услуги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ремонту подвески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усл.ед.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8" w:name="_Toc51955658"/>
      <w:bookmarkStart w:id="19" w:name="_Toc5497018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МТР</w:t>
      </w:r>
      <w:bookmarkEnd w:id="19"/>
      <w:r>
        <w:rPr>
          <w:sz w:val="24"/>
          <w:szCs w:val="24"/>
        </w:rPr>
        <w:t xml:space="preserve"> 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5832"/>
        <w:gridCol w:w="1592"/>
        <w:gridCol w:w="153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 xml:space="preserve">Сальник свечного колодца </w:t>
            </w:r>
            <w:r>
              <w:rPr>
                <w:sz w:val="24"/>
                <w:szCs w:val="24"/>
                <w:shd w:fill="auto" w:val="clear"/>
              </w:rPr>
              <w:t>арт: 1119370010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Прокладка клапанной крышки под VVTI арт: 1122938010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Цепь ГРМ верхняя  арт:13507-31020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Цепь ГРМ нижняя  арт:1350638030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Натяжитель верхний R и L арт: 13550-38020 / 1356038021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Натяжитель нижний R и L арт: 1354038020 / 1354038042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Успокоитель цепи правый арт: 1355938030 / 1356138060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Успокоитель цепи левый арт:1355938040 / 1356138070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Ручка внутренняя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Втулка стабилизатора переднего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Сальник ступицы задний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Гайка ступицы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Полуступица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Кольцо уплотнительное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Сальник ступицы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5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Датчик АБС арт:</w:t>
            </w:r>
          </w:p>
        </w:tc>
        <w:tc>
          <w:tcPr>
            <w:tcW w:w="1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15"/>
        </w:numPr>
        <w:rPr/>
      </w:pPr>
      <w:bookmarkStart w:id="20" w:name="_Toc54970187"/>
      <w:bookmarkStart w:id="21" w:name="_Toc51339696"/>
      <w:r>
        <w:rPr/>
        <w:t xml:space="preserve">Требования </w:t>
      </w:r>
      <w:bookmarkEnd w:id="21"/>
      <w:r>
        <w:rPr/>
        <w:t xml:space="preserve">к срокам поставки </w:t>
      </w:r>
      <w:r>
        <w:rPr>
          <w:lang w:val="ru-RU"/>
        </w:rPr>
        <w:t>МТР</w:t>
      </w:r>
      <w:r>
        <w:rPr/>
        <w:t>, выполнению работ, оказанию услуг</w:t>
      </w:r>
      <w:bookmarkEnd w:id="20"/>
    </w:p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22" w:name="_Toc54970188"/>
      <w:bookmarkStart w:id="23" w:name="_Toc50125127"/>
      <w:bookmarkStart w:id="24" w:name="_Toc51339697"/>
      <w:bookmarkStart w:id="25" w:name="_Toc50125126_Копия_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</w:t>
      </w:r>
      <w:bookmarkEnd w:id="23"/>
      <w:bookmarkEnd w:id="24"/>
      <w:bookmarkEnd w:id="26"/>
      <w:r>
        <w:rPr>
          <w:sz w:val="24"/>
          <w:szCs w:val="24"/>
          <w:lang w:val="ru-RU"/>
        </w:rPr>
        <w:t>по срокам выполнения работ / оказания услуг</w:t>
      </w:r>
      <w:bookmarkEnd w:id="22"/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 xml:space="preserve"> </w:t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35"/>
        <w:gridCol w:w="2760"/>
        <w:gridCol w:w="3262"/>
        <w:gridCol w:w="3265"/>
      </w:tblGrid>
      <w:tr>
        <w:trPr/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bookmarkStart w:id="27" w:name="_Toc46743510"/>
            <w:bookmarkEnd w:id="27"/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работ / услуг </w:t>
              <w:br/>
              <w:t>(вид / этап (работ/ услуг)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 / оказания услуг (этапа работ / услуг)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оказания услуг (этапа работ / услуг)</w:t>
            </w:r>
          </w:p>
        </w:tc>
      </w:tr>
      <w:tr>
        <w:trPr/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rPr/>
            </w:pPr>
            <w:r>
              <w:rPr/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Услуги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ремонту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газораспределительного механизма ДВС</w:t>
            </w:r>
          </w:p>
        </w:tc>
        <w:tc>
          <w:tcPr>
            <w:tcW w:w="3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 течение 10 дней с даты заключения договора</w:t>
            </w:r>
          </w:p>
        </w:tc>
      </w:tr>
      <w:tr>
        <w:trPr/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uppressAutoHyphens w:val="true"/>
              <w:rPr/>
            </w:pPr>
            <w:r>
              <w:rPr/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Услуги по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ремонту подвески</w:t>
            </w:r>
          </w:p>
        </w:tc>
        <w:tc>
          <w:tcPr>
            <w:tcW w:w="32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28" w:name="_Toc5497018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</w:t>
      </w:r>
      <w:r>
        <w:rPr>
          <w:sz w:val="24"/>
          <w:szCs w:val="24"/>
          <w:lang w:val="ru-RU"/>
        </w:rPr>
        <w:t>по срокам поставки МТР</w:t>
      </w:r>
      <w:bookmarkEnd w:id="28"/>
      <w:r>
        <w:rPr>
          <w:rStyle w:val="Style8"/>
          <w:b/>
          <w:i w:val="false"/>
          <w:sz w:val="24"/>
          <w:szCs w:val="24"/>
          <w:shd w:fill="auto" w:val="clear"/>
          <w:lang w:val="ru-RU"/>
        </w:rPr>
        <w:t xml:space="preserve"> </w:t>
      </w:r>
    </w:p>
    <w:tbl>
      <w:tblPr>
        <w:tblW w:w="99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12"/>
        <w:gridCol w:w="3507"/>
        <w:gridCol w:w="2538"/>
        <w:gridCol w:w="3265"/>
      </w:tblGrid>
      <w:tr>
        <w:trPr/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 xml:space="preserve">Сальник свечного колодца </w:t>
            </w:r>
            <w:r>
              <w:rPr>
                <w:sz w:val="24"/>
                <w:szCs w:val="24"/>
                <w:shd w:fill="auto" w:val="clear"/>
              </w:rPr>
              <w:t>арт: 1119370010</w:t>
            </w:r>
          </w:p>
        </w:tc>
        <w:tc>
          <w:tcPr>
            <w:tcW w:w="2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течение 15 дней с даты заключения договора</w:t>
            </w:r>
          </w:p>
        </w:tc>
      </w:tr>
      <w:tr>
        <w:trPr/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Прокладка клапанной крышки под VVTI арт: 1122938010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Цепь ГРМ верхняя  арт:13507-31020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Цепь ГРМ нижняя  арт:1350638030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Натяжитель верхний R и L арт: 13550-38020 / 1356038021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Натяжитель нижний R и L арт: 1354038020 / 1354038042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Успокоитель цепи правый арт: 1355938030 / 1356138060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Успокоитель цепи левый арт:1355938040 / 1356138070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Ручка внутренняя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Втулка стабилизатора переднего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Сальник ступицы задний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Гайка ступицы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Полуступица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Кольцо уплотнительное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Сальник ступицы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/>
            </w:pPr>
            <w:r>
              <w:rPr/>
            </w:r>
          </w:p>
        </w:tc>
        <w:tc>
          <w:tcPr>
            <w:tcW w:w="3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>Датчик АБС арт:</w:t>
            </w:r>
          </w:p>
        </w:tc>
        <w:tc>
          <w:tcPr>
            <w:tcW w:w="25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9" w:name="_Toc54970191"/>
      <w:bookmarkStart w:id="30" w:name="_Toc51339698"/>
      <w:bookmarkStart w:id="31" w:name="_Toc54970190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31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>качеству продукции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snapToGrid w:val="false"/>
        <w:spacing w:before="0" w:after="120"/>
        <w:jc w:val="both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продукции (МТР, работ / услуг (этапа работ / услуг) (позиция № 1-</w:t>
      </w:r>
      <w:r>
        <w:rPr>
          <w:b/>
          <w:bCs/>
          <w:sz w:val="24"/>
          <w:szCs w:val="24"/>
          <w:shd w:fill="auto" w:val="clear"/>
        </w:rPr>
        <w:t>2</w:t>
      </w:r>
      <w:r>
        <w:rPr>
          <w:rStyle w:val="Style8"/>
          <w:b w:val="false"/>
          <w:bCs/>
          <w:sz w:val="24"/>
          <w:szCs w:val="24"/>
          <w:shd w:fill="auto" w:val="clear"/>
        </w:rPr>
        <w:t xml:space="preserve"> </w:t>
      </w:r>
      <w:r>
        <w:rPr>
          <w:b/>
          <w:bCs/>
          <w:sz w:val="24"/>
          <w:szCs w:val="24"/>
        </w:rPr>
        <w:t xml:space="preserve">Таблицы 2.1 ): </w:t>
      </w:r>
      <w:r>
        <w:rPr>
          <w:b w:val="false"/>
          <w:bCs w:val="false"/>
          <w:i w:val="false"/>
          <w:iCs w:val="false"/>
          <w:sz w:val="24"/>
          <w:szCs w:val="24"/>
        </w:rPr>
        <w:t>Услуги по ремонту газораспределительного механизма ДВС, Услуги по ремонту подвески</w:t>
      </w:r>
    </w:p>
    <w:tbl>
      <w:tblPr>
        <w:tblStyle w:val="af"/>
        <w:tblW w:w="153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9"/>
        <w:gridCol w:w="3194"/>
        <w:gridCol w:w="3543"/>
        <w:gridCol w:w="2694"/>
        <w:gridCol w:w="2835"/>
        <w:gridCol w:w="2409"/>
      </w:tblGrid>
      <w:tr>
        <w:trPr/>
        <w:tc>
          <w:tcPr>
            <w:tcW w:w="7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1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52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0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1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4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выполнению работ и оказанию услуг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  <w:shd w:fill="FFFF99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способам и технологиям выполнения работ и оказания услуг 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right="0" w:hanging="0"/>
              <w:contextualSpacing/>
              <w:jc w:val="both"/>
              <w:rPr/>
            </w:pPr>
            <w:r>
              <w:rPr>
                <w:rFonts w:cs="Times New Roman"/>
              </w:rPr>
              <w:t xml:space="preserve">Ремонтные работы производятся согласно </w:t>
            </w:r>
            <w:r>
              <w:rPr>
                <w:rFonts w:cs="Times New Roman"/>
                <w:bCs/>
              </w:rPr>
              <w:t>требованиям технической документации завода - изготовителя TOYOTA LC-200</w:t>
            </w:r>
            <w:r>
              <w:rPr>
                <w:rFonts w:cs="Times New Roman"/>
              </w:rPr>
              <w:t xml:space="preserve"> по каждому виду работ.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 / услуг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монтажным работам</w:t>
            </w:r>
          </w:p>
          <w:p>
            <w:pPr>
              <w:pStyle w:val="NoSpacing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kern w:val="0"/>
                <w:lang w:val="ru-RU" w:eastAsia="en-US" w:bidi="ar-SA"/>
              </w:rPr>
            </w:pPr>
            <w:r>
              <w:rPr>
                <w:rFonts w:cs="Times New Roman"/>
                <w:kern w:val="0"/>
                <w:lang w:val="ru-RU" w:eastAsia="en-US" w:bidi="ar-SA"/>
              </w:rPr>
              <w:t>Порядок выполнения работ по монтажу запасных частей должен соответствовать эксплуатационной документации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110"/>
              <w:widowControl w:val="false"/>
              <w:tabs>
                <w:tab w:val="clear" w:pos="708"/>
                <w:tab w:val="left" w:pos="284" w:leader="none"/>
                <w:tab w:val="left" w:pos="357" w:leader="none"/>
              </w:tabs>
              <w:suppressAutoHyphens w:val="true"/>
              <w:spacing w:before="0" w:after="0"/>
              <w:ind w:left="0" w:right="0" w:hanging="0"/>
              <w:rPr>
                <w:rFonts w:cs="Times New Roman"/>
                <w:kern w:val="0"/>
                <w:szCs w:val="24"/>
                <w:lang w:val="ru-RU" w:bidi="ar-SA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Все работы проводятся с соблюдением требований безопасности, внутри объектового режима принятых у Заказчика.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 / услуг и материалов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Исполнитель обязан по требованию Заказчика допускать его представителей для контроля процесса выполнения технологических и ремонтных операций, качества и полноты оказания услуг и в целом выполнения договорных обязательств непосредственно к местам производства работ.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438" w:hRule="atLeast"/>
        </w:trPr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 / исполнителя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 качестве предпочтения устанавливаются требования о наличие квалифицированного персонала по обучению программы сервисного обслуживания автомобилей TOYOTA – не менее 2 человек.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МТР, поставляемым подрядчиком 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Запасные части должны быть новыми, заводского производства, пригодной к использованию. Не допускается поставка выставочных образцов.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требованию Заказчика Исполнитель обязан предоставить сертификат качества на замененные в процессе ремонта запасные части по требованию заказчика.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397" w:right="0" w:hanging="39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выпол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нения договора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выполнения договора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right="0" w:hanging="0"/>
              <w:contextualSpacing/>
              <w:jc w:val="both"/>
              <w:rPr/>
            </w:pPr>
            <w:r>
              <w:rPr/>
              <w:t>ТС прошедшие текущий ремонт должны отвечать требованиям, регламентирующим техническое состояние и оборудование ТС,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 в ред. от 16.07.2025).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Требования к порядку приемки результатов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выполнения договора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 результатам Услуг по ремонту автомобиля TOYOTA LC-200, сторонами подписывается Акт выполненных работ.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результатам оказания услуг Исполнитель предоставляет Заказчику следующие документы: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left"/>
              <w:rPr>
                <w:rFonts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Акт выполненных работ;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left"/>
              <w:rPr>
                <w:rFonts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Счёт;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contextualSpacing/>
              <w:jc w:val="left"/>
              <w:rPr>
                <w:rFonts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Счёт-фактуру или универсальный передаточный акт;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before="60" w:after="60"/>
              <w:ind w:left="340" w:right="0" w:hanging="39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ответственности, гарантиям и послегарантийному обслуживанию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737" w:type="dxa"/>
            <w:gridSpan w:val="2"/>
            <w:tcBorders/>
          </w:tcPr>
          <w:p>
            <w:pPr>
              <w:pStyle w:val="ListParagraph"/>
              <w:widowControl w:val="false"/>
              <w:tabs>
                <w:tab w:val="clear" w:pos="708"/>
                <w:tab w:val="left" w:pos="284" w:leader="none"/>
                <w:tab w:val="left" w:pos="357" w:leader="none"/>
              </w:tabs>
              <w:suppressAutoHyphens w:val="true"/>
              <w:spacing w:before="0" w:after="0"/>
              <w:ind w:left="0" w:right="0" w:hanging="0"/>
              <w:contextualSpacing/>
              <w:jc w:val="both"/>
              <w:rPr>
                <w:rFonts w:cs="Times New Roman"/>
                <w:color w:val="000000"/>
                <w:kern w:val="0"/>
                <w:lang w:val="ru-RU" w:eastAsia="en-US" w:bidi="ar-SA"/>
              </w:rPr>
            </w:pPr>
            <w:r>
              <w:rPr>
                <w:rFonts w:cs="Times New Roman"/>
                <w:color w:val="000000"/>
                <w:kern w:val="0"/>
                <w:lang w:val="ru-RU" w:eastAsia="en-US" w:bidi="ar-SA"/>
              </w:rPr>
              <w:t>Исполнитель обязан предоставить гарантии на установленные узлы, агрегаты и запасные части согласно срокам, установленных заводом-изготовителем, а на оказанные услуги по текущему ремонту не менее 6 месяцев при условии эксплуатации транспортного средства согласно руководству по эксплуатации.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9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32" w:name="_Toc54970192"/>
      <w:bookmarkStart w:id="33" w:name="_Toc54646411"/>
      <w:bookmarkStart w:id="34" w:name="_Toc53393312"/>
      <w:bookmarkStart w:id="35" w:name="_Toc46743519"/>
      <w:bookmarkStart w:id="36" w:name="_Toc51339699"/>
      <w:bookmarkEnd w:id="35"/>
      <w:bookmarkEnd w:id="36"/>
      <w:r>
        <w:rPr>
          <w:lang w:val="ru-RU"/>
        </w:rPr>
        <w:t>Требования к документации по ценообразованию</w:t>
      </w:r>
      <w:bookmarkEnd w:id="34"/>
      <w:r>
        <w:rPr>
          <w:lang w:val="ru-RU"/>
        </w:rPr>
        <w:t xml:space="preserve"> на этапе закупки</w:t>
      </w:r>
      <w:bookmarkEnd w:id="32"/>
      <w:bookmarkEnd w:id="33"/>
    </w:p>
    <w:p>
      <w:pPr>
        <w:pStyle w:val="Normal"/>
        <w:ind w:left="0" w:right="0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left="0" w:right="0" w:firstLine="426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120" w:after="60"/>
        <w:ind w:left="357" w:right="0" w:hanging="0"/>
        <w:outlineLvl w:val="0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sz w:val="24"/>
          <w:szCs w:val="24"/>
          <w:lang w:eastAsia="x-none"/>
        </w:rPr>
      </w:pPr>
      <w:r>
        <w:rPr>
          <w:rStyle w:val="Style8"/>
          <w:b w:val="false"/>
          <w:bCs/>
          <w:iCs/>
          <w:sz w:val="24"/>
          <w:szCs w:val="24"/>
          <w:shd w:fill="auto" w:val="clear"/>
        </w:rPr>
        <w:t>Куратор договора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sz w:val="24"/>
          <w:szCs w:val="24"/>
          <w:lang w:eastAsia="x-none"/>
        </w:rPr>
      </w:pPr>
      <w:r>
        <w:rPr>
          <w:rStyle w:val="Style8"/>
          <w:b w:val="false"/>
          <w:bCs/>
          <w:iCs/>
          <w:sz w:val="24"/>
          <w:szCs w:val="24"/>
          <w:shd w:fill="auto" w:val="clear"/>
        </w:rPr>
        <w:t>Начальник</w:t>
      </w:r>
      <w:r>
        <w:rPr>
          <w:rStyle w:val="Style8"/>
          <w:b w:val="false"/>
          <w:bCs/>
          <w:iCs/>
          <w:sz w:val="24"/>
          <w:szCs w:val="24"/>
          <w:shd w:fill="auto" w:val="clear"/>
        </w:rPr>
        <w:t xml:space="preserve"> СШТУ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sz w:val="24"/>
          <w:szCs w:val="24"/>
          <w:lang w:eastAsia="x-none"/>
        </w:rPr>
      </w:pPr>
      <w:r>
        <w:rPr>
          <w:rStyle w:val="Style8"/>
          <w:b w:val="false"/>
          <w:bCs/>
          <w:iCs/>
          <w:sz w:val="24"/>
          <w:szCs w:val="24"/>
          <w:shd w:fill="auto" w:val="clear"/>
        </w:rPr>
        <w:t>А.А. Сулеков                                         ________________</w:t>
      </w:r>
    </w:p>
    <w:p>
      <w:pPr>
        <w:pStyle w:val="Normal"/>
        <w:rPr>
          <w:sz w:val="24"/>
          <w:szCs w:val="24"/>
          <w:lang w:eastAsia="x-none"/>
        </w:rPr>
      </w:pPr>
      <w:r>
        <w:rPr/>
      </w:r>
      <w:bookmarkStart w:id="37" w:name="_Toc46743519_Копия_1"/>
      <w:bookmarkStart w:id="38" w:name="_Toc46743519_Копия_1"/>
      <w:bookmarkEnd w:id="38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4f0b32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f0b32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4f0b32"/>
    <w:rPr>
      <w:color w:val="605E5C"/>
      <w:shd w:fill="E1DFDD" w:val="clear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e2850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110">
    <w:name w:val="Цифровой список1"/>
    <w:basedOn w:val="Normal"/>
    <w:qFormat/>
    <w:pPr>
      <w:spacing w:before="120" w:after="0"/>
      <w:ind w:left="644" w:right="0" w:hanging="360"/>
      <w:jc w:val="both"/>
    </w:pPr>
    <w:rPr>
      <w:rFonts w:eastAsia="Calibri"/>
      <w:color w:val="000000"/>
      <w:sz w:val="24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9">
    <w:name w:val="WW8Num9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429C3-1F79-4F0A-990A-76A7E86E0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Application>AlterOffice/3.4.0.9$Linux_X86_64 LibreOffice_project/b8daf9e823b1a5463a2f48435ddc2e8696e7d4fc</Application>
  <AppVersion>15.0000</AppVersion>
  <Pages>10</Pages>
  <Words>1368</Words>
  <Characters>8598</Characters>
  <CharactersWithSpaces>9670</CharactersWithSpaces>
  <Paragraphs>359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2021-04-04T12:37:00Z</dcterms:created>
  <dc:creator>Быстров Олег Геннадьевич</dc:creator>
  <dc:description/>
  <dc:language>ru-RU</dc:language>
  <cp:lastModifiedBy>sulekovaa@corp.gidroogk.com</cp:lastModifiedBy>
  <cp:lastPrinted>2026-10-22T14:50:06Z</cp:lastPrinted>
  <dcterms:modified xsi:type="dcterms:W3CDTF">2026-10-22T15:29:12Z</dcterms:modified>
  <cp:revision>28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