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header4.xml" ContentType="application/vnd.openxmlformats-officedocument.wordprocessingml.header+xml"/>
  <Override PartName="/word/media/image1.wmf" ContentType="image/x-wmf"/>
  <Override PartName="/word/media/image2.wmf" ContentType="image/x-wmf"/>
  <Override PartName="/word/media/image3.wmf" ContentType="image/x-wmf"/>
  <Override PartName="/word/media/image4.wmf" ContentType="image/x-wmf"/>
  <Override PartName="/word/embeddings/oleObject1.bin" ContentType="application/vnd.openxmlformats-officedocument.oleObject"/>
  <Override PartName="/word/embeddings/oleObject2.doc" ContentType="application/msword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pacing w:before="5000" w:after="240"/>
        <w:jc w:val="center"/>
        <w:rPr/>
      </w:pPr>
      <w:r>
        <w:rPr>
          <w:rFonts w:eastAsia="Calibri"/>
          <w:b/>
          <w:caps/>
        </w:rPr>
        <w:t>Технические требования</w:t>
      </w:r>
    </w:p>
    <w:p>
      <w:pPr>
        <w:pStyle w:val="Normal"/>
        <w:keepNext w:val="true"/>
        <w:keepLines/>
        <w:spacing w:before="240" w:after="240"/>
        <w:jc w:val="center"/>
        <w:rPr/>
      </w:pPr>
      <w:bookmarkStart w:id="0" w:name="_Hlk225334339"/>
      <w:r>
        <w:rPr>
          <w:rFonts w:eastAsia="Calibri"/>
          <w:b/>
          <w:caps/>
        </w:rPr>
        <w:t xml:space="preserve"> </w:t>
      </w:r>
      <w:r>
        <w:rPr>
          <w:caps/>
        </w:rPr>
        <w:t>ОКПД2 28.99.39.190</w:t>
      </w:r>
      <w:r>
        <w:rPr>
          <w:caps/>
          <w:sz w:val="24"/>
          <w:szCs w:val="24"/>
        </w:rPr>
        <w:t xml:space="preserve"> </w:t>
      </w:r>
      <w:r>
        <w:rPr>
          <w:rFonts w:eastAsia="Calibri"/>
          <w:caps/>
        </w:rPr>
        <w:t>поставка оборудования и программного обеспечения с выполнением разработки рабочей документации, шеф-монтажных и пусконаладочных работ для модернизации автоматизированных систем управления технологическими процессами тепломеханического и электротехнического оборудования Владивостокской ТЭЦ-2 в г. владивостоке</w:t>
      </w:r>
      <w:bookmarkEnd w:id="0"/>
    </w:p>
    <w:p>
      <w:pPr>
        <w:pStyle w:val="Normal"/>
        <w:keepNext w:val="true"/>
        <w:keepLines/>
        <w:spacing w:before="240" w:after="240"/>
        <w:jc w:val="center"/>
        <w:rPr/>
      </w:pPr>
      <w:r>
        <w:rPr>
          <w:rFonts w:eastAsia="Calibri"/>
          <w:b/>
          <w:caps/>
        </w:rPr>
        <w:t>лот № 0048-КС ДОХ-2026-РГЦР-ВНутр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560"/>
              <w:tab w:val="clear" w:pos="9214"/>
              <w:tab w:val="right" w:pos="10063" w:leader="dot"/>
            </w:tabs>
            <w:rPr/>
          </w:pPr>
          <w:r>
            <w:fldChar w:fldCharType="begin"/>
          </w:r>
          <w:r>
            <w:rPr>
              <w:webHidden/>
              <w:rStyle w:val="Style15"/>
            </w:rPr>
            <w:instrText xml:space="preserve"> TOC \z \o "1-2" \u \h</w:instrText>
          </w:r>
          <w:r>
            <w:rPr>
              <w:webHidden/>
              <w:rStyle w:val="Style15"/>
            </w:rPr>
            <w:fldChar w:fldCharType="separate"/>
          </w:r>
          <w:hyperlink w:anchor="__RefHeading___Toc3330_3536327007">
            <w:r>
              <w:rPr>
                <w:webHidden/>
                <w:rStyle w:val="Style15"/>
              </w:rPr>
              <w:t>1. Общие сведения</w:t>
              <w:tab/>
              <w:t>3</w:t>
            </w:r>
          </w:hyperlink>
        </w:p>
        <w:p>
          <w:pPr>
            <w:pStyle w:val="TOC2"/>
            <w:tabs>
              <w:tab w:val="clear" w:pos="560"/>
              <w:tab w:val="clear" w:pos="10053"/>
              <w:tab w:val="right" w:pos="10063" w:leader="dot"/>
            </w:tabs>
            <w:rPr/>
          </w:pPr>
          <w:hyperlink w:anchor="__RefHeading___Toc3332_3536327007">
            <w:r>
              <w:rPr>
                <w:webHidden/>
                <w:rStyle w:val="Style15"/>
              </w:rPr>
              <w:t>1.1. Обозначения и сокращения</w:t>
              <w:tab/>
              <w:t>3</w:t>
            </w:r>
          </w:hyperlink>
        </w:p>
        <w:p>
          <w:pPr>
            <w:pStyle w:val="TOC2"/>
            <w:tabs>
              <w:tab w:val="clear" w:pos="560"/>
              <w:tab w:val="clear" w:pos="10053"/>
              <w:tab w:val="right" w:pos="10063" w:leader="dot"/>
            </w:tabs>
            <w:rPr/>
          </w:pPr>
          <w:hyperlink w:anchor="__RefHeading___Toc3334_3536327007">
            <w:r>
              <w:rPr>
                <w:webHidden/>
                <w:rStyle w:val="Style15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2"/>
            <w:tabs>
              <w:tab w:val="clear" w:pos="560"/>
              <w:tab w:val="clear" w:pos="10053"/>
              <w:tab w:val="right" w:pos="10063" w:leader="dot"/>
            </w:tabs>
            <w:rPr/>
          </w:pPr>
          <w:hyperlink w:anchor="__RefHeading___Toc3336_3536327007">
            <w:r>
              <w:rPr>
                <w:webHidden/>
                <w:rStyle w:val="Style15"/>
              </w:rPr>
              <w:t>1.3. Цель использования закупаемой продукции</w:t>
              <w:tab/>
              <w:t>3</w:t>
            </w:r>
          </w:hyperlink>
        </w:p>
        <w:p>
          <w:pPr>
            <w:pStyle w:val="TOC2"/>
            <w:tabs>
              <w:tab w:val="clear" w:pos="560"/>
              <w:tab w:val="clear" w:pos="10053"/>
              <w:tab w:val="right" w:pos="10063" w:leader="dot"/>
            </w:tabs>
            <w:rPr/>
          </w:pPr>
          <w:hyperlink w:anchor="__RefHeading___Toc3338_3536327007">
            <w:r>
              <w:rPr>
                <w:webHidden/>
                <w:rStyle w:val="Style15"/>
              </w:rPr>
              <w:t>1.4. Существующее положение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214"/>
              <w:tab w:val="right" w:pos="10063" w:leader="dot"/>
            </w:tabs>
            <w:rPr/>
          </w:pPr>
          <w:hyperlink w:anchor="__RefHeading___Toc3340_3536327007">
            <w:r>
              <w:rPr>
                <w:webHidden/>
                <w:rStyle w:val="Style15"/>
              </w:rPr>
              <w:t>2. Требования к продукции</w:t>
              <w:tab/>
              <w:t>3</w:t>
            </w:r>
          </w:hyperlink>
        </w:p>
        <w:p>
          <w:pPr>
            <w:pStyle w:val="TOC2"/>
            <w:tabs>
              <w:tab w:val="clear" w:pos="560"/>
              <w:tab w:val="clear" w:pos="10053"/>
              <w:tab w:val="right" w:pos="10063" w:leader="dot"/>
            </w:tabs>
            <w:rPr/>
          </w:pPr>
          <w:hyperlink w:anchor="__RefHeading___Toc3342_3536327007">
            <w:r>
              <w:rPr>
                <w:webHidden/>
                <w:rStyle w:val="Style15"/>
              </w:rPr>
              <w:t>2.1. Требования к объёмам и срокам поставки</w:t>
              <w:tab/>
              <w:t>3</w:t>
            </w:r>
          </w:hyperlink>
        </w:p>
        <w:p>
          <w:pPr>
            <w:pStyle w:val="TOC2"/>
            <w:tabs>
              <w:tab w:val="clear" w:pos="560"/>
              <w:tab w:val="clear" w:pos="10053"/>
              <w:tab w:val="right" w:pos="10063" w:leader="dot"/>
            </w:tabs>
            <w:rPr/>
          </w:pPr>
          <w:hyperlink w:anchor="__RefHeading___Toc3344_3536327007">
            <w:r>
              <w:rPr>
                <w:webHidden/>
                <w:rStyle w:val="Style15"/>
              </w:rPr>
              <w:t>2.2. Требования к продукции</w:t>
              <w:tab/>
              <w:t>6</w:t>
            </w:r>
          </w:hyperlink>
        </w:p>
        <w:p>
          <w:pPr>
            <w:pStyle w:val="TOC1"/>
            <w:tabs>
              <w:tab w:val="clear" w:pos="560"/>
              <w:tab w:val="clear" w:pos="9214"/>
              <w:tab w:val="right" w:pos="10063" w:leader="dot"/>
            </w:tabs>
            <w:rPr/>
          </w:pPr>
          <w:hyperlink w:anchor="__RefHeading___Toc3346_3536327007">
            <w:r>
              <w:rPr>
                <w:webHidden/>
                <w:rStyle w:val="Style15"/>
              </w:rPr>
              <w:t>3. Требования к документации по ценообразованию на этапе закупки</w:t>
              <w:tab/>
              <w:t>21</w:t>
            </w:r>
          </w:hyperlink>
        </w:p>
        <w:p>
          <w:pPr>
            <w:pStyle w:val="TOC1"/>
            <w:tabs>
              <w:tab w:val="clear" w:pos="560"/>
              <w:tab w:val="clear" w:pos="9214"/>
              <w:tab w:val="right" w:pos="10063" w:leader="dot"/>
            </w:tabs>
            <w:rPr/>
          </w:pPr>
          <w:hyperlink w:anchor="__RefHeading___Toc3348_3536327007">
            <w:r>
              <w:rPr>
                <w:webHidden/>
                <w:rStyle w:val="Style15"/>
              </w:rPr>
              <w:t>4. Требования к документации по ценообразованию на этапе заключения (исполнения) договора</w:t>
              <w:tab/>
              <w:t>21</w:t>
            </w:r>
          </w:hyperlink>
        </w:p>
        <w:p>
          <w:pPr>
            <w:pStyle w:val="TOC1"/>
            <w:tabs>
              <w:tab w:val="clear" w:pos="560"/>
              <w:tab w:val="clear" w:pos="9214"/>
              <w:tab w:val="right" w:pos="10063" w:leader="dot"/>
            </w:tabs>
            <w:rPr/>
          </w:pPr>
          <w:hyperlink w:anchor="__RefHeading___Toc3350_3536327007">
            <w:r>
              <w:rPr>
                <w:webHidden/>
                <w:rStyle w:val="Style15"/>
              </w:rPr>
              <w:t>5. Приложения</w:t>
              <w:tab/>
              <w:t>21</w:t>
            </w:r>
          </w:hyperlink>
          <w:r>
            <w:rPr>
              <w:rStyle w:val="Style15"/>
            </w:rPr>
            <w:fldChar w:fldCharType="end"/>
          </w:r>
        </w:p>
      </w:sdtContent>
    </w:sdt>
    <w:p>
      <w:pPr>
        <w:pStyle w:val="TOC1"/>
        <w:spacing w:before="120" w:after="0"/>
        <w:rPr>
          <w:rFonts w:cs="Calibri Light (Заголовки)"/>
          <w:b/>
          <w:bCs/>
          <w:sz w:val="24"/>
          <w:szCs w:val="24"/>
        </w:rPr>
      </w:pPr>
      <w:r>
        <w:rPr>
          <w:rFonts w:cs="Calibri Light (Заголовки)"/>
          <w:b/>
          <w:bCs/>
          <w:sz w:val="24"/>
          <w:szCs w:val="24"/>
        </w:rPr>
      </w:r>
    </w:p>
    <w:p>
      <w:pPr>
        <w:pStyle w:val="TOC1"/>
        <w:tabs>
          <w:tab w:val="clear" w:pos="560"/>
          <w:tab w:val="clear" w:pos="9214"/>
          <w:tab w:val="right" w:pos="10063" w:leader="dot"/>
        </w:tabs>
        <w:rPr/>
      </w:pPr>
      <w:r>
        <w:rPr/>
      </w:r>
    </w:p>
    <w:p>
      <w:pPr>
        <w:pStyle w:val="TOC1"/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" w:cs="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Heading2"/>
        <w:numPr>
          <w:ilvl w:val="0"/>
          <w:numId w:val="0"/>
        </w:numPr>
        <w:spacing w:before="0" w:after="60"/>
        <w:ind w:hanging="0" w:left="0"/>
        <w:rPr/>
      </w:pPr>
      <w:r>
        <w:rPr/>
      </w:r>
      <w:r>
        <w:br w:type="page"/>
      </w:r>
    </w:p>
    <w:p>
      <w:pPr>
        <w:pStyle w:val="Heading1"/>
        <w:numPr>
          <w:ilvl w:val="0"/>
          <w:numId w:val="7"/>
        </w:numPr>
        <w:ind w:hanging="360" w:left="567"/>
        <w:rPr/>
      </w:pPr>
      <w:bookmarkStart w:id="1" w:name="__RefHeading___Toc3330_3536327007"/>
      <w:bookmarkStart w:id="2" w:name="_Toc51339692"/>
      <w:bookmarkStart w:id="3" w:name="_Toc243557602"/>
      <w:bookmarkStart w:id="4" w:name="_Toc243288107"/>
      <w:bookmarkStart w:id="5" w:name="_Toc243031754"/>
      <w:bookmarkStart w:id="6" w:name="_Toc46743506"/>
      <w:bookmarkStart w:id="7" w:name="_Toc243028955"/>
      <w:bookmarkStart w:id="8" w:name="_Toc140766524"/>
      <w:bookmarkEnd w:id="1"/>
      <w:bookmarkEnd w:id="6"/>
      <w:r>
        <w:rPr/>
        <w:t>Общие сведения</w:t>
      </w:r>
      <w:bookmarkEnd w:id="2"/>
      <w:bookmarkEnd w:id="3"/>
      <w:bookmarkEnd w:id="4"/>
      <w:bookmarkEnd w:id="5"/>
      <w:bookmarkEnd w:id="7"/>
      <w:bookmarkEnd w:id="8"/>
    </w:p>
    <w:p>
      <w:pPr>
        <w:pStyle w:val="Heading2"/>
        <w:numPr>
          <w:ilvl w:val="1"/>
          <w:numId w:val="7"/>
        </w:numPr>
        <w:ind w:hanging="432" w:left="432"/>
        <w:rPr/>
      </w:pPr>
      <w:bookmarkStart w:id="9" w:name="__RefHeading___Toc3332_3536327007"/>
      <w:bookmarkStart w:id="10" w:name="_Toc243557603"/>
      <w:bookmarkStart w:id="11" w:name="_Toc243288108"/>
      <w:bookmarkStart w:id="12" w:name="_Toc140766525"/>
      <w:bookmarkStart w:id="13" w:name="_Toc243028956"/>
      <w:bookmarkStart w:id="14" w:name="_Toc243031755"/>
      <w:bookmarkEnd w:id="9"/>
      <w:r>
        <w:rPr/>
        <w:t>Обозначения и сокращения</w:t>
      </w:r>
      <w:bookmarkEnd w:id="10"/>
      <w:bookmarkEnd w:id="11"/>
      <w:bookmarkEnd w:id="12"/>
      <w:bookmarkEnd w:id="13"/>
      <w:bookmarkEnd w:id="14"/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358"/>
        <w:gridCol w:w="8704"/>
      </w:tblGrid>
      <w:tr>
        <w:trPr>
          <w:trHeight w:val="332" w:hRule="atLeast"/>
          <w:cantSplit w:val="true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АСУТП</w:t>
            </w:r>
          </w:p>
        </w:tc>
        <w:tc>
          <w:tcPr>
            <w:tcW w:w="8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Автоматизированная система управления технологических процессом</w:t>
            </w:r>
          </w:p>
        </w:tc>
      </w:tr>
      <w:tr>
        <w:trPr>
          <w:trHeight w:val="332" w:hRule="atLeast"/>
          <w:cantSplit w:val="true"/>
        </w:trPr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ГОСТ</w:t>
            </w:r>
          </w:p>
        </w:tc>
        <w:tc>
          <w:tcPr>
            <w:tcW w:w="8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Государственный стандарт</w:t>
            </w:r>
          </w:p>
        </w:tc>
      </w:tr>
      <w:tr>
        <w:trPr>
          <w:trHeight w:val="332" w:hRule="atLeast"/>
          <w:cantSplit w:val="true"/>
        </w:trPr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КИП</w:t>
            </w:r>
          </w:p>
        </w:tc>
        <w:tc>
          <w:tcPr>
            <w:tcW w:w="8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Контрольно-измерительные приборы</w:t>
            </w:r>
          </w:p>
        </w:tc>
      </w:tr>
      <w:tr>
        <w:trPr>
          <w:trHeight w:val="332" w:hRule="atLeast"/>
          <w:cantSplit w:val="true"/>
        </w:trPr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ТЭЦ</w:t>
            </w:r>
          </w:p>
        </w:tc>
        <w:tc>
          <w:tcPr>
            <w:tcW w:w="8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Теплоэлектроцентраль</w:t>
            </w:r>
          </w:p>
        </w:tc>
      </w:tr>
      <w:tr>
        <w:trPr>
          <w:trHeight w:val="332" w:hRule="atLeast"/>
          <w:cantSplit w:val="true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ТМО</w:t>
            </w:r>
          </w:p>
        </w:tc>
        <w:tc>
          <w:tcPr>
            <w:tcW w:w="8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Тепломеханическое оборудование</w:t>
            </w:r>
          </w:p>
        </w:tc>
      </w:tr>
      <w:tr>
        <w:trPr>
          <w:trHeight w:val="332" w:hRule="atLeast"/>
          <w:cantSplit w:val="true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ТУ</w:t>
            </w:r>
          </w:p>
        </w:tc>
        <w:tc>
          <w:tcPr>
            <w:tcW w:w="8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условия</w:t>
            </w:r>
          </w:p>
        </w:tc>
      </w:tr>
      <w:tr>
        <w:trPr>
          <w:trHeight w:val="322" w:hRule="atLeast"/>
          <w:cantSplit w:val="true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ТТ</w:t>
            </w:r>
          </w:p>
        </w:tc>
        <w:tc>
          <w:tcPr>
            <w:tcW w:w="8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trHeight w:val="322" w:hRule="atLeast"/>
          <w:cantSplit w:val="true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ПО</w:t>
            </w:r>
          </w:p>
        </w:tc>
        <w:tc>
          <w:tcPr>
            <w:tcW w:w="8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Программное обеспечение</w:t>
            </w:r>
          </w:p>
        </w:tc>
      </w:tr>
      <w:tr>
        <w:trPr>
          <w:trHeight w:val="322" w:hRule="atLeast"/>
          <w:cantSplit w:val="true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ЭТО</w:t>
            </w:r>
          </w:p>
        </w:tc>
        <w:tc>
          <w:tcPr>
            <w:tcW w:w="8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Электротехническое оборудование</w:t>
            </w:r>
          </w:p>
        </w:tc>
      </w:tr>
    </w:tbl>
    <w:p>
      <w:pPr>
        <w:pStyle w:val="Heading2"/>
        <w:numPr>
          <w:ilvl w:val="1"/>
          <w:numId w:val="7"/>
        </w:numPr>
        <w:ind w:hanging="432" w:left="432"/>
        <w:rPr/>
      </w:pPr>
      <w:bookmarkStart w:id="15" w:name="__RefHeading___Toc3334_3536327007"/>
      <w:bookmarkStart w:id="16" w:name="_Toc243557604"/>
      <w:bookmarkStart w:id="17" w:name="_Toc243031756"/>
      <w:bookmarkStart w:id="18" w:name="_Toc208411797"/>
      <w:bookmarkStart w:id="19" w:name="_Toc243028957"/>
      <w:bookmarkStart w:id="20" w:name="_Toc243288109"/>
      <w:bookmarkStart w:id="21" w:name="_Toc46743506_Копия_1"/>
      <w:bookmarkEnd w:id="15"/>
      <w:bookmarkEnd w:id="21"/>
      <w:r>
        <w:rPr/>
        <w:t>Наименование закупаемой продукции</w:t>
      </w:r>
      <w:bookmarkEnd w:id="16"/>
      <w:bookmarkEnd w:id="17"/>
      <w:bookmarkEnd w:id="18"/>
      <w:bookmarkEnd w:id="19"/>
      <w:bookmarkEnd w:id="20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/>
      </w:pPr>
      <w:r>
        <w:rPr>
          <w:rFonts w:eastAsia="Calibri"/>
          <w:bCs/>
          <w:sz w:val="24"/>
          <w:szCs w:val="24"/>
          <w:lang w:eastAsia="x-none"/>
        </w:rPr>
        <w:t>ОКПД2 28.99.39.190 Поставка оборудования и программного обеспечения с выполнением разработки рабочей документации, шеф-монтажных и пусконаладочных работ для модернизации автоматизированных систем управления технологическими процессами тепломеханического и электротехнического оборудования Владивостокской ТЭЦ-2 в г. Владивостоке</w:t>
      </w:r>
    </w:p>
    <w:p>
      <w:pPr>
        <w:pStyle w:val="Heading2"/>
        <w:numPr>
          <w:ilvl w:val="1"/>
          <w:numId w:val="7"/>
        </w:numPr>
        <w:ind w:hanging="432" w:left="432"/>
        <w:rPr/>
      </w:pPr>
      <w:bookmarkStart w:id="22" w:name="__RefHeading___Toc3336_3536327007"/>
      <w:bookmarkStart w:id="23" w:name="_Toc243028958"/>
      <w:bookmarkStart w:id="24" w:name="_Toc243557605"/>
      <w:bookmarkStart w:id="25" w:name="_Toc243031757"/>
      <w:bookmarkStart w:id="26" w:name="_Toc243288110"/>
      <w:bookmarkStart w:id="27" w:name="_Toc46743507"/>
      <w:bookmarkStart w:id="28" w:name="_Hlk206509584_Копия_1"/>
      <w:bookmarkStart w:id="29" w:name="_Toc208411798"/>
      <w:bookmarkEnd w:id="22"/>
      <w:bookmarkEnd w:id="28"/>
      <w:r>
        <w:rPr/>
        <w:t xml:space="preserve">Цель </w:t>
      </w:r>
      <w:bookmarkEnd w:id="27"/>
      <w:r>
        <w:rPr/>
        <w:t>использования закупаемой продукции</w:t>
      </w:r>
      <w:bookmarkEnd w:id="23"/>
      <w:bookmarkEnd w:id="24"/>
      <w:bookmarkEnd w:id="25"/>
      <w:bookmarkEnd w:id="26"/>
      <w:bookmarkEnd w:id="29"/>
      <w:r>
        <w:rPr/>
        <w:t xml:space="preserve"> 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Создание единого интеллектуального контура управления турбоагрегатом и котлоагрегатом, который гарантирует стабильную выработку электроэнергии и тепла, минимизирует риски аварий и обеспечивает соответствие требованиям промышленной и энергетической безопасности при вводе нового оборудования.</w:t>
      </w:r>
      <w:bookmarkStart w:id="30" w:name="_Toc46743508"/>
      <w:bookmarkStart w:id="31" w:name="_Toc208411799"/>
    </w:p>
    <w:p>
      <w:pPr>
        <w:pStyle w:val="Heading2"/>
        <w:numPr>
          <w:ilvl w:val="1"/>
          <w:numId w:val="7"/>
        </w:numPr>
        <w:ind w:hanging="432" w:left="432"/>
        <w:jc w:val="both"/>
        <w:rPr/>
      </w:pPr>
      <w:bookmarkStart w:id="32" w:name="__RefHeading___Toc3338_3536327007"/>
      <w:bookmarkStart w:id="33" w:name="_Toc243557606"/>
      <w:bookmarkStart w:id="34" w:name="_Toc243028959"/>
      <w:bookmarkStart w:id="35" w:name="_Toc243031758"/>
      <w:bookmarkStart w:id="36" w:name="_Toc243288111"/>
      <w:bookmarkEnd w:id="30"/>
      <w:bookmarkEnd w:id="31"/>
      <w:bookmarkEnd w:id="32"/>
      <w:r>
        <w:rPr/>
        <w:t>Существующее положение</w:t>
      </w:r>
      <w:bookmarkEnd w:id="33"/>
      <w:bookmarkEnd w:id="34"/>
      <w:bookmarkEnd w:id="35"/>
      <w:bookmarkEnd w:id="36"/>
    </w:p>
    <w:p>
      <w:pPr>
        <w:pStyle w:val="Normal"/>
        <w:ind w:firstLine="709"/>
        <w:jc w:val="both"/>
        <w:rPr/>
      </w:pPr>
      <w:r>
        <w:rPr>
          <w:sz w:val="24"/>
          <w:szCs w:val="24"/>
        </w:rPr>
        <w:t>Поставка оборудования и программного обеспечения с выполнением разработки рабочей документации, шеф-монтажных и пусконаладочных работ выполняется в рамках реализации проекта «Реконструкция энергетического производственно-технологического комплекса Владивостокской ТЭЦ-2 с заменой турбоагрегатов ст. №№1, 2, 3 и установкой 3 котлоагрегатов по 540 т/ч каждый».</w:t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1"/>
        <w:numPr>
          <w:ilvl w:val="0"/>
          <w:numId w:val="7"/>
        </w:numPr>
        <w:ind w:hanging="360" w:left="567"/>
        <w:jc w:val="center"/>
        <w:rPr>
          <w:caps/>
          <w:lang w:val="ru-RU"/>
        </w:rPr>
      </w:pPr>
      <w:bookmarkStart w:id="37" w:name="__RefHeading___Toc3340_3536327007"/>
      <w:bookmarkStart w:id="38" w:name="_Toc51339693"/>
      <w:bookmarkStart w:id="39" w:name="_Toc243557607"/>
      <w:bookmarkStart w:id="40" w:name="_Toc243028960"/>
      <w:bookmarkStart w:id="41" w:name="_Toc243031759"/>
      <w:bookmarkStart w:id="42" w:name="_Toc243288112"/>
      <w:bookmarkEnd w:id="37"/>
      <w:r>
        <w:rPr/>
        <w:t>Требования к продукции</w:t>
      </w:r>
      <w:bookmarkEnd w:id="38"/>
      <w:bookmarkEnd w:id="39"/>
      <w:bookmarkEnd w:id="40"/>
      <w:bookmarkEnd w:id="41"/>
      <w:bookmarkEnd w:id="42"/>
    </w:p>
    <w:p>
      <w:pPr>
        <w:pStyle w:val="Heading2"/>
        <w:numPr>
          <w:ilvl w:val="1"/>
          <w:numId w:val="7"/>
        </w:numPr>
        <w:ind w:hanging="432" w:left="432"/>
        <w:rPr/>
      </w:pPr>
      <w:bookmarkStart w:id="43" w:name="__RefHeading___Toc3342_3536327007"/>
      <w:bookmarkStart w:id="44" w:name="_Toc243557608"/>
      <w:bookmarkStart w:id="45" w:name="_Toc243288113"/>
      <w:bookmarkStart w:id="46" w:name="_Toc243031760"/>
      <w:bookmarkStart w:id="47" w:name="_Toc243028961"/>
      <w:bookmarkEnd w:id="43"/>
      <w:r>
        <w:rPr/>
        <w:t xml:space="preserve">Требования к объёмам и срокам </w:t>
      </w:r>
      <w:r>
        <w:rPr>
          <w:lang w:val="ru-RU"/>
        </w:rPr>
        <w:t>поставки</w:t>
      </w:r>
      <w:bookmarkEnd w:id="44"/>
      <w:bookmarkEnd w:id="45"/>
      <w:bookmarkEnd w:id="46"/>
      <w:bookmarkEnd w:id="47"/>
    </w:p>
    <w:p>
      <w:pPr>
        <w:pStyle w:val="Heading3"/>
        <w:numPr>
          <w:ilvl w:val="2"/>
          <w:numId w:val="7"/>
        </w:numPr>
        <w:ind w:hanging="504" w:left="567"/>
        <w:rPr/>
      </w:pPr>
      <w:bookmarkStart w:id="48" w:name="_Toc243288114"/>
      <w:bookmarkStart w:id="49" w:name="_Toc243031761"/>
      <w:bookmarkStart w:id="50" w:name="_Toc243028962"/>
      <w:bookmarkStart w:id="51" w:name="_Toc228109345"/>
      <w:r>
        <w:rPr/>
        <w:t>Перечень и объем закупаемой продукции</w:t>
      </w:r>
      <w:bookmarkEnd w:id="48"/>
      <w:bookmarkEnd w:id="49"/>
      <w:bookmarkEnd w:id="50"/>
      <w:bookmarkEnd w:id="51"/>
    </w:p>
    <w:p>
      <w:pPr>
        <w:pStyle w:val="Normal"/>
        <w:ind w:hanging="504" w:left="567"/>
        <w:rPr/>
      </w:pPr>
      <w:r>
        <w:rPr/>
      </w:r>
    </w:p>
    <w:p>
      <w:pPr>
        <w:pStyle w:val="Normal"/>
        <w:jc w:val="right"/>
        <w:rPr>
          <w:rStyle w:val="Blk"/>
          <w:sz w:val="24"/>
          <w:szCs w:val="24"/>
        </w:rPr>
      </w:pPr>
      <w:r>
        <w:rPr>
          <w:rStyle w:val="Blk"/>
          <w:sz w:val="24"/>
          <w:szCs w:val="24"/>
        </w:rPr>
        <w:t>Таблица 1.1 Перечень и объем закупаемой продукции</w:t>
      </w:r>
    </w:p>
    <w:tbl>
      <w:tblPr>
        <w:tblpPr w:vertAnchor="text" w:horzAnchor="text" w:leftFromText="180" w:rightFromText="180" w:tblpX="54" w:tblpY="162"/>
        <w:tblW w:w="5000" w:type="pct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36"/>
        <w:gridCol w:w="5739"/>
        <w:gridCol w:w="1883"/>
        <w:gridCol w:w="1804"/>
      </w:tblGrid>
      <w:tr>
        <w:trPr>
          <w:trHeight w:val="441" w:hRule="atLeast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5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продукции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Количество</w:t>
            </w:r>
          </w:p>
        </w:tc>
      </w:tr>
      <w:tr>
        <w:trPr>
          <w:trHeight w:val="215" w:hRule="atLeast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>
        <w:trPr>
          <w:trHeight w:val="215" w:hRule="atLeast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ListParagraph"/>
              <w:numPr>
                <w:ilvl w:val="0"/>
                <w:numId w:val="5"/>
              </w:numPr>
              <w:rPr>
                <w:iCs/>
                <w:lang w:val="en-US"/>
              </w:rPr>
            </w:pPr>
            <w:r>
              <w:rPr>
                <w:iCs/>
                <w:lang w:val="en-US"/>
              </w:rPr>
            </w:r>
          </w:p>
        </w:tc>
        <w:tc>
          <w:tcPr>
            <w:tcW w:w="9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ОКПД2 28.99.39.190 Поставка оборудования и программного обеспечения с выполнением разработки рабочей документации, шеф-монтажных и пусконаладочных работ для модернизации автоматизированных систем управления технологическими процессами тепломеханического и электротехнического оборудования Владивостокской ТЭЦ-2 в г. Владивостоке</w:t>
            </w:r>
            <w:r>
              <w:rPr>
                <w:iCs/>
                <w:sz w:val="24"/>
                <w:szCs w:val="24"/>
              </w:rPr>
              <w:t xml:space="preserve">, а именно: </w:t>
            </w:r>
          </w:p>
        </w:tc>
      </w:tr>
      <w:tr>
        <w:trPr>
          <w:trHeight w:val="50" w:hRule="atLeast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1"/>
                <w:numId w:val="5"/>
              </w:numPr>
              <w:spacing w:before="0" w:after="0"/>
              <w:ind w:hanging="0" w:left="0"/>
              <w:contextualSpacing w:val="false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5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Оборудование и ПО АСУТП ТМО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компл.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</w:tr>
      <w:tr>
        <w:trPr>
          <w:trHeight w:val="215" w:hRule="atLeast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1"/>
                <w:numId w:val="5"/>
              </w:numPr>
              <w:spacing w:before="0" w:after="0"/>
              <w:ind w:hanging="0" w:left="0"/>
              <w:contextualSpacing w:val="false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5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Оборудования и ПО АСУТП ЭТО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компл.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</w:tr>
    </w:tbl>
    <w:p>
      <w:pPr>
        <w:pStyle w:val="Normal"/>
        <w:jc w:val="right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jc w:val="right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Heading3"/>
        <w:numPr>
          <w:ilvl w:val="2"/>
          <w:numId w:val="7"/>
        </w:numPr>
        <w:ind w:hanging="504" w:left="567"/>
        <w:rPr>
          <w:lang w:val="ru-RU"/>
        </w:rPr>
      </w:pPr>
      <w:bookmarkStart w:id="52" w:name="_Toc243288115"/>
      <w:bookmarkStart w:id="53" w:name="_Toc243031762"/>
      <w:bookmarkStart w:id="54" w:name="_Toc243028964"/>
      <w:bookmarkStart w:id="55" w:name="_Hlk136004283"/>
      <w:bookmarkEnd w:id="54"/>
      <w:bookmarkEnd w:id="55"/>
      <w:r>
        <w:rPr>
          <w:lang w:val="ru-RU"/>
        </w:rPr>
        <w:t>Перечень и объем закупаемых сопутствующих работ</w:t>
      </w:r>
      <w:bookmarkEnd w:id="52"/>
      <w:bookmarkEnd w:id="53"/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Таблица 1.2 Перечень и объем закупаемых сопутствующих работ</w:t>
      </w:r>
    </w:p>
    <w:tbl>
      <w:tblPr>
        <w:tblW w:w="5000" w:type="pct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02"/>
        <w:gridCol w:w="5805"/>
        <w:gridCol w:w="1777"/>
        <w:gridCol w:w="1778"/>
      </w:tblGrid>
      <w:tr>
        <w:trPr>
          <w:trHeight w:val="441" w:hRule="atLeast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</w:t>
            </w:r>
            <w:r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продукции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</w:t>
            </w:r>
          </w:p>
        </w:tc>
      </w:tr>
      <w:tr>
        <w:trPr>
          <w:trHeight w:val="215" w:hRule="atLeast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>
        <w:trPr>
          <w:trHeight w:val="215" w:hRule="atLeast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ListParagraph"/>
              <w:numPr>
                <w:ilvl w:val="0"/>
                <w:numId w:val="8"/>
              </w:numPr>
              <w:rPr>
                <w:iCs/>
                <w:lang w:val="en-US"/>
              </w:rPr>
            </w:pPr>
            <w:r>
              <w:rPr>
                <w:iCs/>
                <w:lang w:val="en-US"/>
              </w:rPr>
            </w:r>
          </w:p>
        </w:tc>
        <w:tc>
          <w:tcPr>
            <w:tcW w:w="9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eastAsia="x-none"/>
              </w:rPr>
              <w:t>ОКПД2 28.99.39.190 Поставка оборудования и программного обеспечения с выполнением разработки рабочей документации, шеф-монтажных и пусконаладочных работ для модернизации автоматизированных систем управления технологическими процессами тепломеханического и электротехнического оборудования Владивостокской ТЭЦ-2 в г. Владивостоке</w:t>
            </w:r>
            <w:r>
              <w:rPr>
                <w:iCs/>
                <w:sz w:val="24"/>
                <w:szCs w:val="24"/>
              </w:rPr>
              <w:t xml:space="preserve">, а именно: </w:t>
            </w:r>
          </w:p>
        </w:tc>
      </w:tr>
      <w:tr>
        <w:trPr>
          <w:trHeight w:val="50" w:hRule="atLeast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ListParagraph"/>
              <w:numPr>
                <w:ilvl w:val="1"/>
                <w:numId w:val="8"/>
              </w:numPr>
              <w:spacing w:before="0" w:after="0"/>
              <w:ind w:hanging="0" w:left="0"/>
              <w:contextualSpacing w:val="false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rPr>
                <w:rFonts w:eastAsia="Calibri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Разработка рабочей документации, в том числе: 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>
          <w:trHeight w:val="215" w:hRule="atLeast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2"/>
                <w:numId w:val="8"/>
              </w:numPr>
              <w:spacing w:before="0" w:after="0"/>
              <w:ind w:hanging="0" w:left="0"/>
              <w:contextualSpacing w:val="false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eastAsia="Calibri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АСУТП ТМО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компл.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</w:tr>
      <w:tr>
        <w:trPr>
          <w:trHeight w:val="215" w:hRule="atLeast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2"/>
                <w:numId w:val="8"/>
              </w:numPr>
              <w:spacing w:before="0" w:after="0"/>
              <w:ind w:hanging="0" w:left="0"/>
              <w:contextualSpacing w:val="false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АСУТП ЭТО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компл.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</w:tr>
      <w:tr>
        <w:trPr>
          <w:trHeight w:val="215" w:hRule="atLeast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ListParagraph"/>
              <w:numPr>
                <w:ilvl w:val="1"/>
                <w:numId w:val="8"/>
              </w:numPr>
              <w:spacing w:before="0" w:after="0"/>
              <w:ind w:hanging="0" w:left="0"/>
              <w:contextualSpacing w:val="false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rPr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Шеф-монтаж, в том числе: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>
          <w:trHeight w:val="215" w:hRule="atLeast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2"/>
                <w:numId w:val="8"/>
              </w:numPr>
              <w:spacing w:before="0" w:after="0"/>
              <w:ind w:hanging="0" w:left="0"/>
              <w:contextualSpacing w:val="false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eastAsia="Calibri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АСУТП ТМО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ед.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</w:tr>
      <w:tr>
        <w:trPr>
          <w:trHeight w:val="215" w:hRule="atLeast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2"/>
                <w:numId w:val="8"/>
              </w:numPr>
              <w:spacing w:before="0" w:after="0"/>
              <w:ind w:hanging="0" w:left="0"/>
              <w:contextualSpacing w:val="false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eastAsia="Calibri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АСУТП ЭТО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ед.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</w:tr>
      <w:tr>
        <w:trPr>
          <w:trHeight w:val="215" w:hRule="atLeast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ListParagraph"/>
              <w:numPr>
                <w:ilvl w:val="1"/>
                <w:numId w:val="8"/>
              </w:numPr>
              <w:spacing w:before="0" w:after="0"/>
              <w:ind w:hanging="0" w:left="0"/>
              <w:contextualSpacing w:val="false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Пусконаладочные работы, в том числе: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>
          <w:trHeight w:val="215" w:hRule="atLeast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2"/>
                <w:numId w:val="8"/>
              </w:numPr>
              <w:spacing w:before="0" w:after="0"/>
              <w:ind w:hanging="0" w:left="0"/>
              <w:contextualSpacing w:val="false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eastAsia="Calibri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АСУТП ТМО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ед.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</w:tr>
      <w:tr>
        <w:trPr>
          <w:trHeight w:val="215" w:hRule="atLeast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2"/>
                <w:numId w:val="8"/>
              </w:numPr>
              <w:spacing w:before="0" w:after="0"/>
              <w:ind w:hanging="0" w:left="0"/>
              <w:contextualSpacing w:val="false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i/>
                <w:i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АСУТП ЭТО (</w:t>
            </w:r>
            <w:r>
              <w:rPr>
                <w:i/>
                <w:iCs/>
                <w:sz w:val="24"/>
                <w:szCs w:val="24"/>
              </w:rPr>
              <w:t>АСЭ СДПМ, СОШ, ЦППС)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ед.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</w:tr>
    </w:tbl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3"/>
        <w:numPr>
          <w:ilvl w:val="2"/>
          <w:numId w:val="7"/>
        </w:numPr>
        <w:ind w:hanging="504" w:left="567"/>
        <w:rPr>
          <w:lang w:val="en-US"/>
        </w:rPr>
      </w:pPr>
      <w:bookmarkStart w:id="56" w:name="_Toc243288116"/>
      <w:bookmarkStart w:id="57" w:name="_Toc243031763"/>
      <w:bookmarkStart w:id="58" w:name="_Toc243028964_Копия_1"/>
      <w:bookmarkStart w:id="59" w:name="_Toc243028966"/>
      <w:bookmarkStart w:id="60" w:name="_Hlk225852926_Копия_1"/>
      <w:bookmarkStart w:id="61" w:name="_Toc46743510_Копия_1"/>
      <w:bookmarkStart w:id="62" w:name="_Hlk225852926"/>
      <w:bookmarkStart w:id="63" w:name="_Toc50125126_Копия_1"/>
      <w:bookmarkEnd w:id="58"/>
      <w:bookmarkEnd w:id="59"/>
      <w:bookmarkEnd w:id="60"/>
      <w:bookmarkEnd w:id="61"/>
      <w:bookmarkEnd w:id="62"/>
      <w:bookmarkEnd w:id="63"/>
      <w:r>
        <w:rPr>
          <w:lang w:val="en-US"/>
        </w:rPr>
        <w:t>Требования по срокам поставки продукции</w:t>
      </w:r>
      <w:bookmarkEnd w:id="56"/>
      <w:bookmarkEnd w:id="57"/>
    </w:p>
    <w:p>
      <w:pPr>
        <w:pStyle w:val="Normal"/>
        <w:rPr>
          <w:lang w:val="en-US" w:eastAsia="x-none"/>
        </w:rPr>
      </w:pPr>
      <w:r>
        <w:rPr>
          <w:lang w:val="en-US" w:eastAsia="x-none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Таблица 1.1 Требования по срокам поставки продукции</w:t>
      </w:r>
    </w:p>
    <w:tbl>
      <w:tblPr>
        <w:tblW w:w="5000" w:type="pct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36"/>
        <w:gridCol w:w="5871"/>
        <w:gridCol w:w="1777"/>
        <w:gridCol w:w="1778"/>
      </w:tblGrid>
      <w:tr>
        <w:trPr>
          <w:trHeight w:val="441" w:hRule="atLeast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</w:t>
            </w:r>
            <w:r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продукции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началу срока поставки продукции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окончанию срока поставки продукции</w:t>
            </w:r>
          </w:p>
        </w:tc>
      </w:tr>
      <w:tr>
        <w:trPr>
          <w:trHeight w:val="215" w:hRule="atLeast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>
        <w:trPr>
          <w:trHeight w:val="215" w:hRule="atLeast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ListParagraph"/>
              <w:numPr>
                <w:ilvl w:val="0"/>
                <w:numId w:val="9"/>
              </w:numPr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</w:r>
          </w:p>
        </w:tc>
        <w:tc>
          <w:tcPr>
            <w:tcW w:w="9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ОКПД2 </w:t>
            </w:r>
            <w:r>
              <w:rPr>
                <w:rFonts w:eastAsia="Calibri"/>
                <w:bCs/>
                <w:sz w:val="24"/>
                <w:szCs w:val="24"/>
                <w:lang w:eastAsia="x-none"/>
              </w:rPr>
              <w:t xml:space="preserve">28.99.39.190 </w:t>
            </w:r>
            <w:r>
              <w:rPr>
                <w:iCs/>
                <w:sz w:val="24"/>
                <w:szCs w:val="24"/>
              </w:rPr>
              <w:t xml:space="preserve">Поставка оборудования и программного обеспечения с выполнением разработки рабочей документации, шеф-монтажных и пусконаладочных работ для модернизации автоматизированных систем управления технологическими процессами  тепломеханического и  электротехнического оборудования Владивостокской ТЭЦ-2 в г. Владивостоке, а именно: </w:t>
            </w:r>
          </w:p>
        </w:tc>
      </w:tr>
      <w:tr>
        <w:trPr>
          <w:trHeight w:val="50" w:hRule="atLeast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ListParagraph"/>
              <w:numPr>
                <w:ilvl w:val="1"/>
                <w:numId w:val="9"/>
              </w:numPr>
              <w:spacing w:before="0" w:after="0"/>
              <w:ind w:hanging="0" w:left="0"/>
              <w:contextualSpacing w:val="false"/>
              <w:jc w:val="center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Оборудование и ПО АСУТП ТМО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 течение 90 календарных дней с даты заключения договора</w:t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3"/>
        <w:numPr>
          <w:ilvl w:val="2"/>
          <w:numId w:val="7"/>
        </w:numPr>
        <w:ind w:hanging="504" w:left="567"/>
        <w:rPr/>
      </w:pPr>
      <w:bookmarkStart w:id="64" w:name="_Toc243028967"/>
      <w:bookmarkStart w:id="65" w:name="_Toc243031764"/>
      <w:bookmarkStart w:id="66" w:name="_Toc243288117"/>
      <w:bookmarkStart w:id="67" w:name="_Toc243028966_Копия_1"/>
      <w:bookmarkEnd w:id="67"/>
      <w:r>
        <w:rPr>
          <w:lang w:val="ru-RU"/>
        </w:rPr>
        <w:t>Требования по срокам оказания сопутствующих услуг</w:t>
      </w:r>
      <w:bookmarkEnd w:id="65"/>
      <w:bookmarkEnd w:id="66"/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Таблица 2.2 Требования по срокам оказания сопутствующих услуг</w:t>
      </w:r>
    </w:p>
    <w:tbl>
      <w:tblPr>
        <w:tblW w:w="5000" w:type="pct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35"/>
        <w:gridCol w:w="5872"/>
        <w:gridCol w:w="1777"/>
        <w:gridCol w:w="1778"/>
      </w:tblGrid>
      <w:tr>
        <w:trPr>
          <w:tblHeader w:val="true"/>
          <w:trHeight w:val="441" w:hRule="atLeast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</w:t>
            </w:r>
            <w:r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продукции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началу срока поставки продукции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окончанию срока поставки продукции</w:t>
            </w:r>
          </w:p>
        </w:tc>
      </w:tr>
      <w:tr>
        <w:trPr>
          <w:tblHeader w:val="true"/>
          <w:trHeight w:val="215" w:hRule="atLeast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>
        <w:trPr>
          <w:trHeight w:val="215" w:hRule="atLeast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ListParagraph"/>
              <w:numPr>
                <w:ilvl w:val="0"/>
                <w:numId w:val="10"/>
              </w:numPr>
              <w:rPr>
                <w:iCs/>
                <w:lang w:val="en-US"/>
              </w:rPr>
            </w:pPr>
            <w:r>
              <w:rPr>
                <w:iCs/>
                <w:lang w:val="en-US"/>
              </w:rPr>
            </w:r>
          </w:p>
        </w:tc>
        <w:tc>
          <w:tcPr>
            <w:tcW w:w="94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ОКПД2 </w:t>
            </w:r>
            <w:r>
              <w:rPr>
                <w:rFonts w:eastAsia="Calibri"/>
                <w:bCs/>
                <w:sz w:val="24"/>
                <w:szCs w:val="24"/>
                <w:lang w:eastAsia="x-none"/>
              </w:rPr>
              <w:t xml:space="preserve">28.99.39.190 </w:t>
            </w:r>
            <w:r>
              <w:rPr>
                <w:iCs/>
                <w:sz w:val="24"/>
                <w:szCs w:val="24"/>
              </w:rPr>
              <w:t xml:space="preserve">Поставка оборудования и программного обеспечения с выполнением разработки рабочей документации, шеф-монтажных и пусконаладочных работ для модернизации автоматизированных систем управления технологическими процессами  тепломеханического и  электротехнического оборудования Владивостокской ТЭЦ-2 в г. Владивостоке, а именно: </w:t>
            </w:r>
          </w:p>
        </w:tc>
      </w:tr>
      <w:tr>
        <w:trPr>
          <w:trHeight w:val="50" w:hRule="atLeast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ListParagraph"/>
              <w:numPr>
                <w:ilvl w:val="1"/>
                <w:numId w:val="10"/>
              </w:numPr>
              <w:spacing w:before="0" w:after="0"/>
              <w:ind w:hanging="0" w:left="0"/>
              <w:contextualSpacing w:val="false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rPr>
                <w:rFonts w:eastAsia="Calibri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Разработка рабочей документации, в том числе: </w:t>
            </w:r>
          </w:p>
        </w:tc>
        <w:tc>
          <w:tcPr>
            <w:tcW w:w="1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1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 течение 300 календарных дней с даты заключения договора</w:t>
            </w:r>
          </w:p>
        </w:tc>
      </w:tr>
      <w:tr>
        <w:trPr>
          <w:trHeight w:val="215" w:hRule="atLeast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2"/>
                <w:numId w:val="10"/>
              </w:numPr>
              <w:spacing w:before="0" w:after="0"/>
              <w:ind w:hanging="0" w:left="0"/>
              <w:contextualSpacing w:val="false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eastAsia="Calibri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АСУТП ТМО</w:t>
            </w:r>
          </w:p>
        </w:tc>
        <w:tc>
          <w:tcPr>
            <w:tcW w:w="17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>
          <w:trHeight w:val="215" w:hRule="atLeast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2"/>
                <w:numId w:val="10"/>
              </w:numPr>
              <w:spacing w:before="0" w:after="0"/>
              <w:ind w:hanging="0" w:left="0"/>
              <w:contextualSpacing w:val="false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АСУТП ЭТО</w:t>
            </w:r>
          </w:p>
        </w:tc>
        <w:tc>
          <w:tcPr>
            <w:tcW w:w="17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>
          <w:trHeight w:val="215" w:hRule="atLeast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ListParagraph"/>
              <w:numPr>
                <w:ilvl w:val="1"/>
                <w:numId w:val="10"/>
              </w:numPr>
              <w:spacing w:before="0" w:after="0"/>
              <w:ind w:hanging="0" w:left="0"/>
              <w:contextualSpacing w:val="false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rPr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Шеф-монтаж, в том числе:</w:t>
            </w:r>
          </w:p>
        </w:tc>
        <w:tc>
          <w:tcPr>
            <w:tcW w:w="1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1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 течение 350 календарных дней с даты заключения договора</w:t>
            </w:r>
          </w:p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>
          <w:trHeight w:val="215" w:hRule="atLeast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2"/>
                <w:numId w:val="10"/>
              </w:numPr>
              <w:spacing w:before="0" w:after="0"/>
              <w:ind w:hanging="0" w:left="0"/>
              <w:contextualSpacing w:val="false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eastAsia="Calibri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АСУТП ТМО</w:t>
            </w:r>
          </w:p>
        </w:tc>
        <w:tc>
          <w:tcPr>
            <w:tcW w:w="177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1778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>
          <w:trHeight w:val="215" w:hRule="atLeast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2"/>
                <w:numId w:val="10"/>
              </w:numPr>
              <w:spacing w:before="0" w:after="0"/>
              <w:ind w:hanging="0" w:left="0"/>
              <w:contextualSpacing w:val="false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eastAsia="Calibri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АСУТП ЭТО</w:t>
            </w:r>
          </w:p>
        </w:tc>
        <w:tc>
          <w:tcPr>
            <w:tcW w:w="177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177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>
          <w:trHeight w:val="215" w:hRule="atLeast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ListParagraph"/>
              <w:numPr>
                <w:ilvl w:val="1"/>
                <w:numId w:val="10"/>
              </w:numPr>
              <w:spacing w:before="0" w:after="0"/>
              <w:ind w:hanging="0" w:left="0"/>
              <w:contextualSpacing w:val="false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Пусконаладочные работы, в том числе:</w:t>
            </w:r>
          </w:p>
        </w:tc>
        <w:tc>
          <w:tcPr>
            <w:tcW w:w="1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1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 течение 400 календарных дней с даты заключения договора</w:t>
            </w:r>
          </w:p>
        </w:tc>
      </w:tr>
      <w:tr>
        <w:trPr>
          <w:trHeight w:val="215" w:hRule="atLeast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2"/>
                <w:numId w:val="10"/>
              </w:numPr>
              <w:spacing w:before="0" w:after="0"/>
              <w:ind w:hanging="0" w:left="0"/>
              <w:contextualSpacing w:val="false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eastAsia="Calibri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АСУТП ТМО</w:t>
            </w:r>
          </w:p>
        </w:tc>
        <w:tc>
          <w:tcPr>
            <w:tcW w:w="177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1778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>
          <w:trHeight w:val="215" w:hRule="atLeast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2"/>
                <w:numId w:val="10"/>
              </w:numPr>
              <w:spacing w:before="0" w:after="0"/>
              <w:ind w:hanging="0" w:left="0"/>
              <w:contextualSpacing w:val="false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i/>
                <w:i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АСУТП ЭТО (</w:t>
            </w:r>
            <w:r>
              <w:rPr>
                <w:i/>
                <w:iCs/>
                <w:sz w:val="24"/>
                <w:szCs w:val="24"/>
              </w:rPr>
              <w:t>АСЭ СДПМ, СОШ, ЦППС)</w:t>
            </w:r>
          </w:p>
        </w:tc>
        <w:tc>
          <w:tcPr>
            <w:tcW w:w="177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177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</w:tbl>
    <w:p>
      <w:pPr>
        <w:sectPr>
          <w:headerReference w:type="default" r:id="rId2"/>
          <w:footerReference w:type="default" r:id="rId3"/>
          <w:type w:val="nextPage"/>
          <w:pgSz w:w="11906" w:h="16838"/>
          <w:pgMar w:left="1134" w:right="709" w:gutter="0" w:header="0" w:top="567" w:footer="567" w:bottom="624"/>
          <w:pgNumType w:fmt="decimal"/>
          <w:formProt w:val="false"/>
          <w:textDirection w:val="lrTb"/>
          <w:docGrid w:type="default" w:linePitch="381" w:charSpace="0"/>
        </w:sectPr>
      </w:pPr>
    </w:p>
    <w:p>
      <w:pPr>
        <w:pStyle w:val="Heading2"/>
        <w:numPr>
          <w:ilvl w:val="1"/>
          <w:numId w:val="7"/>
        </w:numPr>
        <w:ind w:hanging="432" w:left="432"/>
        <w:rPr/>
      </w:pPr>
      <w:bookmarkStart w:id="68" w:name="_Toc243028967"/>
      <w:bookmarkStart w:id="69" w:name="__RefHeading___Toc3344_3536327007"/>
      <w:bookmarkStart w:id="70" w:name="_Toc243557609"/>
      <w:bookmarkStart w:id="71" w:name="_Toc243288118"/>
      <w:bookmarkStart w:id="72" w:name="_Toc243031765"/>
      <w:bookmarkStart w:id="73" w:name="_Toc208411809"/>
      <w:bookmarkEnd w:id="69"/>
      <w:r>
        <w:rPr/>
        <w:t xml:space="preserve">Требования к </w:t>
      </w:r>
      <w:bookmarkEnd w:id="68"/>
      <w:bookmarkEnd w:id="71"/>
      <w:bookmarkEnd w:id="72"/>
      <w:bookmarkEnd w:id="73"/>
      <w:r>
        <w:rPr/>
        <w:t>прод</w:t>
      </w:r>
      <w:r>
        <w:rPr>
          <w:lang w:val="en-US"/>
        </w:rPr>
        <w:t>укции</w:t>
      </w:r>
      <w:bookmarkEnd w:id="70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left="42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Наименование продукции (позиция №1.1., 1.2. Таблицы №1.1, позиция №1.1.1., 1.1.2., 1.2.1., 1.2.2., 1.3.1., 1.3.2. Таблицы №1.2):</w:t>
      </w:r>
    </w:p>
    <w:p>
      <w:pPr>
        <w:pStyle w:val="Normal"/>
        <w:spacing w:before="0" w:after="120"/>
        <w:ind w:left="426"/>
        <w:jc w:val="both"/>
        <w:rPr>
          <w:rFonts w:eastAsia="Calibri"/>
          <w:bCs/>
          <w:sz w:val="24"/>
          <w:szCs w:val="24"/>
          <w:lang w:eastAsia="x-none"/>
        </w:rPr>
      </w:pPr>
      <w:r>
        <w:rPr>
          <w:rFonts w:eastAsia="Calibri"/>
          <w:bCs/>
          <w:sz w:val="24"/>
          <w:szCs w:val="24"/>
          <w:lang w:eastAsia="x-none"/>
        </w:rPr>
        <w:t>ОКПД2 28.99.39.190 Поставка оборудования и программного обеспечения с выполнением разработки рабочей документации, шеф-монтажных и пусконаладочных работ для модернизации автоматизированных систем управления технологическими процессами тепломеханического и электротехнического оборудования Владивостокской ТЭЦ-2 в г. Владивостоке</w:t>
      </w:r>
    </w:p>
    <w:p>
      <w:pPr>
        <w:pStyle w:val="Normal"/>
        <w:spacing w:before="240" w:after="120"/>
        <w:jc w:val="both"/>
        <w:rPr>
          <w:b/>
          <w:i/>
          <w:i/>
          <w:sz w:val="24"/>
          <w:szCs w:val="24"/>
          <w:u w:val="single"/>
        </w:rPr>
      </w:pPr>
      <w:r>
        <w:rPr>
          <w:rFonts w:eastAsia="Calibri"/>
          <w:b/>
          <w:i/>
          <w:sz w:val="24"/>
          <w:szCs w:val="24"/>
          <w:u w:val="single"/>
        </w:rPr>
        <w:t>Стадия 1. Выполнение проектных работ по разработке рабочей документации по созданию АСУТП ТМО, АСУТП ЭТО ЭТО (позиция № 1.1.1., 1.1.2 Таблицы 1.2.)</w:t>
      </w:r>
    </w:p>
    <w:p>
      <w:pPr>
        <w:pStyle w:val="Normal"/>
        <w:spacing w:before="0" w:after="120"/>
        <w:ind w:left="426"/>
        <w:jc w:val="right"/>
        <w:rPr>
          <w:rFonts w:eastAsia="Calibri"/>
          <w:b/>
          <w:bCs/>
          <w:sz w:val="24"/>
          <w:szCs w:val="24"/>
          <w:lang w:eastAsia="x-none"/>
        </w:rPr>
      </w:pPr>
      <w:r>
        <w:rPr>
          <w:rFonts w:eastAsia="Calibri"/>
          <w:b/>
          <w:bCs/>
          <w:sz w:val="24"/>
          <w:szCs w:val="24"/>
          <w:lang w:eastAsia="x-none"/>
        </w:rPr>
        <w:t>Таблица 3.1 Требования к выполнению проектных работ</w:t>
      </w:r>
    </w:p>
    <w:tbl>
      <w:tblPr>
        <w:tblStyle w:val="1c"/>
        <w:tblW w:w="1569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91"/>
        <w:gridCol w:w="2453"/>
        <w:gridCol w:w="12154"/>
      </w:tblGrid>
      <w:tr>
        <w:trPr>
          <w:trHeight w:val="280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45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Наименование параметра</w:t>
            </w:r>
          </w:p>
        </w:tc>
        <w:tc>
          <w:tcPr>
            <w:tcW w:w="1215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Требование заказчика</w:t>
            </w:r>
          </w:p>
        </w:tc>
      </w:tr>
      <w:tr>
        <w:trPr>
          <w:trHeight w:val="49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45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1215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</w:tr>
      <w:tr>
        <w:trPr>
          <w:trHeight w:val="196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1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</w:r>
          </w:p>
        </w:tc>
        <w:tc>
          <w:tcPr>
            <w:tcW w:w="1460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Требования к выполнению работ</w:t>
            </w:r>
          </w:p>
        </w:tc>
      </w:tr>
      <w:tr>
        <w:trPr>
          <w:trHeight w:val="274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11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rFonts w:ascii="Calibri" w:hAnsi="Calibri" w:cs=""/>
                <w:kern w:val="0"/>
                <w:lang w:val="ru-RU" w:eastAsia="en-US" w:bidi="ar-SA"/>
              </w:rPr>
            </w:pPr>
            <w:r>
              <w:rPr>
                <w:rFonts w:cs="" w:ascii="Calibri" w:hAnsi="Calibri"/>
                <w:kern w:val="0"/>
                <w:lang w:val="ru-RU" w:eastAsia="en-US" w:bidi="ar-SA"/>
              </w:rPr>
            </w:r>
          </w:p>
        </w:tc>
        <w:tc>
          <w:tcPr>
            <w:tcW w:w="1460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Общие требования к выполнению работ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11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b/>
                <w:bCs/>
              </w:rPr>
            </w:pPr>
            <w:r>
              <w:rPr>
                <w:rFonts w:cs="" w:ascii="Calibri" w:hAnsi="Calibri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45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Основные требования к проектным решениям</w:t>
            </w:r>
          </w:p>
        </w:tc>
        <w:tc>
          <w:tcPr>
            <w:tcW w:w="12154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3"/>
                <w:numId w:val="11"/>
              </w:numPr>
              <w:suppressAutoHyphens w:val="true"/>
              <w:spacing w:before="60" w:after="60"/>
              <w:ind w:hanging="992" w:left="992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 xml:space="preserve">Разработка Рабочей документации (РД) должна быть выполнена в соответствии с требованиями ГОСТ 34.201-2020, РД 50-34.698-90, а также с учетом внутренних нормативных документов ПАО «РусГидро» в области создания АСУ ТП. </w:t>
            </w:r>
          </w:p>
          <w:p>
            <w:pPr>
              <w:pStyle w:val="ListParagraph"/>
              <w:widowControl/>
              <w:numPr>
                <w:ilvl w:val="3"/>
                <w:numId w:val="11"/>
              </w:numPr>
              <w:suppressAutoHyphens w:val="true"/>
              <w:spacing w:before="60" w:after="60"/>
              <w:ind w:hanging="992" w:left="992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Дополнительная информация в том числе и основные требования по реализации разработки предусмотреть в полном соответствии с приложением № 1 к ТТ.</w:t>
            </w:r>
          </w:p>
          <w:p>
            <w:pPr>
              <w:pStyle w:val="ListParagraph"/>
              <w:widowControl/>
              <w:numPr>
                <w:ilvl w:val="3"/>
                <w:numId w:val="11"/>
              </w:numPr>
              <w:suppressAutoHyphens w:val="true"/>
              <w:spacing w:before="60" w:after="60"/>
              <w:ind w:hanging="992" w:left="992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Все проектные решения должны обеспечивать достижение наилучших технических параметров и характеристик как на этапе строительства, так и этапе эксплуатации объекта и отвечать требованиям действующей нормативной документации.</w:t>
            </w:r>
          </w:p>
          <w:p>
            <w:pPr>
              <w:pStyle w:val="ListParagraph"/>
              <w:widowControl/>
              <w:numPr>
                <w:ilvl w:val="3"/>
                <w:numId w:val="11"/>
              </w:numPr>
              <w:suppressAutoHyphens w:val="true"/>
              <w:spacing w:before="60" w:after="60"/>
              <w:ind w:hanging="992" w:left="992"/>
              <w:contextualSpacing/>
              <w:jc w:val="both"/>
              <w:rPr>
                <w:iCs/>
              </w:rPr>
            </w:pPr>
            <w:r>
              <w:rPr>
                <w:rFonts w:cs="" w:ascii="Calibri" w:hAnsi="Calibri"/>
                <w:iCs/>
                <w:kern w:val="0"/>
                <w:lang w:val="ru-RU" w:eastAsia="en-US" w:bidi="ar-SA"/>
              </w:rPr>
              <w:t xml:space="preserve">Применяемое оборудование должно иметь заключение МИНПРОМТОРГ о подтверждении производства   на территории РФ, в соответствии с постановлением </w:t>
            </w:r>
            <w:r>
              <w:rPr>
                <w:rFonts w:eastAsia="Times New Roman" w:cs="" w:ascii="Calibri" w:hAnsi="Calibri"/>
                <w:kern w:val="0"/>
                <w:lang w:val="ru-RU" w:eastAsia="ar-SA" w:bidi="ar-SA"/>
              </w:rPr>
              <w:t>Правительства РФ №719 от 17.07.15 или постановлением Правительства РФ №878 от 10.07.19.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11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b/>
                <w:bCs/>
              </w:rPr>
            </w:pPr>
            <w:r>
              <w:rPr>
                <w:rFonts w:cs="" w:ascii="Calibri" w:hAnsi="Calibri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45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Требование к техническому уровню</w:t>
            </w:r>
          </w:p>
        </w:tc>
        <w:tc>
          <w:tcPr>
            <w:tcW w:w="1215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both"/>
              <w:rPr>
                <w:iCs/>
              </w:rPr>
            </w:pPr>
            <w:r>
              <w:rPr>
                <w:rFonts w:eastAsia="Calibri" w:cs="" w:ascii="Calibri" w:hAnsi="Calibri"/>
                <w:iCs/>
                <w:kern w:val="0"/>
                <w:sz w:val="24"/>
                <w:szCs w:val="24"/>
                <w:lang w:val="ru-RU" w:eastAsia="en-US" w:bidi="ar-SA"/>
              </w:rPr>
              <w:t>При уточнении характеристик оборудования в рамках РД, Поставщик обязан обеспечить запас производительности контроллерного оборудования и емкости серверов баз данных не менее 20% (согласно стандартам РусГидро) для обеспечения возможности дальнейшего расширения системы без замены основных узлов.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11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b/>
                <w:bCs/>
              </w:rPr>
            </w:pPr>
            <w:r>
              <w:rPr>
                <w:rFonts w:cs="" w:ascii="Calibri" w:hAnsi="Calibri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45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Порядок формирования и согласования спецификации</w:t>
            </w:r>
          </w:p>
        </w:tc>
        <w:tc>
          <w:tcPr>
            <w:tcW w:w="12154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3"/>
                <w:numId w:val="11"/>
              </w:numPr>
              <w:suppressAutoHyphens w:val="true"/>
              <w:spacing w:before="60" w:after="60"/>
              <w:ind w:hanging="992" w:left="992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 xml:space="preserve">По завершении разработки РД Поставщик формирует уточненную спецификацию комплекта поставляемого оборудования и ПО. </w:t>
            </w:r>
          </w:p>
          <w:p>
            <w:pPr>
              <w:pStyle w:val="ListParagraph"/>
              <w:widowControl/>
              <w:numPr>
                <w:ilvl w:val="3"/>
                <w:numId w:val="11"/>
              </w:numPr>
              <w:suppressAutoHyphens w:val="true"/>
              <w:spacing w:before="60" w:after="60"/>
              <w:ind w:hanging="992" w:left="992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 xml:space="preserve">Спецификация подлежит обязательному техническому согласованию с Заказчиком (и, при необходимости, с профильными подразделениями ПАО «РусГидро»). </w:t>
            </w:r>
          </w:p>
          <w:p>
            <w:pPr>
              <w:pStyle w:val="ListParagraph"/>
              <w:widowControl/>
              <w:numPr>
                <w:ilvl w:val="3"/>
                <w:numId w:val="11"/>
              </w:numPr>
              <w:suppressAutoHyphens w:val="true"/>
              <w:spacing w:before="60" w:after="60"/>
              <w:ind w:hanging="992" w:left="992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Согласованная спецификация является основанием для заказа, изготовления и поставки продукции.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11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b/>
                <w:bCs/>
              </w:rPr>
            </w:pPr>
            <w:r>
              <w:rPr>
                <w:rFonts w:cs="" w:ascii="Calibri" w:hAnsi="Calibri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45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Требование к междисциплинарной координации</w:t>
            </w:r>
          </w:p>
        </w:tc>
        <w:tc>
          <w:tcPr>
            <w:tcW w:w="12154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3"/>
                <w:numId w:val="11"/>
              </w:numPr>
              <w:suppressAutoHyphens w:val="true"/>
              <w:spacing w:before="60" w:after="60"/>
              <w:ind w:hanging="992" w:left="992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 xml:space="preserve">Поставщик обязан обеспечить увязку проектных решений РД АСУТП с проектной документацией смежных марок (ТХ, ЭМ, РЗА). </w:t>
            </w:r>
          </w:p>
          <w:p>
            <w:pPr>
              <w:pStyle w:val="ListParagraph"/>
              <w:widowControl/>
              <w:numPr>
                <w:ilvl w:val="3"/>
                <w:numId w:val="11"/>
              </w:numPr>
              <w:suppressAutoHyphens w:val="true"/>
              <w:spacing w:before="60" w:after="60"/>
              <w:ind w:hanging="992" w:left="992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В случае выявления в ходе разработки РД коллизий или изменения мест установки датчиков/исполнительных механизмов, Поставщик обязан письменно уведомить Заказчика и внести соответствующие правки в разрабатываемую документацию.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11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b/>
                <w:bCs/>
              </w:rPr>
            </w:pPr>
            <w:r>
              <w:rPr>
                <w:rFonts w:cs="" w:ascii="Calibri" w:hAnsi="Calibri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45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Порядок предоставления РД</w:t>
            </w:r>
          </w:p>
        </w:tc>
        <w:tc>
          <w:tcPr>
            <w:tcW w:w="12154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3"/>
                <w:numId w:val="11"/>
              </w:numPr>
              <w:suppressAutoHyphens w:val="true"/>
              <w:spacing w:before="60" w:after="60"/>
              <w:ind w:hanging="992" w:left="992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По завершении разработки Поставщик направляет готовый комплект РД в адрес Заказчика в электронном виде (в редактируемом формате и PDF) и на бумажном носителе в 3 экземплярах.</w:t>
            </w:r>
          </w:p>
          <w:p>
            <w:pPr>
              <w:pStyle w:val="ListParagraph"/>
              <w:widowControl/>
              <w:numPr>
                <w:ilvl w:val="3"/>
                <w:numId w:val="11"/>
              </w:numPr>
              <w:suppressAutoHyphens w:val="true"/>
              <w:spacing w:before="60" w:after="60"/>
              <w:ind w:hanging="992" w:left="992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Электронные версии документов должны быть предоставлены в форматах, позволяющих осуществлять их редактирование и использование в информационных системах Заказчика (например, DWG, DOCX, XLSX).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11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b/>
                <w:bCs/>
              </w:rPr>
            </w:pPr>
            <w:r>
              <w:rPr>
                <w:rFonts w:cs="" w:ascii="Calibri" w:hAnsi="Calibri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45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Этапы согласования РД</w:t>
            </w:r>
          </w:p>
        </w:tc>
        <w:tc>
          <w:tcPr>
            <w:tcW w:w="12154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3"/>
                <w:numId w:val="11"/>
              </w:numPr>
              <w:suppressAutoHyphens w:val="true"/>
              <w:spacing w:before="60" w:after="60"/>
              <w:ind w:hanging="992" w:left="992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Заказчик рассматривает РД в течение 20 календарных дней на предмет соответствия настоящим ТТ и Проектной документации.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11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b/>
                <w:bCs/>
              </w:rPr>
            </w:pPr>
            <w:r>
              <w:rPr>
                <w:rFonts w:cs="" w:ascii="Calibri" w:hAnsi="Calibri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45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Устранение замечаний</w:t>
            </w:r>
          </w:p>
        </w:tc>
        <w:tc>
          <w:tcPr>
            <w:tcW w:w="12154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3"/>
                <w:numId w:val="11"/>
              </w:numPr>
              <w:suppressAutoHyphens w:val="true"/>
              <w:spacing w:before="60" w:after="60"/>
              <w:ind w:hanging="992" w:left="992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В случае наличия замечаний Поставщик обязан устранить их за свой счет в срок не более 30 календарных дней и повторно направить документацию на согласование.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11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b/>
                <w:bCs/>
              </w:rPr>
            </w:pPr>
            <w:r>
              <w:rPr>
                <w:rFonts w:cs="" w:ascii="Calibri" w:hAnsi="Calibri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45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Статус согласованной РД</w:t>
            </w:r>
          </w:p>
        </w:tc>
        <w:tc>
          <w:tcPr>
            <w:tcW w:w="12154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3"/>
                <w:numId w:val="11"/>
              </w:numPr>
              <w:suppressAutoHyphens w:val="true"/>
              <w:spacing w:before="60" w:after="60"/>
              <w:ind w:hanging="992" w:left="992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 xml:space="preserve">Только после получения отметки Заказчика «В производство работ» на документации, спецификация оборудования и ПО считается окончательно утвержденной. </w:t>
            </w:r>
          </w:p>
          <w:p>
            <w:pPr>
              <w:pStyle w:val="ListParagraph"/>
              <w:widowControl/>
              <w:numPr>
                <w:ilvl w:val="3"/>
                <w:numId w:val="11"/>
              </w:numPr>
              <w:suppressAutoHyphens w:val="true"/>
              <w:spacing w:before="60" w:after="60"/>
              <w:ind w:hanging="992" w:left="992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Все закупки материалов и изготовление оборудования до момента официального согласования РД осуществляются Поставщиком на свой риск.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11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b/>
                <w:bCs/>
              </w:rPr>
            </w:pPr>
            <w:r>
              <w:rPr>
                <w:rFonts w:cs="" w:ascii="Calibri" w:hAnsi="Calibri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1460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both"/>
              <w:rPr>
                <w:iCs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en-US" w:bidi="ar-SA"/>
              </w:rPr>
              <w:t>Требования к организации работ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11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b/>
                <w:bCs/>
              </w:rPr>
            </w:pPr>
            <w:r>
              <w:rPr>
                <w:rFonts w:cs="" w:ascii="Calibri" w:hAnsi="Calibri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45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Организационно-технические мероприятия по допуску персонала Поставщика</w:t>
            </w:r>
          </w:p>
        </w:tc>
        <w:tc>
          <w:tcPr>
            <w:tcW w:w="1215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both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Допуск персонала Поставщика для выполнения работ должен осуществляться с обязательным оформлением необходимых инструктажей в соответствии Приложением № 4 к Техническим требованиям - </w:t>
            </w:r>
            <w:r>
              <w:rPr>
                <w:rFonts w:eastAsia="Calibri" w:cs="" w:ascii="Times New Roman" w:hAnsi="Times New Roman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Регламент процесса «Допуск персонала подрядных организаций на объекты ПАО «РусГидро» по Методике допуска персонала подрядных организаций к выполнению работ на объектах ПАО «РусГидро».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1"/>
              </w:numPr>
              <w:suppressAutoHyphens w:val="true"/>
              <w:spacing w:before="60" w:after="60"/>
              <w:ind w:hanging="360" w:left="360" w:right="34"/>
              <w:contextualSpacing/>
              <w:jc w:val="center"/>
              <w:rPr>
                <w:b/>
                <w:bCs/>
              </w:rPr>
            </w:pPr>
            <w:r>
              <w:rPr>
                <w:rFonts w:cs="" w:ascii="Calibri" w:hAnsi="Calibri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1460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Требования к результатам работ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11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b/>
                <w:bCs/>
              </w:rPr>
            </w:pPr>
            <w:r>
              <w:rPr>
                <w:rFonts w:cs="" w:ascii="Calibri" w:hAnsi="Calibri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1460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both"/>
              <w:rPr>
                <w:iCs/>
                <w:highlight w:val="green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en-US" w:bidi="ar-SA"/>
              </w:rPr>
              <w:t>Общие требования к результатам работ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11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b/>
                <w:bCs/>
              </w:rPr>
            </w:pPr>
            <w:r>
              <w:rPr>
                <w:rFonts w:cs="" w:ascii="Calibri" w:hAnsi="Calibri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45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iCs/>
                <w:sz w:val="24"/>
                <w:szCs w:val="24"/>
                <w:highlight w:val="green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Учет особых условий работы оборудования и производства работ</w:t>
            </w:r>
          </w:p>
        </w:tc>
        <w:tc>
          <w:tcPr>
            <w:tcW w:w="1215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false"/>
              <w:spacing w:before="60" w:after="60"/>
              <w:jc w:val="both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При выполнении работ должны быть учтены следующие специальные условия:</w:t>
            </w:r>
          </w:p>
          <w:p>
            <w:pPr>
              <w:pStyle w:val="ListParagraph"/>
              <w:widowControl/>
              <w:numPr>
                <w:ilvl w:val="3"/>
                <w:numId w:val="11"/>
              </w:numPr>
              <w:suppressAutoHyphens w:val="true"/>
              <w:spacing w:before="60" w:after="60"/>
              <w:ind w:hanging="992" w:left="992"/>
              <w:contextualSpacing w:val="false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Производство работ в существующих зданиях и сооружениях в стесненных условиях с наличием в зоне производства работ действующего технологического оборудования (станков, установок, кранов) или загромождающих предметов (лабораторного оборудования, мебели) или движения транспорта по внутрицеховым путям.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11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b/>
                <w:bCs/>
              </w:rPr>
            </w:pPr>
            <w:r>
              <w:rPr>
                <w:rFonts w:cs="" w:ascii="Calibri" w:hAnsi="Calibri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453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iCs/>
                <w:sz w:val="24"/>
                <w:szCs w:val="24"/>
                <w:highlight w:val="green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Стадии проектирования</w:t>
            </w:r>
          </w:p>
        </w:tc>
        <w:tc>
          <w:tcPr>
            <w:tcW w:w="1215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en-US" w:eastAsia="en-US" w:bidi="ar-SA"/>
              </w:rPr>
              <w:t>РД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11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b/>
                <w:bCs/>
              </w:rPr>
            </w:pPr>
            <w:r>
              <w:rPr>
                <w:rFonts w:cs="" w:ascii="Calibri" w:hAnsi="Calibri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14607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60" w:after="60"/>
              <w:jc w:val="both"/>
              <w:rPr>
                <w:iCs/>
                <w:highlight w:val="green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Требования к порядку приемки результатов работ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11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b/>
                <w:bCs/>
              </w:rPr>
            </w:pPr>
            <w:r>
              <w:rPr>
                <w:rFonts w:cs="" w:ascii="Calibri" w:hAnsi="Calibri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453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Порядок сдачи-приемки проектных работ</w:t>
            </w:r>
          </w:p>
        </w:tc>
        <w:tc>
          <w:tcPr>
            <w:tcW w:w="1215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60" w:after="60"/>
              <w:jc w:val="both"/>
              <w:rPr>
                <w:iCs/>
                <w:highlight w:val="green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По завершении разработки РД оформляется Акт сдачи-приемки проектных работ с приложением результата работ.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11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b/>
                <w:bCs/>
              </w:rPr>
            </w:pPr>
            <w:r>
              <w:rPr>
                <w:rFonts w:cs="" w:ascii="Calibri" w:hAnsi="Calibri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14607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en-US" w:bidi="ar-SA"/>
              </w:rPr>
              <w:t>Требования к оформлению документации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11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b/>
                <w:bCs/>
              </w:rPr>
            </w:pPr>
            <w:r>
              <w:rPr>
                <w:rFonts w:cs="" w:ascii="Calibri" w:hAnsi="Calibri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45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Форма предоставления документации</w:t>
            </w:r>
          </w:p>
        </w:tc>
        <w:tc>
          <w:tcPr>
            <w:tcW w:w="12154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3"/>
                <w:numId w:val="11"/>
              </w:numPr>
              <w:suppressAutoHyphens w:val="true"/>
              <w:spacing w:before="60" w:after="60"/>
              <w:ind w:hanging="992" w:left="992"/>
              <w:contextualSpacing w:val="false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Согласованная РД передается Заказчику на русском языке в следующем порядке:</w:t>
            </w:r>
          </w:p>
          <w:tbl>
            <w:tblPr>
              <w:tblStyle w:val="affffd"/>
              <w:tblW w:w="10627" w:type="dxa"/>
              <w:jc w:val="center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HBand="0" w:noVBand="1" w:firstColumn="1" w:lastRow="0" w:lastColumn="0" w:firstRow="1"/>
            </w:tblPr>
            <w:tblGrid>
              <w:gridCol w:w="533"/>
              <w:gridCol w:w="3430"/>
              <w:gridCol w:w="3119"/>
              <w:gridCol w:w="1134"/>
              <w:gridCol w:w="1277"/>
              <w:gridCol w:w="1133"/>
            </w:tblGrid>
            <w:tr>
              <w:trPr/>
              <w:tc>
                <w:tcPr>
                  <w:tcW w:w="533" w:type="dxa"/>
                  <w:vMerge w:val="restart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0" w:after="0"/>
                    <w:ind w:left="0"/>
                    <w:contextualSpacing w:val="false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rFonts w:cs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 xml:space="preserve">№ </w:t>
                  </w:r>
                  <w:r>
                    <w:rPr>
                      <w:rFonts w:cs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п/п</w:t>
                  </w:r>
                </w:p>
              </w:tc>
              <w:tc>
                <w:tcPr>
                  <w:tcW w:w="3430" w:type="dxa"/>
                  <w:vMerge w:val="restart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0" w:after="0"/>
                    <w:ind w:left="0"/>
                    <w:contextualSpacing w:val="false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rFonts w:cs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Вид документа</w:t>
                  </w:r>
                </w:p>
              </w:tc>
              <w:tc>
                <w:tcPr>
                  <w:tcW w:w="6663" w:type="dxa"/>
                  <w:gridSpan w:val="4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0" w:after="0"/>
                    <w:ind w:left="0"/>
                    <w:contextualSpacing w:val="false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rFonts w:cs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Форма</w:t>
                  </w:r>
                </w:p>
              </w:tc>
            </w:tr>
            <w:tr>
              <w:trPr/>
              <w:tc>
                <w:tcPr>
                  <w:tcW w:w="533" w:type="dxa"/>
                  <w:vMerge w:val="continue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0" w:after="0"/>
                    <w:ind w:left="0"/>
                    <w:contextualSpacing w:val="false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rFonts w:cs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3430" w:type="dxa"/>
                  <w:vMerge w:val="continue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0" w:after="0"/>
                    <w:ind w:left="0"/>
                    <w:contextualSpacing w:val="false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rFonts w:cs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4253" w:type="dxa"/>
                  <w:gridSpan w:val="2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0" w:after="0"/>
                    <w:ind w:left="0"/>
                    <w:contextualSpacing w:val="false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rFonts w:cs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Электронный вид</w:t>
                    <w:br/>
                    <w:t>на CD</w:t>
                  </w:r>
                </w:p>
              </w:tc>
              <w:tc>
                <w:tcPr>
                  <w:tcW w:w="2410" w:type="dxa"/>
                  <w:gridSpan w:val="2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0" w:after="0"/>
                    <w:ind w:left="0"/>
                    <w:contextualSpacing w:val="false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rFonts w:cs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Бумажный вид</w:t>
                    <w:br/>
                    <w:t>в твердой копия</w:t>
                  </w:r>
                </w:p>
              </w:tc>
            </w:tr>
            <w:tr>
              <w:trPr>
                <w:trHeight w:val="64" w:hRule="atLeast"/>
              </w:trPr>
              <w:tc>
                <w:tcPr>
                  <w:tcW w:w="533" w:type="dxa"/>
                  <w:vMerge w:val="continue"/>
                  <w:tcBorders/>
                </w:tcPr>
                <w:p>
                  <w:pPr>
                    <w:pStyle w:val="Normal"/>
                    <w:widowControl/>
                    <w:tabs>
                      <w:tab w:val="clear" w:pos="708"/>
                      <w:tab w:val="left" w:pos="0" w:leader="none"/>
                    </w:tabs>
                    <w:suppressAutoHyphens w:val="true"/>
                    <w:spacing w:before="0" w:after="0"/>
                    <w:jc w:val="left"/>
                    <w:rPr>
                      <w:b/>
                    </w:rPr>
                  </w:pPr>
                  <w:r>
                    <w:rPr>
                      <w:rFonts w:eastAsia="Times New Roman" w:cs="Times New Roman"/>
                      <w:b/>
                      <w:kern w:val="0"/>
                      <w:lang w:val="ru-RU" w:eastAsia="ru-RU" w:bidi="ar-SA"/>
                    </w:rPr>
                  </w:r>
                </w:p>
              </w:tc>
              <w:tc>
                <w:tcPr>
                  <w:tcW w:w="3430" w:type="dxa"/>
                  <w:vMerge w:val="continue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0" w:after="0"/>
                    <w:ind w:left="0"/>
                    <w:contextualSpacing w:val="false"/>
                    <w:jc w:val="left"/>
                    <w:rPr>
                      <w:b/>
                      <w:sz w:val="20"/>
                      <w:szCs w:val="20"/>
                    </w:rPr>
                  </w:pPr>
                  <w:r>
                    <w:rPr>
                      <w:rFonts w:cs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3119" w:type="dxa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0" w:after="0"/>
                    <w:ind w:left="0"/>
                    <w:contextualSpacing w:val="false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rFonts w:cs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Формат</w:t>
                  </w:r>
                </w:p>
              </w:tc>
              <w:tc>
                <w:tcPr>
                  <w:tcW w:w="1134" w:type="dxa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0" w:after="0"/>
                    <w:ind w:left="0"/>
                    <w:contextualSpacing w:val="false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rFonts w:cs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Кол-во</w:t>
                  </w:r>
                </w:p>
              </w:tc>
              <w:tc>
                <w:tcPr>
                  <w:tcW w:w="1277" w:type="dxa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0" w:after="0"/>
                    <w:ind w:left="0"/>
                    <w:contextualSpacing w:val="false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rFonts w:cs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Формат</w:t>
                  </w:r>
                </w:p>
              </w:tc>
              <w:tc>
                <w:tcPr>
                  <w:tcW w:w="1133" w:type="dxa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0" w:after="0"/>
                    <w:ind w:left="0"/>
                    <w:contextualSpacing w:val="false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rFonts w:cs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Кол-во</w:t>
                  </w:r>
                </w:p>
              </w:tc>
            </w:tr>
            <w:tr>
              <w:trPr>
                <w:trHeight w:val="428" w:hRule="atLeast"/>
              </w:trPr>
              <w:tc>
                <w:tcPr>
                  <w:tcW w:w="533" w:type="dxa"/>
                  <w:tcBorders/>
                </w:tcPr>
                <w:p>
                  <w:pPr>
                    <w:pStyle w:val="ListParagraph"/>
                    <w:widowControl/>
                    <w:numPr>
                      <w:ilvl w:val="0"/>
                      <w:numId w:val="16"/>
                    </w:numPr>
                    <w:tabs>
                      <w:tab w:val="clear" w:pos="708"/>
                      <w:tab w:val="left" w:pos="0" w:leader="none"/>
                    </w:tabs>
                    <w:suppressAutoHyphens w:val="true"/>
                    <w:spacing w:before="60" w:after="60"/>
                    <w:ind w:hanging="0" w:left="0"/>
                    <w:contextualSpacing w:val="false"/>
                    <w:jc w:val="left"/>
                    <w:rPr>
                      <w:rFonts w:ascii="Times New Roman" w:hAnsi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</w:r>
                </w:p>
              </w:tc>
              <w:tc>
                <w:tcPr>
                  <w:tcW w:w="3430" w:type="dxa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60" w:after="60"/>
                    <w:ind w:left="0"/>
                    <w:contextualSpacing w:val="false"/>
                    <w:jc w:val="both"/>
                    <w:rPr>
                      <w:rFonts w:ascii="Times New Roman" w:hAnsi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  <w:t>Текстовые документы</w:t>
                  </w:r>
                </w:p>
              </w:tc>
              <w:tc>
                <w:tcPr>
                  <w:tcW w:w="3119" w:type="dxa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60" w:after="60"/>
                    <w:ind w:left="0"/>
                    <w:contextualSpacing w:val="false"/>
                    <w:jc w:val="left"/>
                    <w:rPr>
                      <w:lang w:val="en-US"/>
                    </w:rPr>
                  </w:pPr>
                  <w:r>
                    <w:rPr>
                      <w:rFonts w:cs="Times New Roman"/>
                      <w:kern w:val="0"/>
                      <w:lang w:val="en-US" w:eastAsia="ru-RU" w:bidi="ar-SA"/>
                    </w:rPr>
                    <w:t>*.doc, *.doc</w:t>
                  </w: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  <w:t>х</w:t>
                  </w:r>
                  <w:r>
                    <w:rPr>
                      <w:rFonts w:cs="Times New Roman"/>
                      <w:kern w:val="0"/>
                      <w:lang w:val="en-US" w:eastAsia="ru-RU" w:bidi="ar-SA"/>
                    </w:rPr>
                    <w:t>, *.txt, *.odt,</w:t>
                  </w:r>
                  <w:r>
                    <w:rPr>
                      <w:rFonts w:eastAsia="Calibri" w:cs="" w:ascii="Calibri" w:hAnsi="Calibri" w:asciiTheme="minorHAnsi" w:cstheme="minorBidi" w:eastAsiaTheme="minorHAnsi" w:hAnsiTheme="minorHAnsi"/>
                      <w:kern w:val="0"/>
                      <w:sz w:val="22"/>
                      <w:szCs w:val="22"/>
                      <w:lang w:val="en-US" w:eastAsia="en-US" w:bidi="ar-SA"/>
                    </w:rPr>
                    <w:t xml:space="preserve"> </w:t>
                  </w:r>
                  <w:r>
                    <w:rPr>
                      <w:rFonts w:cs="Times New Roman"/>
                      <w:kern w:val="0"/>
                      <w:lang w:val="en-US" w:eastAsia="ru-RU" w:bidi="ar-SA"/>
                    </w:rPr>
                    <w:t>*.xodt, *.pdf</w:t>
                  </w:r>
                </w:p>
              </w:tc>
              <w:tc>
                <w:tcPr>
                  <w:tcW w:w="1134" w:type="dxa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60" w:after="60"/>
                    <w:ind w:left="0"/>
                    <w:contextualSpacing w:val="false"/>
                    <w:jc w:val="left"/>
                    <w:rPr>
                      <w:rFonts w:ascii="Times New Roman" w:hAnsi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  <w:t>1 экз.</w:t>
                  </w:r>
                </w:p>
              </w:tc>
              <w:tc>
                <w:tcPr>
                  <w:tcW w:w="1277" w:type="dxa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60" w:after="60"/>
                    <w:ind w:left="0"/>
                    <w:contextualSpacing w:val="false"/>
                    <w:jc w:val="left"/>
                    <w:rPr>
                      <w:rFonts w:ascii="Times New Roman" w:hAnsi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  <w:t>А4</w:t>
                  </w:r>
                </w:p>
              </w:tc>
              <w:tc>
                <w:tcPr>
                  <w:tcW w:w="1133" w:type="dxa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60" w:after="60"/>
                    <w:ind w:left="0"/>
                    <w:contextualSpacing w:val="false"/>
                    <w:jc w:val="left"/>
                    <w:rPr>
                      <w:rFonts w:ascii="Times New Roman" w:hAnsi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  <w:t>3 экз.</w:t>
                  </w:r>
                </w:p>
              </w:tc>
            </w:tr>
            <w:tr>
              <w:trPr>
                <w:trHeight w:val="428" w:hRule="atLeast"/>
              </w:trPr>
              <w:tc>
                <w:tcPr>
                  <w:tcW w:w="533" w:type="dxa"/>
                  <w:tcBorders/>
                </w:tcPr>
                <w:p>
                  <w:pPr>
                    <w:pStyle w:val="ListParagraph"/>
                    <w:widowControl/>
                    <w:numPr>
                      <w:ilvl w:val="0"/>
                      <w:numId w:val="16"/>
                    </w:numPr>
                    <w:tabs>
                      <w:tab w:val="clear" w:pos="708"/>
                      <w:tab w:val="left" w:pos="0" w:leader="none"/>
                    </w:tabs>
                    <w:suppressAutoHyphens w:val="true"/>
                    <w:spacing w:before="60" w:after="60"/>
                    <w:ind w:hanging="0" w:left="0"/>
                    <w:contextualSpacing w:val="false"/>
                    <w:jc w:val="left"/>
                    <w:rPr>
                      <w:rFonts w:ascii="Times New Roman" w:hAnsi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</w:r>
                </w:p>
              </w:tc>
              <w:tc>
                <w:tcPr>
                  <w:tcW w:w="3430" w:type="dxa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60" w:after="60"/>
                    <w:ind w:left="0"/>
                    <w:contextualSpacing w:val="false"/>
                    <w:jc w:val="both"/>
                    <w:rPr>
                      <w:rFonts w:ascii="Times New Roman" w:hAnsi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  <w:t>Табличные формы</w:t>
                  </w:r>
                </w:p>
              </w:tc>
              <w:tc>
                <w:tcPr>
                  <w:tcW w:w="3119" w:type="dxa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60" w:after="60"/>
                    <w:ind w:left="0"/>
                    <w:contextualSpacing w:val="false"/>
                    <w:jc w:val="left"/>
                    <w:rPr>
                      <w:rFonts w:ascii="Times New Roman" w:hAnsi="Times New Roman" w:cs="Times New Roman"/>
                      <w:kern w:val="0"/>
                      <w:lang w:eastAsia="ru-RU" w:bidi="ar-SA"/>
                    </w:rPr>
                  </w:pP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  <w:t xml:space="preserve">*. </w:t>
                  </w:r>
                  <w:r>
                    <w:rPr>
                      <w:rFonts w:cs="Times New Roman"/>
                      <w:kern w:val="0"/>
                      <w:lang w:val="en-US" w:eastAsia="ru-RU" w:bidi="ar-SA"/>
                    </w:rPr>
                    <w:t>xls</w:t>
                  </w: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  <w:t xml:space="preserve">, *. </w:t>
                  </w:r>
                  <w:r>
                    <w:rPr>
                      <w:rFonts w:cs="Times New Roman"/>
                      <w:kern w:val="0"/>
                      <w:lang w:val="en-US" w:eastAsia="ru-RU" w:bidi="ar-SA"/>
                    </w:rPr>
                    <w:t>xlsx</w:t>
                  </w: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  <w:t xml:space="preserve">, *. </w:t>
                  </w:r>
                  <w:r>
                    <w:rPr>
                      <w:rFonts w:cs="Times New Roman"/>
                      <w:kern w:val="0"/>
                      <w:lang w:val="en-US" w:eastAsia="ru-RU" w:bidi="ar-SA"/>
                    </w:rPr>
                    <w:t>ods</w:t>
                  </w:r>
                </w:p>
              </w:tc>
              <w:tc>
                <w:tcPr>
                  <w:tcW w:w="1134" w:type="dxa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60" w:after="60"/>
                    <w:ind w:left="0"/>
                    <w:contextualSpacing w:val="false"/>
                    <w:jc w:val="left"/>
                    <w:rPr>
                      <w:rFonts w:ascii="Times New Roman" w:hAnsi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  <w:t>1 экз.</w:t>
                  </w:r>
                </w:p>
              </w:tc>
              <w:tc>
                <w:tcPr>
                  <w:tcW w:w="1277" w:type="dxa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60" w:after="60"/>
                    <w:ind w:left="0"/>
                    <w:contextualSpacing w:val="false"/>
                    <w:jc w:val="left"/>
                    <w:rPr>
                      <w:rFonts w:ascii="Times New Roman" w:hAnsi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</w:r>
                </w:p>
              </w:tc>
              <w:tc>
                <w:tcPr>
                  <w:tcW w:w="1133" w:type="dxa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60" w:after="60"/>
                    <w:ind w:left="0"/>
                    <w:contextualSpacing w:val="false"/>
                    <w:jc w:val="left"/>
                    <w:rPr>
                      <w:rFonts w:ascii="Times New Roman" w:hAnsi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  <w:t>3 экз.</w:t>
                  </w:r>
                </w:p>
              </w:tc>
            </w:tr>
            <w:tr>
              <w:trPr/>
              <w:tc>
                <w:tcPr>
                  <w:tcW w:w="533" w:type="dxa"/>
                  <w:tcBorders/>
                </w:tcPr>
                <w:p>
                  <w:pPr>
                    <w:pStyle w:val="ListParagraph"/>
                    <w:widowControl/>
                    <w:numPr>
                      <w:ilvl w:val="0"/>
                      <w:numId w:val="16"/>
                    </w:numPr>
                    <w:tabs>
                      <w:tab w:val="clear" w:pos="708"/>
                      <w:tab w:val="left" w:pos="0" w:leader="none"/>
                    </w:tabs>
                    <w:suppressAutoHyphens w:val="true"/>
                    <w:spacing w:before="60" w:after="60"/>
                    <w:ind w:hanging="0" w:left="0"/>
                    <w:contextualSpacing w:val="false"/>
                    <w:jc w:val="left"/>
                    <w:rPr>
                      <w:rFonts w:ascii="Times New Roman" w:hAnsi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</w:r>
                </w:p>
              </w:tc>
              <w:tc>
                <w:tcPr>
                  <w:tcW w:w="3430" w:type="dxa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60" w:after="60"/>
                    <w:ind w:left="0"/>
                    <w:contextualSpacing w:val="false"/>
                    <w:jc w:val="both"/>
                    <w:rPr>
                      <w:rFonts w:ascii="Times New Roman" w:hAnsi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  <w:t>Чертежи</w:t>
                  </w:r>
                </w:p>
              </w:tc>
              <w:tc>
                <w:tcPr>
                  <w:tcW w:w="3119" w:type="dxa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60" w:after="60"/>
                    <w:ind w:left="0"/>
                    <w:contextualSpacing w:val="false"/>
                    <w:jc w:val="left"/>
                    <w:rPr>
                      <w:rFonts w:ascii="Times New Roman" w:hAnsi="Times New Roman" w:cs="Times New Roman"/>
                      <w:kern w:val="0"/>
                      <w:lang w:eastAsia="ru-RU" w:bidi="ar-SA"/>
                    </w:rPr>
                  </w:pP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  <w:t>*. dwg, *.</w:t>
                  </w:r>
                  <w:r>
                    <w:rPr>
                      <w:rFonts w:cs="Times New Roman"/>
                      <w:kern w:val="0"/>
                      <w:lang w:val="en-US" w:eastAsia="ru-RU" w:bidi="ar-SA"/>
                    </w:rPr>
                    <w:t>pdf</w:t>
                  </w:r>
                </w:p>
              </w:tc>
              <w:tc>
                <w:tcPr>
                  <w:tcW w:w="1134" w:type="dxa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60" w:after="60"/>
                    <w:ind w:left="0"/>
                    <w:contextualSpacing w:val="false"/>
                    <w:jc w:val="left"/>
                    <w:rPr>
                      <w:rFonts w:ascii="Times New Roman" w:hAnsi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  <w:t>1 экз.</w:t>
                  </w:r>
                </w:p>
              </w:tc>
              <w:tc>
                <w:tcPr>
                  <w:tcW w:w="1277" w:type="dxa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60" w:after="60"/>
                    <w:ind w:left="0"/>
                    <w:contextualSpacing w:val="false"/>
                    <w:jc w:val="left"/>
                    <w:rPr>
                      <w:rFonts w:ascii="Times New Roman" w:hAnsi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  <w:t>А4, А3,А2</w:t>
                  </w:r>
                </w:p>
              </w:tc>
              <w:tc>
                <w:tcPr>
                  <w:tcW w:w="1133" w:type="dxa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60" w:after="60"/>
                    <w:ind w:left="0"/>
                    <w:contextualSpacing w:val="false"/>
                    <w:jc w:val="left"/>
                    <w:rPr>
                      <w:rFonts w:ascii="Times New Roman" w:hAnsi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  <w:t>3 экз.</w:t>
                  </w:r>
                </w:p>
              </w:tc>
            </w:tr>
            <w:tr>
              <w:trPr/>
              <w:tc>
                <w:tcPr>
                  <w:tcW w:w="533" w:type="dxa"/>
                  <w:tcBorders/>
                </w:tcPr>
                <w:p>
                  <w:pPr>
                    <w:pStyle w:val="ListParagraph"/>
                    <w:widowControl/>
                    <w:numPr>
                      <w:ilvl w:val="0"/>
                      <w:numId w:val="16"/>
                    </w:numPr>
                    <w:tabs>
                      <w:tab w:val="clear" w:pos="708"/>
                      <w:tab w:val="left" w:pos="0" w:leader="none"/>
                    </w:tabs>
                    <w:suppressAutoHyphens w:val="true"/>
                    <w:spacing w:before="60" w:after="60"/>
                    <w:ind w:hanging="0" w:left="0"/>
                    <w:contextualSpacing w:val="false"/>
                    <w:jc w:val="left"/>
                    <w:rPr>
                      <w:rFonts w:ascii="Times New Roman" w:hAnsi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</w:r>
                </w:p>
              </w:tc>
              <w:tc>
                <w:tcPr>
                  <w:tcW w:w="3430" w:type="dxa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60" w:after="60"/>
                    <w:ind w:left="0"/>
                    <w:contextualSpacing w:val="false"/>
                    <w:jc w:val="both"/>
                    <w:rPr>
                      <w:rFonts w:ascii="Times New Roman" w:hAnsi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  <w:t>Презентационные материалы</w:t>
                  </w:r>
                </w:p>
              </w:tc>
              <w:tc>
                <w:tcPr>
                  <w:tcW w:w="3119" w:type="dxa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60" w:after="60"/>
                    <w:ind w:left="0"/>
                    <w:contextualSpacing w:val="false"/>
                    <w:jc w:val="left"/>
                    <w:rPr>
                      <w:lang w:val="en-US"/>
                    </w:rPr>
                  </w:pPr>
                  <w:r>
                    <w:rPr>
                      <w:rFonts w:cs="Times New Roman"/>
                      <w:kern w:val="0"/>
                      <w:lang w:val="en-US" w:eastAsia="ru-RU" w:bidi="ar-SA"/>
                    </w:rPr>
                    <w:t>*.pptx, *.ppsx, *.potm, *.potm, *.pptm</w:t>
                  </w:r>
                </w:p>
              </w:tc>
              <w:tc>
                <w:tcPr>
                  <w:tcW w:w="1134" w:type="dxa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60" w:after="60"/>
                    <w:ind w:left="0"/>
                    <w:contextualSpacing w:val="false"/>
                    <w:jc w:val="left"/>
                    <w:rPr>
                      <w:rFonts w:ascii="Times New Roman" w:hAnsi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  <w:t>1 экз.</w:t>
                  </w:r>
                </w:p>
              </w:tc>
              <w:tc>
                <w:tcPr>
                  <w:tcW w:w="1277" w:type="dxa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60" w:after="60"/>
                    <w:ind w:left="0"/>
                    <w:contextualSpacing w:val="false"/>
                    <w:jc w:val="left"/>
                    <w:rPr>
                      <w:rFonts w:ascii="Times New Roman" w:hAnsi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  <w:t>А4</w:t>
                  </w:r>
                </w:p>
              </w:tc>
              <w:tc>
                <w:tcPr>
                  <w:tcW w:w="1133" w:type="dxa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60" w:after="60"/>
                    <w:ind w:left="0"/>
                    <w:contextualSpacing w:val="false"/>
                    <w:jc w:val="left"/>
                    <w:rPr>
                      <w:rFonts w:ascii="Times New Roman" w:hAnsi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  <w:t>3 экз.</w:t>
                  </w:r>
                </w:p>
              </w:tc>
            </w:tr>
            <w:tr>
              <w:trPr/>
              <w:tc>
                <w:tcPr>
                  <w:tcW w:w="533" w:type="dxa"/>
                  <w:tcBorders/>
                </w:tcPr>
                <w:p>
                  <w:pPr>
                    <w:pStyle w:val="ListParagraph"/>
                    <w:widowControl/>
                    <w:numPr>
                      <w:ilvl w:val="0"/>
                      <w:numId w:val="16"/>
                    </w:numPr>
                    <w:tabs>
                      <w:tab w:val="clear" w:pos="708"/>
                      <w:tab w:val="left" w:pos="0" w:leader="none"/>
                    </w:tabs>
                    <w:suppressAutoHyphens w:val="true"/>
                    <w:spacing w:before="60" w:after="60"/>
                    <w:ind w:hanging="0" w:left="0"/>
                    <w:contextualSpacing w:val="false"/>
                    <w:jc w:val="left"/>
                    <w:rPr>
                      <w:rFonts w:ascii="Times New Roman" w:hAnsi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</w:r>
                </w:p>
              </w:tc>
              <w:tc>
                <w:tcPr>
                  <w:tcW w:w="3430" w:type="dxa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60" w:after="60"/>
                    <w:ind w:left="0"/>
                    <w:contextualSpacing w:val="false"/>
                    <w:jc w:val="both"/>
                    <w:rPr>
                      <w:rFonts w:ascii="Times New Roman" w:hAnsi="Times New Roman" w:cs="Times New Roman"/>
                      <w:kern w:val="0"/>
                      <w:lang w:eastAsia="ru-RU" w:bidi="ar-SA"/>
                    </w:rPr>
                  </w:pP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  <w:t>Графики выполнения мероприятий</w:t>
                  </w:r>
                  <w:r>
                    <w:rPr>
                      <w:rStyle w:val="FootnoteReference"/>
                      <w:rFonts w:cs="Times New Roman"/>
                      <w:kern w:val="0"/>
                      <w:lang w:val="en-US" w:eastAsia="ru-RU" w:bidi="ar-SA"/>
                    </w:rPr>
                    <w:footnoteReference w:id="2"/>
                  </w:r>
                </w:p>
              </w:tc>
              <w:tc>
                <w:tcPr>
                  <w:tcW w:w="3119" w:type="dxa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60" w:after="60"/>
                    <w:ind w:left="0"/>
                    <w:contextualSpacing w:val="false"/>
                    <w:jc w:val="left"/>
                    <w:rPr>
                      <w:rFonts w:ascii="Times New Roman" w:hAnsi="Times New Roman" w:cs="Times New Roman"/>
                      <w:kern w:val="0"/>
                      <w:lang w:eastAsia="ru-RU" w:bidi="ar-SA"/>
                    </w:rPr>
                  </w:pP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  <w:t>*.</w:t>
                  </w:r>
                  <w:r>
                    <w:rPr>
                      <w:rFonts w:cs="Times New Roman"/>
                      <w:kern w:val="0"/>
                      <w:lang w:val="en-US" w:eastAsia="ru-RU" w:bidi="ar-SA"/>
                    </w:rPr>
                    <w:t>xer</w:t>
                  </w: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  <w:t>, *.</w:t>
                  </w:r>
                  <w:r>
                    <w:rPr>
                      <w:rFonts w:cs="Times New Roman"/>
                      <w:kern w:val="0"/>
                      <w:lang w:val="en-US" w:eastAsia="ru-RU" w:bidi="ar-SA"/>
                    </w:rPr>
                    <w:t>xml</w:t>
                  </w:r>
                </w:p>
              </w:tc>
              <w:tc>
                <w:tcPr>
                  <w:tcW w:w="1134" w:type="dxa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60" w:after="60"/>
                    <w:ind w:left="0"/>
                    <w:contextualSpacing w:val="false"/>
                    <w:jc w:val="left"/>
                    <w:rPr>
                      <w:rFonts w:ascii="Times New Roman" w:hAnsi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  <w:t>1 экз.</w:t>
                  </w:r>
                </w:p>
              </w:tc>
              <w:tc>
                <w:tcPr>
                  <w:tcW w:w="1277" w:type="dxa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60" w:after="60"/>
                    <w:ind w:left="0"/>
                    <w:contextualSpacing w:val="false"/>
                    <w:jc w:val="left"/>
                    <w:rPr>
                      <w:rFonts w:ascii="Times New Roman" w:hAnsi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  <w:t>А4,А3</w:t>
                  </w:r>
                </w:p>
              </w:tc>
              <w:tc>
                <w:tcPr>
                  <w:tcW w:w="1133" w:type="dxa"/>
                  <w:tcBorders/>
                </w:tcPr>
                <w:p>
                  <w:pPr>
                    <w:pStyle w:val="ListParagraph"/>
                    <w:widowControl/>
                    <w:tabs>
                      <w:tab w:val="clear" w:pos="708"/>
                      <w:tab w:val="left" w:pos="996" w:leader="none"/>
                    </w:tabs>
                    <w:suppressAutoHyphens w:val="true"/>
                    <w:spacing w:before="60" w:after="60"/>
                    <w:ind w:left="0"/>
                    <w:contextualSpacing w:val="false"/>
                    <w:jc w:val="left"/>
                    <w:rPr>
                      <w:rFonts w:ascii="Times New Roman" w:hAnsi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  <w:t>3 экз.</w:t>
                  </w:r>
                </w:p>
              </w:tc>
            </w:tr>
          </w:tbl>
          <w:p>
            <w:pPr>
              <w:pStyle w:val="Normal"/>
              <w:widowControl/>
              <w:suppressAutoHyphens w:val="true"/>
              <w:spacing w:before="60" w:after="60"/>
              <w:ind w:left="1080"/>
              <w:jc w:val="both"/>
              <w:rPr>
                <w:iCs/>
              </w:rPr>
            </w:pPr>
            <w:r>
              <w:rPr>
                <w:rFonts w:eastAsia="Calibri" w:cs="" w:ascii="Calibri" w:hAnsi="Calibri"/>
                <w:iCs/>
                <w:kern w:val="0"/>
                <w:lang w:val="ru-RU" w:eastAsia="en-US" w:bidi="ar-SA"/>
              </w:rPr>
            </w:r>
          </w:p>
          <w:p>
            <w:pPr>
              <w:pStyle w:val="ListParagraph"/>
              <w:widowControl/>
              <w:numPr>
                <w:ilvl w:val="3"/>
                <w:numId w:val="11"/>
              </w:numPr>
              <w:suppressAutoHyphens w:val="true"/>
              <w:spacing w:before="60" w:after="60"/>
              <w:ind w:hanging="992" w:left="992"/>
              <w:contextualSpacing w:val="false"/>
              <w:jc w:val="both"/>
              <w:rPr>
                <w:iCs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Форматы предоставления документации и информации в электронном виде должны поддерживать работу в российской операционной системе «Alter OS» и офисном пакете «Alter Office» (программы AText, ACell, AConcept).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11"/>
              </w:numPr>
              <w:suppressAutoHyphens w:val="true"/>
              <w:spacing w:before="60" w:after="60"/>
              <w:ind w:hanging="432" w:left="574" w:right="34"/>
              <w:contextualSpacing/>
              <w:jc w:val="center"/>
              <w:rPr>
                <w:b/>
                <w:bCs/>
              </w:rPr>
            </w:pPr>
            <w:r>
              <w:rPr>
                <w:rFonts w:cs="" w:ascii="Calibri" w:hAnsi="Calibri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1460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both"/>
              <w:rPr>
                <w:kern w:val="0"/>
                <w:lang w:val="ru-RU" w:eastAsia="en-US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en-US" w:bidi="ar-SA"/>
              </w:rPr>
              <w:t>Требования к соблюдению положений нормативной и иной обязательной для Подрядчика документации, определяемой видами работ (помимо указанных в других разделах ТТ)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11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b/>
                <w:bCs/>
              </w:rPr>
            </w:pPr>
            <w:r>
              <w:rPr>
                <w:rFonts w:cs="" w:ascii="Calibri" w:hAnsi="Calibri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45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Cs/>
                <w:sz w:val="24"/>
                <w:szCs w:val="24"/>
                <w:highlight w:val="green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1215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numPr>
                <w:ilvl w:val="3"/>
                <w:numId w:val="11"/>
              </w:numPr>
              <w:suppressAutoHyphens w:val="false"/>
              <w:spacing w:before="60" w:after="60"/>
              <w:ind w:hanging="992" w:left="992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При выполнении проектных работ Поставщик должен руководствоваться действующими национальны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ми, отраслевыми и корпоративными нормативно-техническими документами (НТД), а именно:</w:t>
            </w:r>
          </w:p>
          <w:p>
            <w:pPr>
              <w:pStyle w:val="ListParagraph"/>
              <w:widowControl/>
              <w:numPr>
                <w:ilvl w:val="0"/>
                <w:numId w:val="17"/>
              </w:numPr>
              <w:suppressAutoHyphens w:val="true"/>
              <w:spacing w:before="60" w:after="60"/>
              <w:ind w:hanging="567" w:left="1559"/>
              <w:contextualSpacing/>
              <w:jc w:val="both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lang w:val="ru-RU" w:eastAsia="en-US" w:bidi="ar-SA"/>
              </w:rPr>
              <w:t>ГОСТ 2.701-2008 ЕСКД. «Схемы. Виды и типы. Общие требования к выполнению»;</w:t>
            </w:r>
          </w:p>
          <w:p>
            <w:pPr>
              <w:pStyle w:val="ListParagraph"/>
              <w:widowControl/>
              <w:numPr>
                <w:ilvl w:val="0"/>
                <w:numId w:val="17"/>
              </w:numPr>
              <w:suppressAutoHyphens w:val="false"/>
              <w:spacing w:before="60" w:after="60"/>
              <w:ind w:hanging="567" w:left="1559"/>
              <w:contextualSpacing/>
              <w:jc w:val="both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lang w:val="ru-RU" w:eastAsia="en-US" w:bidi="ar-SA"/>
              </w:rPr>
              <w:t>ГОСТ 21.208-2013 СПДС. «Автоматизация технологических процессов. Обозначения условные приборов и средств автоматизации в схемах».</w:t>
            </w:r>
          </w:p>
          <w:p>
            <w:pPr>
              <w:pStyle w:val="ListParagraph"/>
              <w:widowControl/>
              <w:numPr>
                <w:ilvl w:val="0"/>
                <w:numId w:val="17"/>
              </w:numPr>
              <w:suppressAutoHyphens w:val="false"/>
              <w:spacing w:before="60" w:after="60"/>
              <w:ind w:hanging="567" w:left="1559"/>
              <w:contextualSpacing/>
              <w:jc w:val="both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lang w:val="ru-RU" w:eastAsia="en-US" w:bidi="ar-SA"/>
              </w:rPr>
              <w:t>ГОСТ 21.408-2013 СПДС «Правила выполнения рабочей документации автоматизации технологических процессов».</w:t>
            </w:r>
          </w:p>
          <w:p>
            <w:pPr>
              <w:pStyle w:val="ListParagraph"/>
              <w:widowControl/>
              <w:numPr>
                <w:ilvl w:val="0"/>
                <w:numId w:val="17"/>
              </w:numPr>
              <w:suppressAutoHyphens w:val="false"/>
              <w:spacing w:before="60" w:after="60"/>
              <w:ind w:hanging="567" w:left="1559"/>
              <w:contextualSpacing/>
              <w:jc w:val="both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lang w:val="ru-RU" w:eastAsia="en-US" w:bidi="ar-SA"/>
              </w:rPr>
              <w:t>ГОСТ Р 21.101-2020. «Система проектной документации для строительства. Основные требования</w:t>
              <w:br/>
              <w:t>к проектной и рабочей документации».</w:t>
            </w:r>
          </w:p>
          <w:p>
            <w:pPr>
              <w:pStyle w:val="ListParagraph"/>
              <w:widowControl/>
              <w:numPr>
                <w:ilvl w:val="0"/>
                <w:numId w:val="17"/>
              </w:numPr>
              <w:suppressAutoHyphens w:val="false"/>
              <w:spacing w:before="60" w:after="60"/>
              <w:ind w:hanging="567" w:left="1559"/>
              <w:contextualSpacing/>
              <w:jc w:val="both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lang w:val="ru-RU" w:eastAsia="en-US" w:bidi="ar-SA"/>
              </w:rPr>
              <w:t>ГОСТ Р 21.1101-2013 СПДС. «Основные требования к проектной и рабочей документации».</w:t>
            </w:r>
          </w:p>
          <w:p>
            <w:pPr>
              <w:pStyle w:val="ListParagraph"/>
              <w:widowControl/>
              <w:numPr>
                <w:ilvl w:val="0"/>
                <w:numId w:val="17"/>
              </w:numPr>
              <w:suppressAutoHyphens w:val="false"/>
              <w:spacing w:before="60" w:after="60"/>
              <w:ind w:hanging="567" w:left="1559"/>
              <w:contextualSpacing/>
              <w:jc w:val="both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lang w:val="ru-RU" w:eastAsia="en-US" w:bidi="ar-SA"/>
              </w:rPr>
              <w:t>Техническая политика Группы РусГидро – Приложение № 4 к Техническим требованиям.</w:t>
            </w:r>
          </w:p>
          <w:p>
            <w:pPr>
              <w:pStyle w:val="ListParagraph"/>
              <w:widowControl/>
              <w:numPr>
                <w:ilvl w:val="0"/>
                <w:numId w:val="17"/>
              </w:numPr>
              <w:suppressAutoHyphens w:val="false"/>
              <w:spacing w:before="60" w:after="60"/>
              <w:ind w:hanging="567" w:left="1559"/>
              <w:contextualSpacing/>
              <w:jc w:val="both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lang w:val="ru-RU" w:eastAsia="en-US" w:bidi="ar-SA"/>
              </w:rPr>
              <w:t>Правила по охране труда в строительстве, реконструкции и ремонте.</w:t>
            </w:r>
          </w:p>
          <w:p>
            <w:pPr>
              <w:pStyle w:val="ListParagraph"/>
              <w:widowControl/>
              <w:numPr>
                <w:ilvl w:val="0"/>
                <w:numId w:val="17"/>
              </w:numPr>
              <w:suppressAutoHyphens w:val="false"/>
              <w:spacing w:before="60" w:after="60"/>
              <w:ind w:hanging="567" w:left="1559"/>
              <w:contextualSpacing/>
              <w:jc w:val="both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lang w:val="ru-RU" w:eastAsia="en-US" w:bidi="ar-SA"/>
              </w:rPr>
              <w:t>Правила по охране труда при эксплуатации электроустановок.</w:t>
            </w:r>
          </w:p>
          <w:p>
            <w:pPr>
              <w:pStyle w:val="ListParagraph"/>
              <w:widowControl/>
              <w:numPr>
                <w:ilvl w:val="0"/>
                <w:numId w:val="17"/>
              </w:numPr>
              <w:suppressAutoHyphens w:val="false"/>
              <w:spacing w:before="60" w:after="60"/>
              <w:ind w:hanging="567" w:left="1559"/>
              <w:contextualSpacing/>
              <w:jc w:val="both"/>
              <w:rPr>
                <w:rFonts w:ascii="Times New Roman" w:hAnsi="Times New Roman" w:cs=""/>
                <w:kern w:val="0"/>
                <w:lang w:eastAsia="en-US" w:bidi="ar-SA"/>
              </w:rPr>
            </w:pPr>
            <w:r>
              <w:rPr>
                <w:rFonts w:cs="" w:ascii="Times New Roman" w:hAnsi="Times New Roman"/>
                <w:kern w:val="0"/>
                <w:lang w:val="ru-RU" w:eastAsia="en-US" w:bidi="ar-SA"/>
              </w:rPr>
              <w:t>РД 50-34.698-90 «Автоматизированные системы. Требования к содержанию документов</w:t>
            </w:r>
            <w:r>
              <w:rPr>
                <w:rFonts w:cs="" w:ascii="Times New Roman" w:hAnsi="Times New Roman"/>
                <w:kern w:val="0"/>
                <w:lang w:val="en-US" w:eastAsia="en-US" w:bidi="ar-SA"/>
              </w:rPr>
              <w:t>.</w:t>
            </w:r>
          </w:p>
          <w:p>
            <w:pPr>
              <w:pStyle w:val="ListParagraph"/>
              <w:widowControl/>
              <w:numPr>
                <w:ilvl w:val="0"/>
                <w:numId w:val="17"/>
              </w:numPr>
              <w:suppressAutoHyphens w:val="false"/>
              <w:spacing w:before="60" w:after="60"/>
              <w:ind w:hanging="567" w:left="1559"/>
              <w:contextualSpacing/>
              <w:jc w:val="both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lang w:val="ru-RU" w:eastAsia="en-US" w:bidi="ar-SA"/>
              </w:rPr>
              <w:t>СН 245-71 «Санитарные нормы проектирования промышленных предприятий.</w:t>
            </w:r>
          </w:p>
          <w:p>
            <w:pPr>
              <w:pStyle w:val="ListParagraph"/>
              <w:widowControl/>
              <w:numPr>
                <w:ilvl w:val="0"/>
                <w:numId w:val="17"/>
              </w:numPr>
              <w:suppressAutoHyphens w:val="false"/>
              <w:spacing w:before="60" w:after="60"/>
              <w:ind w:hanging="567" w:left="1559"/>
              <w:contextualSpacing/>
              <w:jc w:val="both"/>
              <w:rPr>
                <w:rFonts w:ascii="Times New Roman" w:hAnsi="Times New Roman" w:cs=""/>
                <w:kern w:val="0"/>
                <w:lang w:eastAsia="en-US" w:bidi="ar-SA"/>
              </w:rPr>
            </w:pPr>
            <w:r>
              <w:rPr>
                <w:rFonts w:cs="" w:ascii="Times New Roman" w:hAnsi="Times New Roman"/>
                <w:kern w:val="0"/>
                <w:lang w:val="ru-RU" w:eastAsia="en-US" w:bidi="ar-SA"/>
              </w:rPr>
              <w:t>ГОСТ Р 58604-2019 Единая энергетическая система и изолированно работающие энергосистемы. Тепловые электрические станции. Автоматизированные системы управления технологическими процессами. Условия создания. Нормы и требования</w:t>
            </w:r>
            <w:r>
              <w:rPr>
                <w:rFonts w:cs="" w:ascii="Times New Roman" w:hAnsi="Times New Roman"/>
                <w:kern w:val="0"/>
                <w:lang w:val="en-US" w:eastAsia="en-US" w:bidi="ar-SA"/>
              </w:rPr>
              <w:t>.</w:t>
            </w:r>
          </w:p>
          <w:p>
            <w:pPr>
              <w:pStyle w:val="ListParagraph"/>
              <w:widowControl/>
              <w:numPr>
                <w:ilvl w:val="0"/>
                <w:numId w:val="17"/>
              </w:numPr>
              <w:suppressAutoHyphens w:val="false"/>
              <w:spacing w:before="60" w:after="60"/>
              <w:ind w:hanging="567" w:left="1559"/>
              <w:contextualSpacing/>
              <w:jc w:val="both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lang w:val="ru-RU" w:eastAsia="en-US" w:bidi="ar-SA"/>
              </w:rPr>
              <w:t xml:space="preserve">Приказ ПАО «РусГидро» от 10.12.2024 № 850 «Об утверждении типовых проектных решений по АСУТП ТМО, АСУТП ЭТО, ВУ АСУТП ТЭС» </w:t>
            </w:r>
            <w:r>
              <w:rPr>
                <w:rFonts w:eastAsia="Symbol" w:cs="Symbol" w:ascii="Times New Roman" w:hAnsi="Times New Roman"/>
                <w:kern w:val="0"/>
                <w:lang w:val="ru-RU" w:eastAsia="en-US" w:bidi="ar-SA"/>
              </w:rPr>
              <w:t></w:t>
            </w:r>
            <w:r>
              <w:rPr>
                <w:rFonts w:cs="Times New Roman" w:ascii="Times New Roman" w:hAnsi="Times New Roman"/>
                <w:kern w:val="0"/>
                <w:lang w:val="ru-RU" w:eastAsia="en-US" w:bidi="ar-SA"/>
              </w:rPr>
              <w:t xml:space="preserve"> Приложение № 3 к Техническим требованиям.</w:t>
            </w:r>
          </w:p>
          <w:p>
            <w:pPr>
              <w:pStyle w:val="ListParagraph"/>
              <w:widowControl/>
              <w:numPr>
                <w:ilvl w:val="0"/>
                <w:numId w:val="17"/>
              </w:numPr>
              <w:suppressAutoHyphens w:val="false"/>
              <w:spacing w:before="60" w:after="60"/>
              <w:ind w:hanging="567" w:left="1559"/>
              <w:contextualSpacing/>
              <w:jc w:val="both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lang w:val="ru-RU" w:eastAsia="en-US" w:bidi="ar-SA"/>
              </w:rPr>
              <w:t>Разработка прочей технической согласно ГОСТ 21.408-2013 «Система проектной документации для строительства. Правила выполнения рабочей документации автоматизации технологических процессов», ГОСТР 21.101-2020 «Система проектной документации для строительства. Основные требования к проектной и рабочей документации», ГОСТ 34.201-2020 «Информационные технологии. Комплекс стандартов на автоматизированные системы. Виды, комплектность и обозначение документов при создании автоматизированных систем» и других взаимосвязанных стандартов в соответствии с Единой системой конструкторской документации (ЕСКД).</w:t>
            </w:r>
          </w:p>
          <w:p>
            <w:pPr>
              <w:pStyle w:val="ListParagraph"/>
              <w:widowControl/>
              <w:numPr>
                <w:ilvl w:val="0"/>
                <w:numId w:val="17"/>
              </w:numPr>
              <w:suppressAutoHyphens w:val="false"/>
              <w:spacing w:before="60" w:after="60"/>
              <w:ind w:hanging="567" w:left="1559"/>
              <w:contextualSpacing/>
              <w:jc w:val="both"/>
              <w:rPr>
                <w:rFonts w:ascii="Times New Roman" w:hAnsi="Times New Roman" w:cs=""/>
                <w:kern w:val="0"/>
                <w:lang w:eastAsia="en-US" w:bidi="ar-SA"/>
              </w:rPr>
            </w:pPr>
            <w:r>
              <w:rPr>
                <w:rFonts w:cs="" w:ascii="Times New Roman" w:hAnsi="Times New Roman"/>
                <w:kern w:val="0"/>
                <w:lang w:val="ru-RU" w:eastAsia="en-US" w:bidi="ar-SA"/>
              </w:rPr>
              <w:t>ГОСТ 34.201-2020</w:t>
            </w:r>
            <w:r>
              <w:rPr>
                <w:rFonts w:cs="" w:ascii="Times New Roman" w:hAnsi="Times New Roman"/>
                <w:kern w:val="0"/>
                <w:lang w:val="en-US" w:eastAsia="en-US" w:bidi="ar-SA"/>
              </w:rPr>
              <w:t>.</w:t>
            </w:r>
          </w:p>
          <w:p>
            <w:pPr>
              <w:pStyle w:val="Normal"/>
              <w:widowControl/>
              <w:numPr>
                <w:ilvl w:val="3"/>
                <w:numId w:val="11"/>
              </w:numPr>
              <w:suppressAutoHyphens w:val="false"/>
              <w:spacing w:before="60" w:after="60"/>
              <w:ind w:hanging="992" w:left="992"/>
              <w:jc w:val="both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случае если какой-либо из указанных в Технических требованиях ГОСТ или нормативный документ был заменен/отменен в процессе проведения закупки и/или в период исполнения договора в связи с выпуском новой редакции стандарта, то Участнику необходимо применять ГОСТ или нормативный документ, принятый в его развитие.</w:t>
            </w:r>
          </w:p>
        </w:tc>
      </w:tr>
    </w:tbl>
    <w:p>
      <w:pPr>
        <w:pStyle w:val="Normal"/>
        <w:spacing w:before="240" w:after="120"/>
        <w:jc w:val="both"/>
        <w:rPr>
          <w:rFonts w:eastAsia="Calibri"/>
          <w:b/>
          <w:i/>
          <w:i/>
          <w:sz w:val="24"/>
          <w:szCs w:val="24"/>
          <w:u w:val="single"/>
        </w:rPr>
      </w:pPr>
      <w:r>
        <w:rPr>
          <w:rFonts w:eastAsia="Calibri"/>
          <w:b/>
          <w:i/>
          <w:sz w:val="24"/>
          <w:szCs w:val="24"/>
          <w:u w:val="single"/>
        </w:rPr>
      </w:r>
      <w:bookmarkStart w:id="74" w:name="_Hlk225860295"/>
      <w:bookmarkStart w:id="75" w:name="_Hlk225860295"/>
      <w:bookmarkEnd w:id="75"/>
    </w:p>
    <w:p>
      <w:pPr>
        <w:pStyle w:val="Normal"/>
        <w:spacing w:before="240" w:after="120"/>
        <w:jc w:val="both"/>
        <w:rPr>
          <w:b/>
          <w:i/>
          <w:i/>
          <w:sz w:val="24"/>
          <w:szCs w:val="24"/>
          <w:u w:val="single"/>
        </w:rPr>
      </w:pPr>
      <w:r>
        <w:rPr>
          <w:rFonts w:eastAsia="Calibri"/>
          <w:b/>
          <w:i/>
          <w:sz w:val="24"/>
          <w:szCs w:val="24"/>
          <w:u w:val="single"/>
        </w:rPr>
        <w:t>Стадия 2. Поставка оборудования АСУТП ТМО, АСУТП ЭТО (позиции №№ 1.1., 1.2. Таблицы 1.1.)</w:t>
      </w:r>
    </w:p>
    <w:p>
      <w:pPr>
        <w:pStyle w:val="Normal"/>
        <w:spacing w:before="120" w:after="60"/>
        <w:jc w:val="right"/>
        <w:rPr>
          <w:rFonts w:eastAsia="Calibri"/>
          <w:b/>
          <w:bCs/>
          <w:sz w:val="24"/>
          <w:szCs w:val="24"/>
          <w:lang w:val="en-US" w:eastAsia="x-none"/>
        </w:rPr>
      </w:pPr>
      <w:r>
        <w:rPr>
          <w:rFonts w:eastAsia="Calibri"/>
          <w:b/>
          <w:bCs/>
          <w:sz w:val="24"/>
          <w:szCs w:val="24"/>
          <w:lang w:eastAsia="x-none"/>
        </w:rPr>
        <w:t xml:space="preserve">Таблица 3.2 Требования к </w:t>
      </w:r>
      <w:r>
        <w:rPr>
          <w:rFonts w:eastAsia="Calibri"/>
          <w:b/>
          <w:bCs/>
          <w:sz w:val="24"/>
          <w:szCs w:val="24"/>
          <w:lang w:val="en-US" w:eastAsia="x-none"/>
        </w:rPr>
        <w:t>поставляемому оборудованию</w:t>
      </w:r>
    </w:p>
    <w:tbl>
      <w:tblPr>
        <w:tblStyle w:val="1c"/>
        <w:tblW w:w="1569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91"/>
        <w:gridCol w:w="2169"/>
        <w:gridCol w:w="12438"/>
      </w:tblGrid>
      <w:tr>
        <w:trPr>
          <w:trHeight w:val="280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169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Наименование параметра</w:t>
            </w:r>
          </w:p>
        </w:tc>
        <w:tc>
          <w:tcPr>
            <w:tcW w:w="12438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Требование заказчика</w:t>
            </w:r>
          </w:p>
        </w:tc>
      </w:tr>
      <w:tr>
        <w:trPr>
          <w:trHeight w:val="49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69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12438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</w:tr>
      <w:tr>
        <w:trPr>
          <w:trHeight w:val="667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8"/>
              </w:numPr>
              <w:suppressAutoHyphens w:val="true"/>
              <w:spacing w:before="60" w:after="60"/>
              <w:ind w:hanging="360" w:left="360" w:right="34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</w:r>
          </w:p>
        </w:tc>
        <w:tc>
          <w:tcPr>
            <w:tcW w:w="1460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Требования к поставляемому оборудованию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18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Технические характеристики</w:t>
            </w:r>
          </w:p>
        </w:tc>
        <w:tc>
          <w:tcPr>
            <w:tcW w:w="12438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 xml:space="preserve">Технические характеристики и окончательный состав комплекта оборудования и ПО АСУТП ТМО определяются на этапе разработки Рабочей документации (далее РД) на основании приложения № 1 к ТТ. </w:t>
            </w:r>
          </w:p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Любые уточнения спецификаций должны обеспечивать полную реализацию функций АСУТП, предусмотренных проектными решениями по Реконструкции Владивостокской ТЭЦ-2.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18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Соответствие локальным нормативным актам</w:t>
            </w:r>
          </w:p>
        </w:tc>
        <w:tc>
          <w:tcPr>
            <w:tcW w:w="12438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Поставляемое оборудование и программное обеспечение должны строго соответствовать действующим нормативно-техническим документам ПАО «РусГидро», в том числе:</w:t>
            </w:r>
          </w:p>
          <w:p>
            <w:pPr>
              <w:pStyle w:val="ListParagraph"/>
              <w:widowControl/>
              <w:numPr>
                <w:ilvl w:val="0"/>
                <w:numId w:val="12"/>
              </w:numPr>
              <w:suppressAutoHyphens w:val="true"/>
              <w:spacing w:before="60" w:after="60"/>
              <w:ind w:hanging="709" w:left="709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Приказу об утверждении Типовых технических требований к АСУ ТП объектов Группы «РусГидро», Приложение № 3;</w:t>
            </w:r>
          </w:p>
          <w:p>
            <w:pPr>
              <w:pStyle w:val="ListParagraph"/>
              <w:widowControl/>
              <w:numPr>
                <w:ilvl w:val="0"/>
                <w:numId w:val="12"/>
              </w:numPr>
              <w:suppressAutoHyphens w:val="true"/>
              <w:spacing w:before="60" w:after="60"/>
              <w:ind w:hanging="709" w:left="709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Политике в области информационных технологий и Политике обеспечения информационной безопасности ПАО «РусГидро»;</w:t>
            </w:r>
          </w:p>
          <w:p>
            <w:pPr>
              <w:pStyle w:val="ListParagraph"/>
              <w:widowControl/>
              <w:numPr>
                <w:ilvl w:val="0"/>
                <w:numId w:val="12"/>
              </w:numPr>
              <w:suppressAutoHyphens w:val="true"/>
              <w:spacing w:before="60" w:after="60"/>
              <w:ind w:hanging="709" w:left="709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Единым техническим требованиям к программно-техническим комплексам (ПТК) АСУ ТП.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18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Технические характеристики ПТК</w:t>
            </w:r>
          </w:p>
        </w:tc>
        <w:tc>
          <w:tcPr>
            <w:tcW w:w="12438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 xml:space="preserve">Технические характеристики ПТК определяются в РД. </w:t>
            </w:r>
          </w:p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Поставщик гарантирует, что уточнение характеристик будет произведено с учетом актуальных на момент поставки требований законодательства РФ в области КИИ и актуальных версий реестров Минпромторга и Минцифры.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18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 xml:space="preserve">Состав комплекта и общие технические характеритсики </w:t>
            </w:r>
          </w:p>
        </w:tc>
        <w:tc>
          <w:tcPr>
            <w:tcW w:w="12438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Предварительный состав комплекта поставляемой продукции и ориентировочные технические характеристики продукции приведены в приложении № 1 к настоящим техническим требованиям.</w:t>
            </w:r>
          </w:p>
        </w:tc>
      </w:tr>
      <w:tr>
        <w:trPr>
          <w:trHeight w:val="505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18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Порядок уточнения комплекта поставляемой продукции</w:t>
            </w:r>
          </w:p>
        </w:tc>
        <w:tc>
          <w:tcPr>
            <w:tcW w:w="12438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Поставщик на этапе исполнения договора по факту разработки РД подготавливает письменное обращение в адрес Заказчика с обязательным указанием перечня оборудования входящего в состав комплекта поставки не позднее 50 календарных дней с даты заключения договора.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18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Условия согласования</w:t>
            </w:r>
          </w:p>
        </w:tc>
        <w:tc>
          <w:tcPr>
            <w:tcW w:w="12438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Заказчик (Генподрядчик) согласует изменения в спецификации при условии соблюдения Поставщиком следующих требований:</w:t>
            </w:r>
          </w:p>
          <w:p>
            <w:pPr>
              <w:pStyle w:val="ListParagraph"/>
              <w:widowControl/>
              <w:numPr>
                <w:ilvl w:val="0"/>
                <w:numId w:val="13"/>
              </w:numPr>
              <w:suppressAutoHyphens w:val="true"/>
              <w:spacing w:before="60" w:after="60"/>
              <w:ind w:hanging="709" w:left="709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Технические характеристики нового оборудования/ПО не ниже заявленных в приложении №1 к ТТ и Проектной документации;</w:t>
            </w:r>
          </w:p>
          <w:p>
            <w:pPr>
              <w:pStyle w:val="ListParagraph"/>
              <w:widowControl/>
              <w:numPr>
                <w:ilvl w:val="0"/>
                <w:numId w:val="13"/>
              </w:numPr>
              <w:suppressAutoHyphens w:val="true"/>
              <w:spacing w:before="60" w:after="60"/>
              <w:ind w:hanging="709" w:left="709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Оборудование и ПО соответствуют актуальным требованиям ПП РФ №719 и ПП РФ №1236 (находятся в реестрах Минпромторга/Минцифры на дату согласования);</w:t>
            </w:r>
          </w:p>
          <w:p>
            <w:pPr>
              <w:pStyle w:val="ListParagraph"/>
              <w:widowControl/>
              <w:numPr>
                <w:ilvl w:val="0"/>
                <w:numId w:val="13"/>
              </w:numPr>
              <w:suppressAutoHyphens w:val="true"/>
              <w:spacing w:before="60" w:after="60"/>
              <w:ind w:hanging="709" w:left="709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Предложенные решения соответствуют действующим на 2026 год Типовым техническим решениям (ТТР) ПАО «РусГидро».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18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Процедура утверждения</w:t>
            </w:r>
          </w:p>
        </w:tc>
        <w:tc>
          <w:tcPr>
            <w:tcW w:w="12438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 xml:space="preserve">Уточненная (заказная) спецификация направляется Поставщиком в адрес Заказчика одновременно с комплектом РД. </w:t>
            </w:r>
          </w:p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kern w:val="0"/>
                <w:lang w:val="ru-RU" w:eastAsia="en-US" w:bidi="ar-SA"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Заказчик рассматривает и согласовывает спецификацию в течение 14 календарных дней или направляет мотивированный отказ.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18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Влияние на стоимость</w:t>
            </w:r>
          </w:p>
        </w:tc>
        <w:tc>
          <w:tcPr>
            <w:tcW w:w="12438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Уточнение спецификации в рамках разработки РД, связанное с детализацией проектных решений, изменением требований законодательства о КИИ или стандартов ПАО «РусГидро», не является основанием для увеличения стоимости комплекта поставляемой продукции, если иное не согласовано дополнительным соглашением Сторон.</w:t>
            </w:r>
          </w:p>
        </w:tc>
      </w:tr>
      <w:tr>
        <w:trPr>
          <w:trHeight w:val="320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18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Место поставки</w:t>
            </w:r>
          </w:p>
        </w:tc>
        <w:tc>
          <w:tcPr>
            <w:tcW w:w="1243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Российская Федерация, Приморский край, г. Владивосток, ул. Фадеева, 47, площадка Владивостокской ТЭЦ-2.</w:t>
            </w:r>
          </w:p>
        </w:tc>
      </w:tr>
      <w:tr>
        <w:trPr>
          <w:trHeight w:val="320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18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639" w:leader="none"/>
              </w:tabs>
              <w:suppressAutoHyphens w:val="true"/>
              <w:spacing w:before="60" w:after="6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Условия доставки</w:t>
            </w:r>
          </w:p>
        </w:tc>
        <w:tc>
          <w:tcPr>
            <w:tcW w:w="1243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Комплектация оборудования, транспортировка, контроль состояния продукции в процессе транспортировки, погрузка – разгрузка, контроль состояния продукции при погрузочно-разгрузочных работах, входной контроль при поставке, размещение на складе Заказчика выполняются силами и за счет средств Поставщика.</w:t>
            </w:r>
          </w:p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Габаритный груз должен быть в заводской упаковке, без механического воздействия на упаковку.</w:t>
            </w:r>
          </w:p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Поставка Продукции должна быть выполнена единовременно в полном объеме, указанном в Таблице №1.1 настоящих Технических требований. Частичная поставка (некомплект) не допускается.</w:t>
            </w:r>
          </w:p>
        </w:tc>
      </w:tr>
      <w:tr>
        <w:trPr>
          <w:trHeight w:val="320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18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7639" w:leader="none"/>
              </w:tabs>
              <w:suppressAutoHyphens w:val="true"/>
              <w:spacing w:before="60" w:after="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Требования к упаковке, транспортировке и хранению</w:t>
            </w:r>
          </w:p>
        </w:tc>
        <w:tc>
          <w:tcPr>
            <w:tcW w:w="1243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Поставщик несет полную ответственность за качество упаковки.</w:t>
            </w:r>
          </w:p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Упаковка должна обеспечивать сохранность, оборудования при транспортировке от места их производства до места назначения. Упаковка может подвергаться контролю покупателем и/или владельцем по их усмотрению.</w:t>
            </w:r>
          </w:p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Упаковка должна соответствовать таким требованиям, которые обеспечили бы надежность и эффективность защиты изделий с момента их выпуска с предприятия-изготовителя до прибытия на площадку строительства в течение не менее 6 (шести) месяцев при неблагоприятных условиях под воздействием окружающей среды во время погрузки, перевозки автотранспортом, по железной дороге или морем, перегрузки и хранения на площадке строительства в течение не менее 12 (двенадцати) месяцев.</w:t>
            </w:r>
          </w:p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Поставщик обеспечивает упаковку и укладку оборудования в тару для предохранения от повреждения при транспортировке и неоднократных перегрузках, погрузках и выгрузках.</w:t>
            </w:r>
          </w:p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Каждый отдельный вид оборудования (продукции) должен быть упакован и промаркирован в тару, обеспечивающую сохранность, предотвращающую повреждения при транспортировке и хранении с учётом возможных перегрузок, в соответствии с требованиями ГОСТ 14192-96 «Маркировка грузов», в том числе в местностях с неблагоприятными климатическими условиями, в соответствии с требованиями ГОСТ 15846-2002 «Продукция, отправляемая в районы крайнего севера и приравненные к ним местности. Упаковка, маркировка, транспортирование и хранение».</w:t>
            </w:r>
          </w:p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Материалы поставки Поставщика должны быть поставлены в упаковке производителя, не нарушенной, без следов воздействия влаги, в соответствии с требованиями заводов-изготовителей.</w:t>
            </w:r>
          </w:p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Стоимость продукции включает стоимость доставки, погрузо-разгрузочных работы на объекте строительства. А также в стоимости продукции учтены затраты на транспортировку, разгрузку на объекте строительства.</w:t>
            </w:r>
          </w:p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Условия доставки должны обеспечивать полную сохранность оборудования с учетом климатических особенностей района площадки объекта строительства: 690034, Россия, Приморский край, г. Владивосток, ул. Фадеева, 47, площадка Владивостокской ТЭЦ-2.</w:t>
            </w:r>
          </w:p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Разгрузка оборудования на объекте строительства выполняется силами Поставщика.</w:t>
            </w:r>
          </w:p>
        </w:tc>
      </w:tr>
      <w:tr>
        <w:trPr>
          <w:trHeight w:val="198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keepNext w:val="true"/>
              <w:widowControl/>
              <w:numPr>
                <w:ilvl w:val="0"/>
                <w:numId w:val="18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</w:r>
          </w:p>
        </w:tc>
        <w:tc>
          <w:tcPr>
            <w:tcW w:w="14607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Требования к качеству поставляемого оборудования</w:t>
            </w:r>
          </w:p>
        </w:tc>
      </w:tr>
      <w:tr>
        <w:trPr>
          <w:trHeight w:val="198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keepNext w:val="true"/>
              <w:widowControl/>
              <w:numPr>
                <w:ilvl w:val="1"/>
                <w:numId w:val="18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Требование к качеству</w:t>
            </w:r>
          </w:p>
        </w:tc>
        <w:tc>
          <w:tcPr>
            <w:tcW w:w="1243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Качество поставляемой Продукции должно полностью соответствовать настоящим Техническим требованиям, государственным стандартам (ГОСТ), отраслевым стандартам (ОСТ), техническим условиям (ТУ) и иным нормативно-правовым актам, действующим на территории Российской Федерации для данного вида товара.</w:t>
            </w:r>
          </w:p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Соответствие Продукции установленным нормам должно подтверждаться сертификатами соответствия, декларациями и иными документами, предусмотренными законодательством РФ.</w:t>
            </w:r>
          </w:p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Поставщик гарантирует, что Продукция является новой (не бывшей в употреблении, не прошедшей ремонт, в том числе восстановление, замену составных частей, восстановление потребительских свойств).</w:t>
            </w:r>
          </w:p>
        </w:tc>
      </w:tr>
      <w:tr>
        <w:trPr>
          <w:trHeight w:val="198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keepNext w:val="true"/>
              <w:widowControl/>
              <w:numPr>
                <w:ilvl w:val="0"/>
                <w:numId w:val="18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</w:r>
          </w:p>
        </w:tc>
        <w:tc>
          <w:tcPr>
            <w:tcW w:w="14607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198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18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Срок гарантии</w:t>
            </w:r>
          </w:p>
        </w:tc>
        <w:tc>
          <w:tcPr>
            <w:tcW w:w="1243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Гарантийный срок на поставляемое оборудование, программное обеспечение и выполненные работы (РД, ШМР, ПНР) должен составлять не менее 24 месяцев с даты подписания итогового Акта приемки системы в промышленную эксплуатацию (после комплексного опробования 72 часа). В случае выхода из строя оборудования в период гарантии, срок гарантии на данную позицию продлевается на время, затраченное на его замену/ремонт.</w:t>
            </w:r>
          </w:p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Поставщик гарантирует работоспособность прикладного ПО и его соответствие функциональным требованиям в течение всего гарантийного срока. Поставщик обязан обеспечивать бесплатное предоставление обновлений безопасности и исправление программных ошибок (багов), выявленных в процессе эксплуатации, в течение 5 лет с момента ввода в эксплуатацию.</w:t>
            </w:r>
          </w:p>
        </w:tc>
      </w:tr>
      <w:tr>
        <w:trPr>
          <w:trHeight w:val="198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8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</w:r>
          </w:p>
        </w:tc>
        <w:tc>
          <w:tcPr>
            <w:tcW w:w="14607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198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18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Документы, передаваемые вместе с оборудованием</w:t>
            </w:r>
          </w:p>
        </w:tc>
        <w:tc>
          <w:tcPr>
            <w:tcW w:w="1243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Заводская документация поставляемого оборудования должна соответствовать ГОСТ Р 2.610-2019 «Единая система конструкторской документации. Правила выполнения эксплуатационных документов».</w:t>
            </w:r>
          </w:p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eastAsia="Calibri" w:cs="" w:ascii="Calibri" w:hAnsi="Calibri" w:eastAsiaTheme="minorHAnsi"/>
                <w:kern w:val="0"/>
                <w:lang w:val="ru-RU" w:eastAsia="en-US" w:bidi="ar-SA"/>
              </w:rPr>
              <w:t>Одновременно с передачей Оборудования Поставщик обязан передать Заказчику оригиналы следующих относящихся к нему документов:</w:t>
            </w:r>
          </w:p>
          <w:tbl>
            <w:tblPr>
              <w:tblStyle w:val="affffd"/>
              <w:tblW w:w="9386" w:type="dxa"/>
              <w:jc w:val="left"/>
              <w:tblInd w:w="966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HBand="0" w:noVBand="1" w:firstColumn="1" w:lastRow="0" w:lastColumn="0" w:firstRow="1"/>
            </w:tblPr>
            <w:tblGrid>
              <w:gridCol w:w="712"/>
              <w:gridCol w:w="7512"/>
              <w:gridCol w:w="1162"/>
            </w:tblGrid>
            <w:tr>
              <w:trPr>
                <w:trHeight w:val="361" w:hRule="atLeast"/>
              </w:trPr>
              <w:tc>
                <w:tcPr>
                  <w:tcW w:w="712" w:type="dxa"/>
                  <w:tcBorders/>
                  <w:shd w:color="auto" w:fill="auto" w:val="clear"/>
                </w:tcPr>
                <w:p>
                  <w:pPr>
                    <w:pStyle w:val="Normal"/>
                    <w:widowControl/>
                    <w:suppressAutoHyphens w:val="false"/>
                    <w:spacing w:before="0" w:after="0"/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>
                    <w:rPr>
                      <w:rFonts w:eastAsia="Calibri" w:cs="Times New Roman"/>
                      <w:b/>
                      <w:kern w:val="0"/>
                      <w:sz w:val="24"/>
                      <w:szCs w:val="24"/>
                      <w:lang w:val="ru-RU" w:eastAsia="ru-RU" w:bidi="ar-SA"/>
                    </w:rPr>
                    <w:t>№№</w:t>
                  </w:r>
                </w:p>
              </w:tc>
              <w:tc>
                <w:tcPr>
                  <w:tcW w:w="7512" w:type="dxa"/>
                  <w:tcBorders/>
                  <w:shd w:color="auto" w:fill="auto" w:val="clear"/>
                </w:tcPr>
                <w:p>
                  <w:pPr>
                    <w:pStyle w:val="Normal"/>
                    <w:widowControl/>
                    <w:suppressAutoHyphens w:val="false"/>
                    <w:spacing w:before="0" w:after="0"/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>
                    <w:rPr>
                      <w:rFonts w:eastAsia="Calibri" w:cs="Times New Roman"/>
                      <w:b/>
                      <w:kern w:val="0"/>
                      <w:sz w:val="24"/>
                      <w:szCs w:val="24"/>
                      <w:lang w:val="ru-RU" w:eastAsia="ru-RU" w:bidi="ar-SA"/>
                    </w:rPr>
                    <w:t>Наименование документа</w:t>
                  </w:r>
                </w:p>
              </w:tc>
              <w:tc>
                <w:tcPr>
                  <w:tcW w:w="1162" w:type="dxa"/>
                  <w:tcBorders/>
                  <w:shd w:color="auto" w:fill="auto" w:val="clear"/>
                </w:tcPr>
                <w:p>
                  <w:pPr>
                    <w:pStyle w:val="Normal"/>
                    <w:widowControl/>
                    <w:suppressAutoHyphens w:val="false"/>
                    <w:spacing w:before="0" w:after="0"/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>
                    <w:rPr>
                      <w:rFonts w:eastAsia="Calibri" w:cs="Times New Roman"/>
                      <w:b/>
                      <w:kern w:val="0"/>
                      <w:sz w:val="24"/>
                      <w:szCs w:val="24"/>
                      <w:lang w:val="ru-RU" w:eastAsia="ru-RU" w:bidi="ar-SA"/>
                    </w:rPr>
                    <w:t>Кол-во</w:t>
                  </w:r>
                </w:p>
              </w:tc>
            </w:tr>
            <w:tr>
              <w:trPr>
                <w:trHeight w:val="401" w:hRule="atLeast"/>
              </w:trPr>
              <w:tc>
                <w:tcPr>
                  <w:tcW w:w="712" w:type="dxa"/>
                  <w:tcBorders/>
                  <w:shd w:color="auto" w:fill="auto" w:val="clear"/>
                </w:tcPr>
                <w:p>
                  <w:pPr>
                    <w:pStyle w:val="ListParagraph"/>
                    <w:widowControl w:val="false"/>
                    <w:numPr>
                      <w:ilvl w:val="0"/>
                      <w:numId w:val="19"/>
                    </w:numPr>
                    <w:tabs>
                      <w:tab w:val="clear" w:pos="708"/>
                      <w:tab w:val="left" w:pos="305" w:leader="none"/>
                    </w:tabs>
                    <w:suppressAutoHyphens w:val="false"/>
                    <w:spacing w:before="60" w:after="60"/>
                    <w:ind w:hanging="120" w:left="720"/>
                    <w:contextualSpacing w:val="false"/>
                    <w:jc w:val="center"/>
                    <w:rPr>
                      <w:rFonts w:ascii="Times New Roman" w:hAnsi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</w:r>
                </w:p>
              </w:tc>
              <w:tc>
                <w:tcPr>
                  <w:tcW w:w="7512" w:type="dxa"/>
                  <w:tcBorders/>
                  <w:shd w:color="auto" w:fill="auto" w:val="clear"/>
                </w:tcPr>
                <w:p>
                  <w:pPr>
                    <w:pStyle w:val="Normal"/>
                    <w:widowControl/>
                    <w:suppressAutoHyphens w:val="false"/>
                    <w:spacing w:before="60" w:after="6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ru-RU" w:bidi="ar-SA"/>
                    </w:rPr>
                    <w:t xml:space="preserve">Технические паспорта на компоненты и изделия </w:t>
                  </w:r>
                </w:p>
              </w:tc>
              <w:tc>
                <w:tcPr>
                  <w:tcW w:w="1162" w:type="dxa"/>
                  <w:tcBorders/>
                  <w:shd w:color="auto" w:fill="auto" w:val="clear"/>
                </w:tcPr>
                <w:p>
                  <w:pPr>
                    <w:pStyle w:val="Normal"/>
                    <w:widowControl/>
                    <w:suppressAutoHyphens w:val="false"/>
                    <w:spacing w:before="60" w:after="60"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ru-RU" w:bidi="ar-SA"/>
                    </w:rPr>
                    <w:t>3 экз.</w:t>
                  </w:r>
                </w:p>
              </w:tc>
            </w:tr>
            <w:tr>
              <w:trPr>
                <w:trHeight w:val="607" w:hRule="atLeast"/>
              </w:trPr>
              <w:tc>
                <w:tcPr>
                  <w:tcW w:w="712" w:type="dxa"/>
                  <w:tcBorders/>
                  <w:shd w:color="auto" w:fill="auto" w:val="clear"/>
                </w:tcPr>
                <w:p>
                  <w:pPr>
                    <w:pStyle w:val="ListParagraph"/>
                    <w:widowControl w:val="false"/>
                    <w:numPr>
                      <w:ilvl w:val="0"/>
                      <w:numId w:val="19"/>
                    </w:numPr>
                    <w:tabs>
                      <w:tab w:val="clear" w:pos="708"/>
                      <w:tab w:val="left" w:pos="305" w:leader="none"/>
                    </w:tabs>
                    <w:suppressAutoHyphens w:val="false"/>
                    <w:spacing w:before="60" w:after="60"/>
                    <w:ind w:hanging="120" w:left="720"/>
                    <w:contextualSpacing w:val="false"/>
                    <w:jc w:val="center"/>
                    <w:rPr>
                      <w:rFonts w:ascii="Times New Roman" w:hAnsi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</w:r>
                </w:p>
              </w:tc>
              <w:tc>
                <w:tcPr>
                  <w:tcW w:w="7512" w:type="dxa"/>
                  <w:tcBorders/>
                  <w:shd w:color="auto" w:fill="auto" w:val="clear"/>
                </w:tcPr>
                <w:p>
                  <w:pPr>
                    <w:pStyle w:val="Normal"/>
                    <w:widowControl/>
                    <w:suppressAutoHyphens w:val="false"/>
                    <w:spacing w:before="60" w:after="60"/>
                    <w:jc w:val="both"/>
                    <w:rPr>
                      <w:rFonts w:eastAsia="Calibri"/>
                      <w:sz w:val="24"/>
                      <w:szCs w:val="24"/>
                      <w:highlight w:val="yellow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ru-RU" w:bidi="ar-SA"/>
                    </w:rPr>
                    <w:t xml:space="preserve">Инструкция по эксплуатации </w:t>
                  </w:r>
                </w:p>
              </w:tc>
              <w:tc>
                <w:tcPr>
                  <w:tcW w:w="1162" w:type="dxa"/>
                  <w:tcBorders/>
                  <w:shd w:color="auto" w:fill="auto" w:val="clear"/>
                </w:tcPr>
                <w:p>
                  <w:pPr>
                    <w:pStyle w:val="Normal"/>
                    <w:widowControl/>
                    <w:suppressAutoHyphens w:val="false"/>
                    <w:spacing w:before="60" w:after="60"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ru-RU" w:bidi="ar-SA"/>
                    </w:rPr>
                    <w:t>3 экз.</w:t>
                  </w:r>
                </w:p>
              </w:tc>
            </w:tr>
            <w:tr>
              <w:trPr>
                <w:trHeight w:val="117" w:hRule="atLeast"/>
              </w:trPr>
              <w:tc>
                <w:tcPr>
                  <w:tcW w:w="712" w:type="dxa"/>
                  <w:tcBorders/>
                  <w:shd w:color="auto" w:fill="auto" w:val="clear"/>
                </w:tcPr>
                <w:p>
                  <w:pPr>
                    <w:pStyle w:val="ListParagraph"/>
                    <w:widowControl w:val="false"/>
                    <w:numPr>
                      <w:ilvl w:val="0"/>
                      <w:numId w:val="19"/>
                    </w:numPr>
                    <w:tabs>
                      <w:tab w:val="clear" w:pos="708"/>
                      <w:tab w:val="left" w:pos="305" w:leader="none"/>
                    </w:tabs>
                    <w:suppressAutoHyphens w:val="false"/>
                    <w:spacing w:before="60" w:after="60"/>
                    <w:ind w:hanging="120" w:left="720"/>
                    <w:contextualSpacing w:val="false"/>
                    <w:jc w:val="center"/>
                    <w:rPr>
                      <w:rFonts w:ascii="Times New Roman" w:hAnsi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</w:r>
                </w:p>
              </w:tc>
              <w:tc>
                <w:tcPr>
                  <w:tcW w:w="7512" w:type="dxa"/>
                  <w:tcBorders/>
                  <w:shd w:color="auto" w:fill="auto" w:val="clear"/>
                </w:tcPr>
                <w:p>
                  <w:pPr>
                    <w:pStyle w:val="Normal"/>
                    <w:widowControl/>
                    <w:suppressAutoHyphens w:val="false"/>
                    <w:spacing w:before="60" w:after="60"/>
                    <w:jc w:val="both"/>
                    <w:rPr>
                      <w:rFonts w:eastAsia="Calibri"/>
                      <w:sz w:val="24"/>
                      <w:szCs w:val="24"/>
                      <w:highlight w:val="yellow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ru-RU" w:bidi="ar-SA"/>
                    </w:rPr>
                    <w:t xml:space="preserve">Инструкция по монтажу </w:t>
                  </w:r>
                </w:p>
              </w:tc>
              <w:tc>
                <w:tcPr>
                  <w:tcW w:w="1162" w:type="dxa"/>
                  <w:tcBorders/>
                  <w:shd w:color="auto" w:fill="auto" w:val="clear"/>
                </w:tcPr>
                <w:p>
                  <w:pPr>
                    <w:pStyle w:val="Normal"/>
                    <w:widowControl/>
                    <w:suppressAutoHyphens w:val="false"/>
                    <w:spacing w:before="60" w:after="60"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ru-RU" w:bidi="ar-SA"/>
                    </w:rPr>
                    <w:t>3 экз.</w:t>
                  </w:r>
                </w:p>
              </w:tc>
            </w:tr>
            <w:tr>
              <w:trPr>
                <w:trHeight w:val="136" w:hRule="atLeast"/>
              </w:trPr>
              <w:tc>
                <w:tcPr>
                  <w:tcW w:w="712" w:type="dxa"/>
                  <w:tcBorders/>
                  <w:shd w:color="auto" w:fill="auto" w:val="clear"/>
                </w:tcPr>
                <w:p>
                  <w:pPr>
                    <w:pStyle w:val="ListParagraph"/>
                    <w:widowControl w:val="false"/>
                    <w:numPr>
                      <w:ilvl w:val="0"/>
                      <w:numId w:val="19"/>
                    </w:numPr>
                    <w:tabs>
                      <w:tab w:val="clear" w:pos="708"/>
                      <w:tab w:val="left" w:pos="305" w:leader="none"/>
                    </w:tabs>
                    <w:suppressAutoHyphens w:val="false"/>
                    <w:spacing w:before="60" w:after="60"/>
                    <w:ind w:hanging="120" w:left="720"/>
                    <w:contextualSpacing w:val="false"/>
                    <w:jc w:val="center"/>
                    <w:rPr>
                      <w:rFonts w:ascii="Times New Roman" w:hAnsi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</w:r>
                </w:p>
              </w:tc>
              <w:tc>
                <w:tcPr>
                  <w:tcW w:w="7512" w:type="dxa"/>
                  <w:tcBorders/>
                  <w:shd w:color="auto" w:fill="auto" w:val="clear"/>
                </w:tcPr>
                <w:p>
                  <w:pPr>
                    <w:pStyle w:val="Normal"/>
                    <w:widowControl/>
                    <w:suppressAutoHyphens w:val="false"/>
                    <w:spacing w:before="60" w:after="60"/>
                    <w:jc w:val="both"/>
                    <w:rPr>
                      <w:rFonts w:eastAsia="Calibri"/>
                      <w:sz w:val="24"/>
                      <w:szCs w:val="24"/>
                      <w:highlight w:val="yellow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ru-RU" w:bidi="ar-SA"/>
                    </w:rPr>
                    <w:t>Упаковочные листы</w:t>
                  </w:r>
                </w:p>
              </w:tc>
              <w:tc>
                <w:tcPr>
                  <w:tcW w:w="1162" w:type="dxa"/>
                  <w:tcBorders/>
                  <w:shd w:color="auto" w:fill="auto" w:val="clear"/>
                </w:tcPr>
                <w:p>
                  <w:pPr>
                    <w:pStyle w:val="Normal"/>
                    <w:widowControl/>
                    <w:suppressAutoHyphens w:val="false"/>
                    <w:spacing w:before="60" w:after="60"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ru-RU" w:bidi="ar-SA"/>
                    </w:rPr>
                    <w:t>3 экз.</w:t>
                  </w:r>
                </w:p>
              </w:tc>
            </w:tr>
            <w:tr>
              <w:trPr>
                <w:trHeight w:val="90" w:hRule="atLeast"/>
              </w:trPr>
              <w:tc>
                <w:tcPr>
                  <w:tcW w:w="712" w:type="dxa"/>
                  <w:tcBorders/>
                  <w:shd w:color="auto" w:fill="auto" w:val="clear"/>
                </w:tcPr>
                <w:p>
                  <w:pPr>
                    <w:pStyle w:val="ListParagraph"/>
                    <w:widowControl w:val="false"/>
                    <w:numPr>
                      <w:ilvl w:val="0"/>
                      <w:numId w:val="19"/>
                    </w:numPr>
                    <w:tabs>
                      <w:tab w:val="clear" w:pos="708"/>
                      <w:tab w:val="left" w:pos="305" w:leader="none"/>
                    </w:tabs>
                    <w:suppressAutoHyphens w:val="false"/>
                    <w:spacing w:before="60" w:after="60"/>
                    <w:ind w:hanging="120" w:left="720"/>
                    <w:contextualSpacing w:val="false"/>
                    <w:jc w:val="center"/>
                    <w:rPr>
                      <w:rFonts w:ascii="Times New Roman" w:hAnsi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</w:r>
                </w:p>
              </w:tc>
              <w:tc>
                <w:tcPr>
                  <w:tcW w:w="7512" w:type="dxa"/>
                  <w:tcBorders/>
                  <w:shd w:color="auto" w:fill="auto" w:val="clear"/>
                </w:tcPr>
                <w:p>
                  <w:pPr>
                    <w:pStyle w:val="Normal"/>
                    <w:widowControl/>
                    <w:suppressAutoHyphens w:val="false"/>
                    <w:spacing w:before="60" w:after="6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ru-RU" w:bidi="ar-SA"/>
                    </w:rPr>
                    <w:t>Комплект разрабатываемой документации</w:t>
                  </w:r>
                </w:p>
              </w:tc>
              <w:tc>
                <w:tcPr>
                  <w:tcW w:w="1162" w:type="dxa"/>
                  <w:tcBorders/>
                  <w:shd w:color="auto" w:fill="auto" w:val="clear"/>
                </w:tcPr>
                <w:p>
                  <w:pPr>
                    <w:pStyle w:val="Normal"/>
                    <w:widowControl/>
                    <w:suppressAutoHyphens w:val="false"/>
                    <w:spacing w:before="60" w:after="60"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ru-RU" w:bidi="ar-SA"/>
                    </w:rPr>
                    <w:t>3 экз.</w:t>
                  </w:r>
                </w:p>
              </w:tc>
            </w:tr>
            <w:tr>
              <w:trPr>
                <w:trHeight w:val="1068" w:hRule="atLeast"/>
              </w:trPr>
              <w:tc>
                <w:tcPr>
                  <w:tcW w:w="712" w:type="dxa"/>
                  <w:tcBorders/>
                  <w:shd w:color="auto" w:fill="auto" w:val="clear"/>
                </w:tcPr>
                <w:p>
                  <w:pPr>
                    <w:pStyle w:val="ListParagraph"/>
                    <w:widowControl w:val="false"/>
                    <w:numPr>
                      <w:ilvl w:val="0"/>
                      <w:numId w:val="19"/>
                    </w:numPr>
                    <w:tabs>
                      <w:tab w:val="clear" w:pos="708"/>
                      <w:tab w:val="left" w:pos="305" w:leader="none"/>
                    </w:tabs>
                    <w:suppressAutoHyphens w:val="false"/>
                    <w:spacing w:before="60" w:after="60"/>
                    <w:ind w:hanging="120" w:left="720"/>
                    <w:contextualSpacing w:val="false"/>
                    <w:jc w:val="center"/>
                    <w:rPr>
                      <w:rFonts w:ascii="Times New Roman" w:hAnsi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cs="Times New Roman"/>
                      <w:kern w:val="0"/>
                      <w:lang w:val="ru-RU" w:eastAsia="ru-RU" w:bidi="ar-SA"/>
                    </w:rPr>
                  </w:r>
                </w:p>
              </w:tc>
              <w:tc>
                <w:tcPr>
                  <w:tcW w:w="7512" w:type="dxa"/>
                  <w:tcBorders/>
                  <w:shd w:color="auto" w:fill="auto" w:val="clear"/>
                </w:tcPr>
                <w:p>
                  <w:pPr>
                    <w:pStyle w:val="Normal"/>
                    <w:widowControl/>
                    <w:suppressAutoHyphens w:val="false"/>
                    <w:spacing w:before="60" w:after="6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ru-RU" w:bidi="ar-SA"/>
                    </w:rPr>
                    <w:t>Иные документы в зависимости от номенклатуры поставляемого Оборудования и документации, разрабатываемой Поставщиком</w:t>
                  </w:r>
                </w:p>
              </w:tc>
              <w:tc>
                <w:tcPr>
                  <w:tcW w:w="1162" w:type="dxa"/>
                  <w:tcBorders/>
                  <w:shd w:color="auto" w:fill="auto" w:val="clear"/>
                </w:tcPr>
                <w:p>
                  <w:pPr>
                    <w:pStyle w:val="Normal"/>
                    <w:widowControl/>
                    <w:suppressAutoHyphens w:val="false"/>
                    <w:spacing w:before="60" w:after="60"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ru-RU" w:bidi="ar-SA"/>
                    </w:rPr>
                    <w:t>3 экз.</w:t>
                  </w:r>
                </w:p>
              </w:tc>
            </w:tr>
          </w:tbl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Вся документация на Оборудование должна быть на русском языке, иностранные тексты должны содержать официальный перевод (подстрочный, либо текст отдельным комплектом).</w:t>
            </w:r>
          </w:p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Одновременно с оригиналами документов, также предоставляются документы в электронном виде в формате *.pdf.</w:t>
            </w:r>
          </w:p>
        </w:tc>
      </w:tr>
      <w:tr>
        <w:trPr>
          <w:trHeight w:val="198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18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Передача документации</w:t>
            </w:r>
          </w:p>
        </w:tc>
        <w:tc>
          <w:tcPr>
            <w:tcW w:w="1243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Поставщик обязан направить скан-копии оригиналов всех сопроводительных документов (паспортов и сертификатов) в адрес Заказчика заблаговременно, но не позднее чем за 2 (два) календарных дня до предполагаемой даты поставки продукции.</w:t>
            </w:r>
          </w:p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Помимо бумажных копий (в 3-х экз.), документация должна быть предоставлена на отчуждаемом носителе (USB-flash) в редактируемых форматах (PDF с текстовым слоем, DOCX, XLSX). Для ПО предоставляются дистрибутивы и резервные копии сконфигурированной базы данных.</w:t>
            </w:r>
          </w:p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Скан-копии должны быть выполнены с оригиналов документов, иметь высокое разрешение и полностью соответствовать бумажным оригиналам, передаваемым вместе с продукцией.</w:t>
            </w:r>
          </w:p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При невыполнении требований по предварительному направлению скан-копий или при предоставлении нечитаемых документов, Заказчик оставляет за собой право приостановить приемку Продукции до момента устранения замечаний Поставщиком.</w:t>
            </w:r>
          </w:p>
        </w:tc>
      </w:tr>
      <w:tr>
        <w:trPr>
          <w:trHeight w:val="198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18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Состав технической и эксплуатационной документации</w:t>
            </w:r>
          </w:p>
        </w:tc>
        <w:tc>
          <w:tcPr>
            <w:tcW w:w="1243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С каждой единицей продукции (или на комплект АСУТП) Поставщик обязан предоставить документацию на русском языке:</w:t>
            </w:r>
          </w:p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Паспорта и формуляры (с отметками ОТК завода-изготовителя);</w:t>
            </w:r>
          </w:p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Руководства по эксплуатации и инструкции по монтажу;</w:t>
            </w:r>
          </w:p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Сертификаты соответствия (ТР ТС) и декларации;</w:t>
            </w:r>
          </w:p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Ведомость комплектности (ЗиП)</w:t>
            </w:r>
          </w:p>
        </w:tc>
      </w:tr>
      <w:tr>
        <w:trPr>
          <w:trHeight w:val="198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18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Состав комплекта документов для ПТК</w:t>
            </w:r>
          </w:p>
        </w:tc>
        <w:tc>
          <w:tcPr>
            <w:tcW w:w="1243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Лицензионные формуляры на программное обеспечение с указанием серийных ключей и срока действия техподдержки.</w:t>
            </w:r>
          </w:p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Копии сертификатов ФСТЭК/ФСБ на средства защиты информации (если предусмотрено проектом).</w:t>
            </w:r>
          </w:p>
          <w:p>
            <w:pPr>
              <w:pStyle w:val="ListParagraph"/>
              <w:widowControl/>
              <w:numPr>
                <w:ilvl w:val="2"/>
                <w:numId w:val="18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Методика и протоколы заводских испытаний (FAT-test), подтверждающие работоспособность ПТК перед отгрузкой</w:t>
            </w:r>
          </w:p>
        </w:tc>
      </w:tr>
    </w:tbl>
    <w:p>
      <w:pPr>
        <w:pStyle w:val="Normal"/>
        <w:tabs>
          <w:tab w:val="clear" w:pos="708"/>
          <w:tab w:val="left" w:pos="1200" w:leader="none"/>
        </w:tabs>
        <w:spacing w:before="240" w:after="120"/>
        <w:jc w:val="both"/>
        <w:rPr>
          <w:b/>
          <w:i/>
          <w:i/>
          <w:sz w:val="24"/>
          <w:szCs w:val="24"/>
          <w:u w:val="single"/>
        </w:rPr>
      </w:pPr>
      <w:r>
        <w:rPr>
          <w:rFonts w:eastAsia="Calibri"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  <w:u w:val="single"/>
        </w:rPr>
        <w:t>Стадия 3. Выполнение шеф-монтажных и пусконаладчных работ (позиции №№ 1.2.1, 1.2.2, 1.3.1, 1.3.2. Таблицы 2.2.)</w:t>
      </w:r>
    </w:p>
    <w:p>
      <w:pPr>
        <w:pStyle w:val="Normal"/>
        <w:spacing w:before="120" w:after="60"/>
        <w:jc w:val="right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Таблица 3.3. Требования к выполнению шеф-монтажных и пусконаладочных работ</w:t>
      </w:r>
    </w:p>
    <w:tbl>
      <w:tblPr>
        <w:tblStyle w:val="1c"/>
        <w:tblW w:w="1569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91"/>
        <w:gridCol w:w="2169"/>
        <w:gridCol w:w="12438"/>
      </w:tblGrid>
      <w:tr>
        <w:trPr>
          <w:trHeight w:val="280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169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Наименование параметра</w:t>
            </w:r>
          </w:p>
        </w:tc>
        <w:tc>
          <w:tcPr>
            <w:tcW w:w="12438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Требование заказчика</w:t>
            </w:r>
          </w:p>
        </w:tc>
      </w:tr>
      <w:tr>
        <w:trPr>
          <w:trHeight w:val="49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69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12438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20"/>
              </w:numPr>
              <w:suppressAutoHyphens w:val="true"/>
              <w:spacing w:before="60" w:after="60"/>
              <w:ind w:hanging="360" w:left="360" w:right="34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1460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Требования к выполнению шеф-монтажных и пусконаладочных работ</w:t>
            </w:r>
          </w:p>
        </w:tc>
      </w:tr>
      <w:tr>
        <w:trPr>
          <w:trHeight w:val="66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20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b/>
                <w:bCs/>
              </w:rPr>
            </w:pPr>
            <w:r>
              <w:rPr>
                <w:rFonts w:cs="" w:ascii="Calibri" w:hAnsi="Calibri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en-US" w:bidi="ar-SA"/>
              </w:rPr>
              <w:t>Общие требования к шефмонтажу</w:t>
            </w:r>
          </w:p>
        </w:tc>
        <w:tc>
          <w:tcPr>
            <w:tcW w:w="12438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Целью шефмонтажа является обеспечение соблюдения требований технической документации предприятия-изготовителя при ведении монтажа, хранении оборудования на объекте Заказчика в период шефмонтажа, пуске и комплексном опробовании оборудования путем технического руководства и контроля со стороны шефперсонала предприятия-изготовителя, а также квалифицированного и оперативного решения вопросов, возникающих в ходе монтажа оборудования, в зоне ответственности Поставщика.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20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Требование к качеству оказанию услуг по шефмонтажу</w:t>
            </w:r>
          </w:p>
        </w:tc>
        <w:tc>
          <w:tcPr>
            <w:tcW w:w="12438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20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 xml:space="preserve">Оказание услуг по шефмонтажу в соответствии с ГОСТ Р 56203-2015. «Национальный стандарт Российской Федерации. Оборудование энергетическое тепло- и гидромеханическое. Шефмонтаж и шефналадка. </w:t>
            </w:r>
          </w:p>
          <w:p>
            <w:pPr>
              <w:pStyle w:val="ListParagraph"/>
              <w:widowControl/>
              <w:numPr>
                <w:ilvl w:val="2"/>
                <w:numId w:val="20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Общие требования Приложение № 2 к ТТ.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20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b/>
                <w:bCs/>
              </w:rPr>
            </w:pPr>
            <w:r>
              <w:rPr>
                <w:rFonts w:cs="" w:ascii="Calibri" w:hAnsi="Calibri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en-US" w:bidi="ar-SA"/>
              </w:rPr>
              <w:t>Обязанности шефперсонала шефмонтажа</w:t>
            </w:r>
          </w:p>
        </w:tc>
        <w:tc>
          <w:tcPr>
            <w:tcW w:w="12438" w:type="dxa"/>
            <w:tcBorders/>
            <w:shd w:color="auto" w:fill="auto" w:val="clear"/>
          </w:tcPr>
          <w:p>
            <w:pPr>
              <w:pStyle w:val="ListParagraph"/>
              <w:widowControl/>
              <w:numPr>
                <w:ilvl w:val="2"/>
                <w:numId w:val="20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en-US" w:eastAsia="en-US" w:bidi="ar-SA"/>
              </w:rPr>
              <w:t>Шефперсонал обязан:</w:t>
            </w:r>
          </w:p>
          <w:p>
            <w:pPr>
              <w:pStyle w:val="ListParagraph"/>
              <w:widowControl/>
              <w:numPr>
                <w:ilvl w:val="0"/>
                <w:numId w:val="21"/>
              </w:numPr>
              <w:suppressAutoHyphens w:val="false"/>
              <w:spacing w:before="60" w:after="60"/>
              <w:ind w:hanging="567" w:left="1276"/>
              <w:contextualSpacing/>
              <w:jc w:val="both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Обеспечивать руководство работами по шефмонтажу;</w:t>
            </w:r>
          </w:p>
          <w:p>
            <w:pPr>
              <w:pStyle w:val="ListParagraph"/>
              <w:widowControl/>
              <w:numPr>
                <w:ilvl w:val="0"/>
                <w:numId w:val="21"/>
              </w:numPr>
              <w:suppressAutoHyphens w:val="false"/>
              <w:spacing w:before="60" w:after="60"/>
              <w:ind w:hanging="567" w:left="1276"/>
              <w:contextualSpacing/>
              <w:jc w:val="both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Решать производственные вопросы, в случае необходимости привлекая соответствующие подразделения предприятия-изготовителя;</w:t>
            </w:r>
          </w:p>
          <w:p>
            <w:pPr>
              <w:pStyle w:val="ListParagraph"/>
              <w:widowControl/>
              <w:numPr>
                <w:ilvl w:val="0"/>
                <w:numId w:val="21"/>
              </w:numPr>
              <w:suppressAutoHyphens w:val="false"/>
              <w:spacing w:before="60" w:after="60"/>
              <w:ind w:hanging="567" w:left="1276"/>
              <w:contextualSpacing/>
              <w:jc w:val="both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Участвовать в стендовых испытаниях головного оборудования на предприятии-изготовителе для обеспечения гарантированных показателей работы;</w:t>
            </w:r>
          </w:p>
          <w:p>
            <w:pPr>
              <w:pStyle w:val="ListParagraph"/>
              <w:widowControl/>
              <w:numPr>
                <w:ilvl w:val="0"/>
                <w:numId w:val="21"/>
              </w:numPr>
              <w:suppressAutoHyphens w:val="false"/>
              <w:spacing w:before="60" w:after="60"/>
              <w:ind w:hanging="567" w:left="1276"/>
              <w:contextualSpacing/>
              <w:jc w:val="both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Добиваться от руководства предприятия-изготовителя принятия мер по устранению выявленных дефектов оборудования, по его доукомплектованию недостающими или требующими замены деталями и изделиями в объеме поставки предприятия-изготовителя;</w:t>
            </w:r>
          </w:p>
          <w:p>
            <w:pPr>
              <w:pStyle w:val="ListParagraph"/>
              <w:widowControl/>
              <w:numPr>
                <w:ilvl w:val="0"/>
                <w:numId w:val="21"/>
              </w:numPr>
              <w:suppressAutoHyphens w:val="false"/>
              <w:spacing w:before="60" w:after="60"/>
              <w:ind w:hanging="567" w:left="1276"/>
              <w:contextualSpacing/>
              <w:jc w:val="both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Требовать от субпоставщиков соблюдения технических требований предприятия-изготовителя к условиям хранения, монтажа, ввода в эксплуатацию и обслуживания оборудования;</w:t>
            </w:r>
          </w:p>
          <w:p>
            <w:pPr>
              <w:pStyle w:val="ListParagraph"/>
              <w:widowControl/>
              <w:numPr>
                <w:ilvl w:val="0"/>
                <w:numId w:val="21"/>
              </w:numPr>
              <w:suppressAutoHyphens w:val="false"/>
              <w:spacing w:before="60" w:after="60"/>
              <w:ind w:hanging="567" w:left="1276"/>
              <w:contextualSpacing/>
              <w:jc w:val="both"/>
              <w:rPr>
                <w:iCs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Представлять отчеты о ходе монтажа, наладки и доводки энергооборудования в согласованные с Заказчиком сроки на стадии Заключения договора.</w:t>
            </w:r>
          </w:p>
          <w:p>
            <w:pPr>
              <w:pStyle w:val="ListParagraph"/>
              <w:widowControl/>
              <w:numPr>
                <w:ilvl w:val="2"/>
                <w:numId w:val="20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iCs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Разрабатывает мероприятия по обеспечению гарантированных показателей работы оборудования, его технико-экономического уровня и персонально несет ответственность за качество строительно-монтажных и наладочных работ на данном оборудовании.</w:t>
            </w:r>
          </w:p>
          <w:p>
            <w:pPr>
              <w:pStyle w:val="ListParagraph"/>
              <w:widowControl/>
              <w:numPr>
                <w:ilvl w:val="2"/>
                <w:numId w:val="20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iCs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В период пусконаладочных работ и приемо-сдаточных испытаний, которые должны производиться только после подписания необходимой документации, подтверждающей готовность к пуску, шефперсонал должен вести наблюдение за работой оборудования, а при необходимости должен давать указания, являющиеся обязательными для персонала, если эти указания не противоречат правилам технической эксплуатации электрических станций и сетей, правилам техники безопасности, правилам Ростехнадзора РФ.</w:t>
            </w:r>
          </w:p>
          <w:p>
            <w:pPr>
              <w:pStyle w:val="ListParagraph"/>
              <w:widowControl/>
              <w:numPr>
                <w:ilvl w:val="2"/>
                <w:numId w:val="20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iCs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Поставщик несет ответственность за правильность и надлежащее качество шефмонтажа в соответствии с требованиями технической документации.</w:t>
            </w:r>
          </w:p>
          <w:p>
            <w:pPr>
              <w:pStyle w:val="ListParagraph"/>
              <w:widowControl/>
              <w:numPr>
                <w:ilvl w:val="2"/>
                <w:numId w:val="20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iCs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Ответственность Поставщика за неудовлетворительное качество шефмонтажа определяется действующим законодательством и нормативными документами о материальной ответственности предприятий и организаций за выполнение заданий и обязательств.</w:t>
            </w:r>
          </w:p>
          <w:p>
            <w:pPr>
              <w:pStyle w:val="ListParagraph"/>
              <w:widowControl/>
              <w:numPr>
                <w:ilvl w:val="2"/>
                <w:numId w:val="20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iCs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Шефперсонал должен способствовать выполнению графиков монтажных и пусконаладочных работ на объекте Заказчика. Шефперсонал должен быть русскоязычным, либо обеспечен квалифицированными переводчиками за счет Поставщика.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20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b/>
                <w:bCs/>
              </w:rPr>
            </w:pPr>
            <w:r>
              <w:rPr>
                <w:rFonts w:cs="" w:ascii="Calibri" w:hAnsi="Calibri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en-US" w:bidi="ar-SA"/>
              </w:rPr>
              <w:t>Требования к шефперсоналу шефмонтажа</w:t>
            </w:r>
          </w:p>
        </w:tc>
        <w:tc>
          <w:tcPr>
            <w:tcW w:w="12438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false"/>
              <w:spacing w:before="60" w:after="60"/>
              <w:ind w:hanging="709" w:left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Шефперсонал Поставщика должен иметь:</w:t>
            </w:r>
          </w:p>
          <w:p>
            <w:pPr>
              <w:pStyle w:val="ListParagraph"/>
              <w:widowControl/>
              <w:numPr>
                <w:ilvl w:val="2"/>
                <w:numId w:val="20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iCs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Заверенные копии документов о прохождении обучения и аттестации по специальности или удостоверения установленного образца.</w:t>
            </w:r>
          </w:p>
          <w:p>
            <w:pPr>
              <w:pStyle w:val="ListParagraph"/>
              <w:widowControl/>
              <w:numPr>
                <w:ilvl w:val="2"/>
                <w:numId w:val="20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iCs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Удостоверения по проверке знаний требований охраны труда и электробезопасности соответствующей виду выполняемой работы.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20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b/>
                <w:bCs/>
              </w:rPr>
            </w:pPr>
            <w:r>
              <w:rPr>
                <w:rFonts w:cs="" w:ascii="Calibri" w:hAnsi="Calibri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Общие требования к выполнению пусконаладочных работ</w:t>
            </w:r>
          </w:p>
        </w:tc>
        <w:tc>
          <w:tcPr>
            <w:tcW w:w="12438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20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iCs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Все работы должны проводиться в соответствии с рабочей документацией, переданной Заказчиком и документацией, разработанной в рамках настоящих технических требований.</w:t>
            </w:r>
          </w:p>
          <w:p>
            <w:pPr>
              <w:pStyle w:val="ListParagraph"/>
              <w:widowControl/>
              <w:numPr>
                <w:ilvl w:val="2"/>
                <w:numId w:val="20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iCs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Все работы выполняются в соответствии с этапностью, определенной рабочей документацией.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20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Требование к Программе и методике испытаний (ПМИ)</w:t>
            </w:r>
          </w:p>
        </w:tc>
        <w:tc>
          <w:tcPr>
            <w:tcW w:w="12438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20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 xml:space="preserve">До начала выполнения работ Поставщик обязан разработать и согласовать с Заказчиком и эксплуатирующими службами Владивостокской ТЭЦ-2 Программу и методику испытаний (ПМИ). </w:t>
            </w:r>
          </w:p>
          <w:p>
            <w:pPr>
              <w:pStyle w:val="ListParagraph"/>
              <w:widowControl/>
              <w:numPr>
                <w:ilvl w:val="2"/>
                <w:numId w:val="20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ПМИ должна быть разработана в соответствии с ГОСТ 34.603-92 и содержать детальное описание проверок всех контуров регулирования, алгоритмов защит, блокировок и функций информационной безопасности.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20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Требование к этапам ПНР и комплексному опробованию</w:t>
            </w:r>
          </w:p>
        </w:tc>
        <w:tc>
          <w:tcPr>
            <w:tcW w:w="12438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20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 xml:space="preserve">Пусконаладочные работы считаются завершенными только после успешного проведения комплексного опробования основного технологического оборудования (котлоагрегатов/турбоагрегатов) под нагрузкой в течение 72 часов (согласно Правилам технической эксплуатации). </w:t>
            </w:r>
          </w:p>
          <w:p>
            <w:pPr>
              <w:pStyle w:val="ListParagraph"/>
              <w:widowControl/>
              <w:numPr>
                <w:ilvl w:val="2"/>
                <w:numId w:val="20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В ходе опробования Поставщик обязан подтвердить устойчивость работы автоматических регуляторов во всех диапазонах нагрузок.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20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Требование к квалификации и инструментарию</w:t>
            </w:r>
          </w:p>
        </w:tc>
        <w:tc>
          <w:tcPr>
            <w:tcW w:w="12438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20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 xml:space="preserve">Для выполнения ПНР Поставщик обязан использовать сертифицированные контрольно-измерительные приборы и актуальные версии инженерного программного обеспечения, имеющие лицензионную поддержку. </w:t>
            </w:r>
          </w:p>
          <w:p>
            <w:pPr>
              <w:pStyle w:val="ListParagraph"/>
              <w:widowControl/>
              <w:numPr>
                <w:ilvl w:val="2"/>
                <w:numId w:val="20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Персонал Поставщика должен иметь действующие допуски по электробезопасности (не ниже IV группы) и промышленной безопасности на объектах энергетики.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20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Требование к отчетной (исполнительной) документации</w:t>
            </w:r>
          </w:p>
        </w:tc>
        <w:tc>
          <w:tcPr>
            <w:tcW w:w="12438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 xml:space="preserve">По результатам ПНР Поставщик предоставляет Заказчику комплект исполнительной документации, включающий: </w:t>
            </w:r>
          </w:p>
          <w:p>
            <w:pPr>
              <w:pStyle w:val="ListParagraph"/>
              <w:widowControl/>
              <w:numPr>
                <w:ilvl w:val="0"/>
                <w:numId w:val="14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 xml:space="preserve">Протоколы индивидуальных испытаний; </w:t>
            </w:r>
          </w:p>
          <w:p>
            <w:pPr>
              <w:pStyle w:val="ListParagraph"/>
              <w:widowControl/>
              <w:numPr>
                <w:ilvl w:val="0"/>
                <w:numId w:val="14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 xml:space="preserve">Акты проверки прохождения сигналов; </w:t>
            </w:r>
          </w:p>
          <w:p>
            <w:pPr>
              <w:pStyle w:val="ListParagraph"/>
              <w:widowControl/>
              <w:numPr>
                <w:ilvl w:val="0"/>
                <w:numId w:val="14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 xml:space="preserve">Карты фактических уставок технологических защит; </w:t>
            </w:r>
          </w:p>
          <w:p>
            <w:pPr>
              <w:pStyle w:val="ListParagraph"/>
              <w:widowControl/>
              <w:numPr>
                <w:ilvl w:val="0"/>
                <w:numId w:val="14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Резервные копии (образы) настроенного прикладного ПО и баз данных на отчуждаемых носителях.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20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Требование к настройке ИБ (Информационной безопасности)</w:t>
            </w:r>
          </w:p>
        </w:tc>
        <w:tc>
          <w:tcPr>
            <w:tcW w:w="12438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20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 xml:space="preserve">В рамках ПНР Поставщик обязан выполнить настройку средств защиты информации в соответствии с проектными решениями и требованиями ФСТЭК России для значимых объектов КИИ. </w:t>
            </w:r>
          </w:p>
          <w:p>
            <w:pPr>
              <w:pStyle w:val="ListParagraph"/>
              <w:widowControl/>
              <w:numPr>
                <w:ilvl w:val="2"/>
                <w:numId w:val="20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Выполнение работ подтверждается протоколом успешного тестирования политик безопасности и отсутствия уязвимостей в настроенном ПТК.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20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Требование к «Тонкой настройке» (Оптимизации)</w:t>
            </w:r>
          </w:p>
        </w:tc>
        <w:tc>
          <w:tcPr>
            <w:tcW w:w="12438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Поставщик обязуется выполнить оптимизацию динамических настроек автоматических регуляторов (АСАР) в течение первого месяца подконтрольной эксплуатации оборудования, если в процессе работы будут выявлены отклонения от заданных критериев качества регулирования.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20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Требования к реализации цифрового обмена</w:t>
            </w:r>
          </w:p>
        </w:tc>
        <w:tc>
          <w:tcPr>
            <w:tcW w:w="12438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20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Пусконаладочные работы по АСУТП ЭТО должны включать в себя проверку и наладку информационного обмена между терминалами РЗА, контроллерами присоединений и серверами общестанционного уровня в соответствии со стандартом МЭК 61850.</w:t>
            </w:r>
          </w:p>
          <w:p>
            <w:pPr>
              <w:pStyle w:val="ListParagraph"/>
              <w:widowControl/>
              <w:numPr>
                <w:ilvl w:val="2"/>
                <w:numId w:val="20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Поставщик обязан подтвердить корректность передачи GOOSE-сообщений и MMS-отчетов в рамках настроенной цифровой сети объектов (СДПМ, СОШ, ЦППС).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20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Проверка интеграции с РЗА и ПА</w:t>
            </w:r>
          </w:p>
        </w:tc>
        <w:tc>
          <w:tcPr>
            <w:tcW w:w="12438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20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 xml:space="preserve">В рамках ПНР должна быть проведена проверка взаимодействия АСУТП ЭТО с микропроцессорными устройствами релейной защиты (РЗА) и противоаварийной автоматики (ПА). </w:t>
            </w:r>
          </w:p>
          <w:p>
            <w:pPr>
              <w:pStyle w:val="ListParagraph"/>
              <w:widowControl/>
              <w:numPr>
                <w:ilvl w:val="2"/>
                <w:numId w:val="20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Результатом работ должно стать обеспечение 100% достоверности телесигнализации, телеизмерений и прохождения команд телеуправления, подтвержденное совместными протоколами со смежными подрядными организациями.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20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Настройка и верификация системы единого времени (СЕВ)</w:t>
            </w:r>
          </w:p>
        </w:tc>
        <w:tc>
          <w:tcPr>
            <w:tcW w:w="12438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20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 xml:space="preserve">Поставщик обязан выполнить настройку системы единого точного времени с точностью синхронизации не хуже 1 мс для всех узлов АСУТП ЭТО. </w:t>
            </w:r>
          </w:p>
          <w:p>
            <w:pPr>
              <w:pStyle w:val="ListParagraph"/>
              <w:widowControl/>
              <w:numPr>
                <w:ilvl w:val="2"/>
                <w:numId w:val="20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В ходе ПНР должна быть подтверждена корректность присвоения меток времени (SOE) для регистрации аварийных событий в соответствии с требованиями СО ЕЭС.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20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Испытания в части кибербезопасности (КИИ)</w:t>
            </w:r>
          </w:p>
        </w:tc>
        <w:tc>
          <w:tcPr>
            <w:tcW w:w="12438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20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 xml:space="preserve">Учитывая статус объектов как значимых элементов КИИ, в рамках ПНР обязательна настройка и проверка работоспособности системы обнаружения вторжений (СОВ), межсетевого экранирования и контроля доступа. </w:t>
            </w:r>
          </w:p>
          <w:p>
            <w:pPr>
              <w:pStyle w:val="ListParagraph"/>
              <w:widowControl/>
              <w:numPr>
                <w:ilvl w:val="2"/>
                <w:numId w:val="20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По завершении работ Поставщик предоставляет отчет о сканировании сети на отсутствие уязвимостей и корректность настройки политик безопасности.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20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Комплексное опробование и сдача-приемка</w:t>
            </w:r>
          </w:p>
        </w:tc>
        <w:tc>
          <w:tcPr>
            <w:tcW w:w="12438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20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 xml:space="preserve">Приемка АСУТП ЭТО осуществляется по результатам успешного комплексного опробования оборудования объектов (СДПМ, СОШ, ЦППС) в течение 72 часов. </w:t>
            </w:r>
          </w:p>
          <w:p>
            <w:pPr>
              <w:pStyle w:val="ListParagraph"/>
              <w:widowControl/>
              <w:numPr>
                <w:ilvl w:val="2"/>
                <w:numId w:val="20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/>
                <w:iCs/>
                <w:kern w:val="0"/>
                <w:lang w:val="ru-RU" w:eastAsia="en-US" w:bidi="ar-SA"/>
              </w:rPr>
              <w:t>Поставщик обязан предоставить актуальные конфигурационные файлы (в форматах SCD, CID, IID) и исполнительные схемы, отражающие все изменения, внесенные в ходе наладки.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20"/>
              </w:numPr>
              <w:suppressAutoHyphens w:val="true"/>
              <w:spacing w:before="60" w:after="60"/>
              <w:ind w:hanging="360" w:left="360" w:right="34"/>
              <w:contextualSpacing/>
              <w:jc w:val="center"/>
              <w:rPr>
                <w:b/>
                <w:bCs/>
              </w:rPr>
            </w:pPr>
            <w:r>
              <w:rPr>
                <w:rFonts w:cs="" w:ascii="Calibri" w:hAnsi="Calibri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1460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both"/>
              <w:rPr>
                <w:iCs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Заключительные положения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20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b/>
                <w:bCs/>
              </w:rPr>
            </w:pPr>
            <w:r>
              <w:rPr>
                <w:rFonts w:cs="" w:ascii="Calibri" w:hAnsi="Calibri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en-US" w:bidi="ar-SA"/>
              </w:rPr>
              <w:t>Прочие требования</w:t>
            </w:r>
          </w:p>
        </w:tc>
        <w:tc>
          <w:tcPr>
            <w:tcW w:w="12438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both"/>
              <w:rPr>
                <w:iCs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Поставщик должен соблюдать внутренние правовые нормы и акты Заказчика строительства Владивостокской ТЭЦ-2 при проведении работ на территории существующей станции, ознакомление с которыми осуществляется на этапе заключения договора.</w:t>
            </w:r>
          </w:p>
        </w:tc>
      </w:tr>
      <w:tr>
        <w:trPr>
          <w:trHeight w:val="283" w:hRule="atLeast"/>
        </w:trPr>
        <w:tc>
          <w:tcPr>
            <w:tcW w:w="10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20"/>
              </w:numPr>
              <w:suppressAutoHyphens w:val="true"/>
              <w:spacing w:before="60" w:after="60"/>
              <w:ind w:hanging="0" w:left="23" w:right="34"/>
              <w:contextualSpacing/>
              <w:jc w:val="center"/>
              <w:rPr>
                <w:b/>
                <w:bCs/>
              </w:rPr>
            </w:pPr>
            <w:r>
              <w:rPr>
                <w:rFonts w:cs="" w:ascii="Calibri" w:hAnsi="Calibri"/>
                <w:b/>
                <w:bCs/>
                <w:kern w:val="0"/>
                <w:lang w:val="ru-RU" w:eastAsia="en-US" w:bidi="ar-SA"/>
              </w:rPr>
            </w:r>
          </w:p>
        </w:tc>
        <w:tc>
          <w:tcPr>
            <w:tcW w:w="2169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Calibri" w:cs="" w:ascii="Calibri" w:hAnsi="Calibri"/>
                <w:i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438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20"/>
              </w:numPr>
              <w:suppressAutoHyphens w:val="true"/>
              <w:spacing w:before="60" w:after="60"/>
              <w:ind w:hanging="709" w:left="709"/>
              <w:contextualSpacing/>
              <w:jc w:val="both"/>
              <w:rPr>
                <w:iCs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Поставщик должен руководствоваться действующей редакцией следующих национальных, отраслевых и корпоративных нормативно-техническими документами (НТД):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Федеральный закон Российской Федерации от 21.12.1994 № 69-ФЗ «О пожарной безопасности».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Федеральный закон Российской Федерации от 21.07.1997 № 116-ФЗ «О промышленной безопасности опасных производственных объектов».</w:t>
            </w:r>
            <w:bookmarkStart w:id="76" w:name="_GoBack"/>
            <w:bookmarkEnd w:id="76"/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ГОСТ Р 22.1.12-2005 Безопасность в чрезвычайных ситуациях. Структурированная система мониторинга и управления инженерными системами зданий и сооружений. Общие требования.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Федеральный закон Российской Федерации от 06.03.2006 № 35-ФЗ «О противодействии терроризму».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Федеральный закон Российской Федерации от 21.07.2011 № 256-ФЗ «О безопасности объектов топливно-энергетического комплекса».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Постановление Правительства Российской Федерации от 05.05.2012 № 458 ДСП «Правила по обеспечению безопасности и антитеррористической защищенности объектов топливно-энергетического комплекса».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Федеральный закон Российской Федерации от 22.07.2008 № 123-ФЗ «Технический регламент о требованиях пожарной безопасности».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Приказ Минэнерго России от 12.11.2003 № 444 «Об утверждении порядка организации охраны объектов ведомственной охраной министерства энергетики Российской Федерации».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ГОСТ Р 21.1703-2000 «Система проектной документации для строительства. Правила выполнения рабочей документации проводных средств связи».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ГОСТ Р 21.110-2013 «Система проектной документации для строительства. Правила выполнения спецификации оборудования, изделий и материалов».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ГОСТ 2.106.96 ЕСКД «Текстовые документы».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ПУЭ «Правила устройства электроустановок».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«Рекомендации по оборудованию объектов топливно-энергетического комплекса инженерно-техническими средствами охраны». ФГУП «Управление ведомственной охраны Минэнерго России», г. Москва, 2003.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СНиП 12-03-2001 «Безопасность труда в строительстве», ч. 1. «Общие требования».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Федеральный закон Российской Федерации от 30.12.2009 № 384-ФЗ «Технический регламент о безопасности зданий и сооружений».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Постановление 1521 Перечень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«Технический регламент о безопасности зданий и сооружений».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Постановление Правительства РФ от 05.05.2012 № 459 «Об утверждении Положения об исходных данных для проведения категорирования объекта топливо-энергетического комплекса, порядке его проведения и критериях категорирования».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Приказ ФСТЭК России от 14.03.2014 № 31 «Об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объектах, потенциально опасных объектах, а также объектах, представляющих повышенную опасность для жизни и здоровья людей и окружающей природной среды».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Федеральный Закон Российской Федерации от 22.07.2008 № 123-ФЗ «Технический регламент о требованиях пожарной безопасности».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СП 6.13130.2013 «Системы противопожарной защиты. Электрооборудование. Требования пожарной безопасности» (СП-6.13130.2013).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ГОСТ 12.1.004-91 «Связь безопасность. Общие требования».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ГОСТ Р 21.101-2020 Система проектной документации для строительства. Основные требования к проектной и рабочей документации.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ГОСТ 21.1101-2013 «Основные требования к проектной и рабочей документации».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СП 90.13330.2012 «Электростанции тепловые».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 xml:space="preserve">Техническая политика Группы РусГидро </w:t>
            </w:r>
            <w:r>
              <w:rPr>
                <w:rFonts w:eastAsia="Symbol" w:cs="Symbol" w:ascii="Symbol" w:hAnsi="Symbol"/>
                <w:kern w:val="0"/>
                <w:lang w:val="ru-RU" w:eastAsia="en-US" w:bidi="ar-SA"/>
              </w:rPr>
              <w:sym w:font="Symbol" w:char="f02d"/>
            </w:r>
            <w:r>
              <w:rPr>
                <w:rFonts w:cs="Times New Roman"/>
                <w:kern w:val="0"/>
                <w:lang w:val="ru-RU" w:eastAsia="en-US" w:bidi="ar-SA"/>
              </w:rPr>
              <w:t xml:space="preserve"> Приложение № 4 к Техническим требованиям.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Федеральный закон Российской Федерации №184-ФЗ от 27.12.2002 «О техническом регулировании».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Постановление Правительства РФ от 17.07.2015 №719 «О подтверждении производства промышленной продукции на территории Российской Федерации»;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Постановление Правительства РФ от 28.05.2021 № 815 «Об утверждении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«Технический регламент о безопасности зданий и сооружений», и о признании утратившим силу постановления Правительства Российской Федерации от 04.07.2020 № 985».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Постановление Правительства РФ от 16.09.2020 № 1479 «Об утверждении Правил противопожарного режима в Российской Федерации».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Приказ Минтруда России от 16.11.2020 № 782н «Об утверждении Правил по охране труда при работе на высоте».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Правила устройства электроустановок (ПУЭ).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Приказ Минэнерго России от 19 июня 2003 г. №229 «Об утверждении Правил технической эксплуатации электрических станций и сетей Российской Федерации» (с изменениями).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Приказ Минтруда России от 11.12.2020 № 883н «Об утверждении Правил по охране труда при строительстве, реконструкции и ремонте».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СанПиН 1.2.3685-21 «Гигиенические нормативы и требования к обеспечению безопасности и (или) безвредности для человека факторов среды обитания».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СП 76.13330.2016 «Электротехнические устройства».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ГОСТ Р 2.601 «Единая система конструкторской документации. Эксплуатационные документы».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ГОСТ Р 2.610-2019 «Единая система конструкторской документации. Правила выполнения эксплуатационных документов».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СТО Нострой 2.23.93-2013 «Электромонтажные работы».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И 1.13-07 «Инструкция по оформлению приемо-сдаточной документации по электромонтажным работам».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Постановлением Правительства РФ от 05.05.2012 № 458 «Об утверждении правил по обеспечению безопасности и антитеррористической защищенности объектов ТЭК».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Федеральный закон от 21.07.1997 №116-ФЗ «О промышленной безопасности производственных объектов».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ГОСТ 12.1.003-2014 «Система стандартов безопасности труда. Шум. Общие требования безопасности».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СН 2.2.4/2.1.8.562-96 «Шум на рабочих местах, в помещениях жилых, общественных зданий и на территории жилой застройки».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ГОСТ 12.3.009-76 «Система стандартов безопасности труда. Работы погрузочно-разгрузочные. Общие требования безопасности».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ГОСТ 12.1.046-2014 «Межгосударственный стандарт. Система стандартов безопасности труда. Строительство. Нормы освещения строительных площадок».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ГОСТ Р 58176-2018 Национальный стандарт Российской Федерации. Электроэнергетика. Энергетическое строительство. Организация пусконаладочных работ на тепловых электрических станциях. Общие требования.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СП 2.2.3670-20 Санитарно-эпидемиологические требования к условиям труда.</w:t>
            </w:r>
          </w:p>
          <w:p>
            <w:pPr>
              <w:pStyle w:val="Normal"/>
              <w:widowControl/>
              <w:suppressAutoHyphens w:val="true"/>
              <w:spacing w:before="60" w:after="60"/>
              <w:ind w:left="720"/>
              <w:jc w:val="both"/>
              <w:rPr>
                <w:iCs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ГОСТ Р 58604-2019 Тепловые электрические станции автоматизированные системы управления технологическими процессами. Условия создания. Нормы и требования</w:t>
            </w:r>
          </w:p>
        </w:tc>
      </w:tr>
    </w:tbl>
    <w:p>
      <w:pPr>
        <w:pStyle w:val="Normal"/>
        <w:tabs>
          <w:tab w:val="clear" w:pos="708"/>
          <w:tab w:val="left" w:pos="1200" w:leader="none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sectPr>
          <w:headerReference w:type="default" r:id="rId4"/>
          <w:headerReference w:type="first" r:id="rId5"/>
          <w:footerReference w:type="default" r:id="rId6"/>
          <w:footerReference w:type="first" r:id="rId7"/>
          <w:footnotePr>
            <w:numFmt w:val="decimal"/>
          </w:footnotePr>
          <w:type w:val="nextPage"/>
          <w:pgSz w:orient="landscape" w:w="16838" w:h="11906"/>
          <w:pgMar w:left="567" w:right="567" w:gutter="0" w:header="0" w:top="1134" w:footer="567" w:bottom="709"/>
          <w:pgNumType w:fmt="decimal"/>
          <w:formProt w:val="false"/>
          <w:textDirection w:val="lrTb"/>
          <w:docGrid w:type="default" w:linePitch="381" w:charSpace="0"/>
        </w:sectPr>
        <w:pStyle w:val="Normal"/>
        <w:tabs>
          <w:tab w:val="clear" w:pos="708"/>
          <w:tab w:val="left" w:pos="1200" w:leader="none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ab/>
      </w:r>
    </w:p>
    <w:p>
      <w:pPr>
        <w:pStyle w:val="Normal"/>
        <w:spacing w:before="0" w:after="120"/>
        <w:ind w:left="426"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</w:r>
    </w:p>
    <w:p>
      <w:pPr>
        <w:pStyle w:val="Heading1"/>
        <w:numPr>
          <w:ilvl w:val="0"/>
          <w:numId w:val="7"/>
        </w:numPr>
        <w:spacing w:before="240" w:after="240"/>
        <w:ind w:hanging="0" w:left="0"/>
        <w:jc w:val="center"/>
        <w:rPr/>
      </w:pPr>
      <w:bookmarkStart w:id="77" w:name="__RefHeading___Toc3346_3536327007"/>
      <w:bookmarkStart w:id="78" w:name="_Toc243557610"/>
      <w:bookmarkStart w:id="79" w:name="_Toc243031766"/>
      <w:bookmarkStart w:id="80" w:name="_Toc243288119"/>
      <w:bookmarkStart w:id="81" w:name="_Toc208411812"/>
      <w:bookmarkStart w:id="82" w:name="_Toc243028969"/>
      <w:bookmarkStart w:id="83" w:name="_Toc53393312"/>
      <w:bookmarkStart w:id="84" w:name="_Toc46743519"/>
      <w:bookmarkStart w:id="85" w:name="_Toc120722015"/>
      <w:bookmarkStart w:id="86" w:name="_Toc51339699"/>
      <w:bookmarkEnd w:id="77"/>
      <w:bookmarkEnd w:id="84"/>
      <w:bookmarkEnd w:id="85"/>
      <w:bookmarkEnd w:id="86"/>
      <w:r>
        <w:rPr/>
        <w:t>Требования к документации по ценообразованию</w:t>
      </w:r>
      <w:bookmarkEnd w:id="83"/>
      <w:r>
        <w:rPr/>
        <w:t xml:space="preserve"> на этапе закупки</w:t>
      </w:r>
      <w:bookmarkEnd w:id="78"/>
      <w:bookmarkEnd w:id="79"/>
      <w:bookmarkEnd w:id="80"/>
      <w:bookmarkEnd w:id="81"/>
      <w:bookmarkEnd w:id="82"/>
    </w:p>
    <w:p>
      <w:pPr>
        <w:pStyle w:val="ListParagraph"/>
        <w:numPr>
          <w:ilvl w:val="1"/>
          <w:numId w:val="15"/>
        </w:numPr>
        <w:spacing w:before="60" w:after="60"/>
        <w:ind w:hanging="709" w:left="709"/>
        <w:contextualSpacing/>
        <w:jc w:val="both"/>
        <w:rPr>
          <w:lang w:val="x-none" w:eastAsia="x-none"/>
        </w:rPr>
      </w:pPr>
      <w:r>
        <w:rPr>
          <w:lang w:val="x-none" w:eastAsia="x-none"/>
        </w:rPr>
        <w:t>В обоснование стоимости своей заявки Участник предоставляет Коммерческое предложение.</w:t>
      </w:r>
    </w:p>
    <w:p>
      <w:pPr>
        <w:pStyle w:val="ListParagraph"/>
        <w:numPr>
          <w:ilvl w:val="1"/>
          <w:numId w:val="15"/>
        </w:numPr>
        <w:spacing w:before="60" w:after="60"/>
        <w:ind w:hanging="709" w:left="709"/>
        <w:contextualSpacing/>
        <w:jc w:val="both"/>
        <w:rPr>
          <w:lang w:val="x-none" w:eastAsia="x-none"/>
        </w:rPr>
      </w:pPr>
      <w:r>
        <w:rPr>
          <w:lang w:val="x-none" w:eastAsia="x-none"/>
        </w:rPr>
        <w:t>Вместе с Коммерческим предложением Участник должен предоставить в составе заявки спецификацию поставляемого оборудования (в случае поставки оборудования (материалов) комплектом в спецификации необходимо разбить его на позиции с указанием полного наименования (тип, марка, артикул) каждой составляющей и стоимости за единицу).»</w:t>
      </w:r>
    </w:p>
    <w:p>
      <w:pPr>
        <w:pStyle w:val="Heading1"/>
        <w:numPr>
          <w:ilvl w:val="0"/>
          <w:numId w:val="7"/>
        </w:numPr>
        <w:spacing w:before="240" w:after="240"/>
        <w:ind w:hanging="0" w:left="0"/>
        <w:jc w:val="center"/>
        <w:rPr/>
      </w:pPr>
      <w:bookmarkStart w:id="87" w:name="__RefHeading___Toc3348_3536327007"/>
      <w:bookmarkStart w:id="88" w:name="_Toc243557611"/>
      <w:bookmarkStart w:id="89" w:name="_Toc243288120"/>
      <w:bookmarkStart w:id="90" w:name="_Toc243031767"/>
      <w:bookmarkStart w:id="91" w:name="_Toc243028970"/>
      <w:bookmarkStart w:id="92" w:name="_Toc208411813"/>
      <w:bookmarkStart w:id="93" w:name="_Toc147413096"/>
      <w:bookmarkEnd w:id="87"/>
      <w:r>
        <w:rPr/>
        <w:t>Требования к документации по ценообразованию на этапе заключения (исполнения) договора</w:t>
      </w:r>
      <w:bookmarkEnd w:id="88"/>
      <w:bookmarkEnd w:id="89"/>
      <w:bookmarkEnd w:id="90"/>
      <w:bookmarkEnd w:id="91"/>
      <w:bookmarkEnd w:id="92"/>
      <w:bookmarkEnd w:id="93"/>
    </w:p>
    <w:p>
      <w:pPr>
        <w:pStyle w:val="Normal"/>
        <w:spacing w:before="60" w:after="60"/>
        <w:ind w:firstLine="709"/>
        <w:jc w:val="both"/>
        <w:rPr>
          <w:sz w:val="24"/>
          <w:szCs w:val="24"/>
          <w:lang w:val="x-none" w:eastAsia="x-none"/>
        </w:rPr>
      </w:pPr>
      <w:bookmarkStart w:id="94" w:name="_Toc120722015_Копия_1"/>
      <w:bookmarkStart w:id="95" w:name="_Toc51339699_Копия_1"/>
      <w:bookmarkStart w:id="96" w:name="_Toc46743519_Копия_1"/>
      <w:bookmarkEnd w:id="94"/>
      <w:bookmarkEnd w:id="95"/>
      <w:bookmarkEnd w:id="96"/>
      <w:r>
        <w:rPr>
          <w:bCs/>
          <w:iCs/>
          <w:sz w:val="24"/>
          <w:szCs w:val="24"/>
        </w:rPr>
        <w:t>В рамках реализации договора сметную документацию в обоснование стоимости сопутствующих услуг (шеф-монтаж) необходимо составлять и оформлять в соответствии с требованиями к оформлению и составлению сметной документации на оказание услуг по шеф-монтажу, указанными в Приложении № 2 к настоящим Техническим требованиям».</w:t>
      </w:r>
    </w:p>
    <w:p>
      <w:pPr>
        <w:pStyle w:val="Normal"/>
        <w:rPr/>
      </w:pPr>
      <w:r>
        <w:rPr/>
        <w:t>Приложе</w:t>
      </w:r>
      <w:bookmarkStart w:id="97" w:name="_Toc243288121"/>
      <w:bookmarkStart w:id="98" w:name="_Toc243031768"/>
      <w:bookmarkStart w:id="99" w:name="_Toc243028972"/>
      <w:r>
        <w:rPr/>
        <w:t>ния</w:t>
      </w:r>
      <w:bookmarkEnd w:id="97"/>
      <w:bookmarkEnd w:id="98"/>
      <w:bookmarkEnd w:id="99"/>
    </w:p>
    <w:p>
      <w:pPr>
        <w:pStyle w:val="Heading1"/>
        <w:numPr>
          <w:ilvl w:val="0"/>
          <w:numId w:val="7"/>
        </w:numPr>
        <w:spacing w:before="240" w:after="240"/>
        <w:ind w:hanging="0" w:left="0"/>
        <w:jc w:val="center"/>
        <w:rPr/>
      </w:pPr>
      <w:bookmarkStart w:id="100" w:name="__RefHeading___Toc3350_3536327007"/>
      <w:bookmarkStart w:id="101" w:name="_Toc243557612"/>
      <w:bookmarkEnd w:id="100"/>
      <w:r>
        <w:rPr/>
        <w:t>Приложения</w:t>
      </w:r>
      <w:bookmarkEnd w:id="101"/>
      <w:r>
        <w:rPr/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contextualSpacing/>
        <w:jc w:val="center"/>
        <w:rPr>
          <w:rStyle w:val="Style8"/>
          <w:b w:val="false"/>
          <w:bCs/>
          <w:iCs/>
          <w:sz w:val="24"/>
          <w:szCs w:val="24"/>
        </w:rPr>
      </w:pPr>
      <w:r>
        <w:rPr>
          <w:b/>
          <w:color w:val="2F5496" w:themeColor="accent1" w:themeShade="bf"/>
          <w:sz w:val="24"/>
          <w:szCs w:val="24"/>
        </w:rPr>
        <w:t>(Каждое приложение доступно к открытию путем двойного клика по значку, содержащему ссылку)</w:t>
      </w:r>
    </w:p>
    <w:tbl>
      <w:tblPr>
        <w:tblStyle w:val="affffd"/>
        <w:tblW w:w="1005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6"/>
        <w:gridCol w:w="2410"/>
        <w:gridCol w:w="6797"/>
      </w:tblGrid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lang w:eastAsia="x-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п/п.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lang w:eastAsia="x-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Ссылки на документ</w:t>
            </w:r>
          </w:p>
        </w:tc>
        <w:tc>
          <w:tcPr>
            <w:tcW w:w="67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lang w:eastAsia="x-none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lang w:val="ru-RU" w:eastAsia="ru-RU" w:bidi="ar-SA"/>
              </w:rPr>
              <w:t>Наименование документа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before="120" w:after="0"/>
              <w:jc w:val="center"/>
              <w:rPr>
                <w:lang w:val="en-US" w:eastAsia="x-none"/>
              </w:rPr>
            </w:pPr>
            <w:r>
              <w:rPr>
                <w:rFonts w:eastAsia="Times New Roman" w:cs="Times New Roman"/>
                <w:kern w:val="0"/>
                <w:lang w:val="en-US" w:eastAsia="x-none" w:bidi="ar-SA"/>
              </w:rPr>
              <w:t>1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lang w:eastAsia="x-none"/>
              </w:rPr>
            </w:pPr>
            <w:r>
              <w:rPr>
                <w:rFonts w:eastAsia="Times New Roman" w:cs="Times New Roman"/>
                <w:kern w:val="0"/>
                <w:lang w:val="ru-RU" w:bidi="ar-SA"/>
              </w:rPr>
              <w:object>
                <v:shapetype id="_x0000_tole_rId8" coordsize="21600,21600" o:spt="ole_rId8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le_rId8" type="_x0000_tole_rId8" style="width:76.5pt;height:49.5pt;mso-wrap-distance-right:0pt" filled="f" o:ole="">
                  <v:imagedata r:id="rId9" o:title=""/>
                </v:shape>
                <o:OLEObject Type="Embed" ProgID="Package" ShapeID="ole_rId8" DrawAspect="Icon" ObjectID="_1049955200" r:id="rId8"/>
              </w:object>
            </w:r>
          </w:p>
        </w:tc>
        <w:tc>
          <w:tcPr>
            <w:tcW w:w="67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lang w:eastAsia="x-none"/>
              </w:rPr>
            </w:pPr>
            <w:r>
              <w:rPr>
                <w:rFonts w:eastAsia="Times New Roman" w:cs="Times New Roman"/>
                <w:kern w:val="0"/>
                <w:lang w:val="ru-RU" w:eastAsia="x-none" w:bidi="ar-SA"/>
              </w:rPr>
              <w:t>ПРИЛОЖЕНИЕ 1. ТТ на АСУТП ТМО и ЭТО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before="120" w:after="0"/>
              <w:jc w:val="center"/>
              <w:rPr>
                <w:lang w:val="en-US" w:eastAsia="x-none"/>
              </w:rPr>
            </w:pPr>
            <w:r>
              <w:rPr>
                <w:rFonts w:eastAsia="Times New Roman" w:cs="Times New Roman"/>
                <w:kern w:val="0"/>
                <w:lang w:val="en-US" w:eastAsia="x-none" w:bidi="ar-SA"/>
              </w:rPr>
              <w:t>2</w:t>
            </w:r>
            <w:bookmarkStart w:id="102" w:name="_MON_1854090569"/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lang w:eastAsia="x-none"/>
              </w:rPr>
            </w:pPr>
            <w:bookmarkEnd w:id="102"/>
            <w:r>
              <w:rPr>
                <w:rFonts w:eastAsia="Times New Roman" w:cs="Times New Roman"/>
                <w:kern w:val="0"/>
                <w:lang w:val="ru-RU" w:bidi="ar-SA"/>
              </w:rPr>
              <w:object>
                <v:shapetype id="_x0000_tole_rId10" coordsize="21600,21600" o:spt="ole_rId10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le_rId10" type="_x0000_tole_rId10" style="width:76.5pt;height:49.5pt;mso-wrap-distance-right:0pt" filled="f" o:ole="">
                  <v:imagedata r:id="rId11" o:title=""/>
                </v:shape>
                <o:OLEObject Type="Embed" ProgID="Word.Document.8" ShapeID="ole_rId10" DrawAspect="Icon" ObjectID="_633086838" r:id="rId10"/>
              </w:object>
            </w:r>
          </w:p>
        </w:tc>
        <w:tc>
          <w:tcPr>
            <w:tcW w:w="67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lang w:eastAsia="x-none"/>
              </w:rPr>
            </w:pPr>
            <w:r>
              <w:rPr>
                <w:rFonts w:eastAsia="Times New Roman" w:cs="Times New Roman"/>
                <w:kern w:val="0"/>
                <w:lang w:val="ru-RU" w:eastAsia="x-none" w:bidi="ar-SA"/>
              </w:rPr>
              <w:t>ПРИЛОЖЕНИЕ 2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x-none" w:bidi="ar-SA"/>
              </w:rPr>
              <w:t xml:space="preserve">. </w:t>
            </w:r>
            <w:r>
              <w:rPr>
                <w:rFonts w:eastAsia="Times New Roman" w:cs="Times New Roman"/>
                <w:caps/>
                <w:kern w:val="0"/>
                <w:sz w:val="24"/>
                <w:szCs w:val="24"/>
                <w:lang w:val="ru-RU" w:eastAsia="x-none" w:bidi="ar-SA"/>
              </w:rPr>
              <w:t>Требования к оформлению и составлению документации на оказание услуг по шеф-монтажу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before="120" w:after="0"/>
              <w:jc w:val="center"/>
              <w:rPr>
                <w:lang w:val="en-US" w:eastAsia="x-none"/>
              </w:rPr>
            </w:pPr>
            <w:r>
              <w:rPr>
                <w:rFonts w:eastAsia="Times New Roman" w:cs="Times New Roman"/>
                <w:kern w:val="0"/>
                <w:lang w:val="en-US" w:eastAsia="x-none" w:bidi="ar-SA"/>
              </w:rPr>
              <w:t>3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lang w:eastAsia="x-none"/>
              </w:rPr>
            </w:pPr>
            <w:r>
              <w:rPr>
                <w:rFonts w:eastAsia="Times New Roman" w:cs="Times New Roman"/>
                <w:kern w:val="0"/>
                <w:lang w:val="ru-RU" w:bidi="ar-SA"/>
              </w:rPr>
              <w:object>
                <v:shapetype id="_x0000_tole_rId12" coordsize="21600,21600" o:spt="ole_rId12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le_rId12" type="_x0000_tole_rId12" style="width:76.5pt;height:49.5pt;mso-wrap-distance-right:0pt" filled="f" o:ole="">
                  <v:imagedata r:id="rId13" o:title=""/>
                </v:shape>
                <o:OLEObject Type="Embed" ProgID="AcroExch.Document.DC" ShapeID="ole_rId12" DrawAspect="Icon" ObjectID="_149991508" r:id="rId12"/>
              </w:object>
            </w:r>
          </w:p>
        </w:tc>
        <w:tc>
          <w:tcPr>
            <w:tcW w:w="67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lang w:eastAsia="x-none"/>
              </w:rPr>
            </w:pPr>
            <w:r>
              <w:rPr>
                <w:rFonts w:eastAsia="Times New Roman" w:cs="Times New Roman"/>
                <w:caps/>
                <w:kern w:val="0"/>
                <w:sz w:val="24"/>
                <w:szCs w:val="24"/>
                <w:lang w:val="ru-RU" w:eastAsia="ru-RU" w:bidi="ar-SA"/>
              </w:rPr>
              <w:t>ПРИЛОЖЕНИЕ 3. Приказ ПАО «РусГидро» от 10.12.2024 № 850 «Об утверждении типовых проектных решений по АСУТП ТМО, АСУТП ЭТО, ВУ АСУТП ТЭС»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before="120" w:after="0"/>
              <w:jc w:val="center"/>
              <w:rPr>
                <w:sz w:val="24"/>
                <w:szCs w:val="24"/>
                <w:lang w:val="en-US" w:eastAsia="x-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x-none" w:bidi="ar-SA"/>
              </w:rPr>
              <w:t>4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lang w:eastAsia="x-none"/>
              </w:rPr>
            </w:pPr>
            <w:r>
              <w:rPr>
                <w:rFonts w:eastAsia="Times New Roman" w:cs="Times New Roman"/>
                <w:kern w:val="0"/>
                <w:lang w:val="ru-RU" w:bidi="ar-SA"/>
              </w:rPr>
              <w:object>
                <v:shapetype id="_x0000_tole_rId14" coordsize="21600,21600" o:spt="ole_rId14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le_rId14" type="_x0000_tole_rId14" style="width:76.5pt;height:49.5pt;mso-wrap-distance-right:0pt" filled="f" o:ole="">
                  <v:imagedata r:id="rId15" o:title=""/>
                </v:shape>
                <o:OLEObject Type="Embed" ProgID="AcroExch.Document.DC" ShapeID="ole_rId14" DrawAspect="Icon" ObjectID="_502229768" r:id="rId14"/>
              </w:object>
            </w:r>
          </w:p>
        </w:tc>
        <w:tc>
          <w:tcPr>
            <w:tcW w:w="67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aps/>
                <w:sz w:val="24"/>
                <w:szCs w:val="24"/>
              </w:rPr>
            </w:pPr>
            <w:r>
              <w:rPr>
                <w:rFonts w:eastAsia="Times New Roman" w:cs="Times New Roman"/>
                <w:caps/>
                <w:kern w:val="0"/>
                <w:sz w:val="24"/>
                <w:szCs w:val="24"/>
                <w:lang w:val="ru-RU" w:eastAsia="ru-RU" w:bidi="ar-SA"/>
              </w:rPr>
              <w:t>приложение 4. техническая политика группы русгидро</w:t>
            </w:r>
          </w:p>
        </w:tc>
      </w:tr>
    </w:tbl>
    <w:p>
      <w:pPr>
        <w:pStyle w:val="Normal"/>
        <w:ind w:firstLine="708"/>
        <w:rPr>
          <w:lang w:eastAsia="x-none"/>
        </w:rPr>
      </w:pPr>
      <w:r>
        <w:rPr>
          <w:lang w:eastAsia="x-none"/>
        </w:rPr>
      </w:r>
    </w:p>
    <w:sectPr>
      <w:headerReference w:type="default" r:id="rId16"/>
      <w:headerReference w:type="first" r:id="rId17"/>
      <w:footerReference w:type="default" r:id="rId18"/>
      <w:footerReference w:type="first" r:id="rId19"/>
      <w:footnotePr>
        <w:numFmt w:val="decimal"/>
      </w:footnotePr>
      <w:type w:val="nextPage"/>
      <w:pgSz w:w="11906" w:h="16838"/>
      <w:pgMar w:left="1134" w:right="709" w:gutter="0" w:header="0" w:top="567" w:footer="567" w:bottom="624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PT Sans">
    <w:charset w:val="01"/>
    <w:family w:val="swiss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Times New Roman Bol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015935944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5</w:t>
        </w:r>
        <w:r>
          <w:rPr/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075759362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20</w:t>
        </w:r>
        <w:r>
          <w:rPr/>
          <w:fldChar w:fldCharType="end"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675879169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21</w:t>
        </w:r>
        <w:r>
          <w:rPr/>
          <w:fldChar w:fldCharType="end"/>
        </w:r>
      </w:p>
    </w:sdtContent>
  </w:sdt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widowControl w:val="false"/>
        <w:rPr/>
      </w:pPr>
      <w:r>
        <w:rPr>
          <w:rStyle w:val="Style"/>
        </w:rPr>
        <w:footnoteRef/>
      </w:r>
      <w:r>
        <w:rPr/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4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329"/>
        </w:tabs>
        <w:ind w:left="13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049"/>
        </w:tabs>
        <w:ind w:left="20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69"/>
        </w:tabs>
        <w:ind w:left="27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489"/>
        </w:tabs>
        <w:ind w:left="34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209"/>
        </w:tabs>
        <w:ind w:left="42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29"/>
        </w:tabs>
        <w:ind w:left="49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649"/>
        </w:tabs>
        <w:ind w:left="56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369"/>
        </w:tabs>
        <w:ind w:left="63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89"/>
        </w:tabs>
        <w:ind w:left="7089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993"/>
        </w:tabs>
        <w:ind w:left="1425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646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b w:val="false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false"/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3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6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7">
    <w:lvl w:ilvl="0">
      <w:start w:val="1"/>
      <w:numFmt w:val="decimal"/>
      <w:lvlText w:val="%1)"/>
      <w:lvlJc w:val="left"/>
      <w:pPr>
        <w:tabs>
          <w:tab w:val="num" w:pos="0"/>
        </w:tabs>
        <w:ind w:left="180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  <w:rPr/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b w:val="false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false"/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9">
    <w:lvl w:ilvl="0">
      <w:start w:val="1"/>
      <w:numFmt w:val="decimal"/>
      <w:lvlText w:val="%1)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0"/>
      </w:pPr>
      <w:rPr>
        <w:rFonts w:cs="Times New Roman"/>
      </w:rPr>
    </w:lvl>
  </w:abstractNum>
  <w:abstractNum w:abstractNumId="2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b w:val="false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false"/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2">
    <w:lvl w:ilvl="0">
      <w:start w:val="1"/>
      <w:numFmt w:val="decimal"/>
      <w:lvlText w:val="%1)"/>
      <w:lvlJc w:val="left"/>
      <w:pPr>
        <w:tabs>
          <w:tab w:val="num" w:pos="0"/>
        </w:tabs>
        <w:ind w:left="1712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432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3152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872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592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312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6032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752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472" w:hanging="180"/>
      </w:pPr>
      <w:rPr/>
    </w:lvl>
  </w:abstractNum>
  <w:abstractNum w:abstractNumId="2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w="http://schemas.openxmlformats.org/wordprocessingml/2006/main">
  <w:zoom w:percent="101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 w:qFormat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uiPriority="99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41de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numPr>
        <w:ilvl w:val="1"/>
        <w:numId w:val="7"/>
      </w:numPr>
      <w:tabs>
        <w:tab w:val="clear" w:pos="708"/>
        <w:tab w:val="left" w:pos="0" w:leader="none"/>
      </w:tabs>
      <w:ind w:left="432"/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915570"/>
    <w:pPr>
      <w:keepNext w:val="true"/>
      <w:numPr>
        <w:ilvl w:val="2"/>
        <w:numId w:val="7"/>
      </w:numPr>
      <w:spacing w:before="120" w:after="60"/>
      <w:ind w:left="567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ind w:left="567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uiPriority w:val="99"/>
    <w:qFormat/>
    <w:rsid w:val="00c83730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915570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4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2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7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qFormat/>
    <w:rsid w:val="001652e8"/>
    <w:rPr>
      <w:color w:val="808080"/>
    </w:rPr>
  </w:style>
  <w:style w:type="character" w:styleId="ConsPlusNormal" w:customStyle="1">
    <w:name w:val="ConsPlusNormal Знак"/>
    <w:link w:val="ConsPlusNormal1"/>
    <w:qFormat/>
    <w:locked/>
    <w:rsid w:val="0086663c"/>
    <w:rPr>
      <w:rFonts w:ascii="Arial" w:hAnsi="Arial" w:cs="Arial"/>
    </w:rPr>
  </w:style>
  <w:style w:type="character" w:styleId="23" w:customStyle="1">
    <w:name w:val="Основной текст с отступом 2 Знак"/>
    <w:basedOn w:val="DefaultParagraphFont"/>
    <w:link w:val="BodyTextIndent2"/>
    <w:qFormat/>
    <w:rsid w:val="0055682e"/>
    <w:rPr>
      <w:sz w:val="28"/>
      <w:szCs w:val="28"/>
    </w:rPr>
  </w:style>
  <w:style w:type="character" w:styleId="Style14" w:customStyle="1">
    <w:name w:val="Текст Знак"/>
    <w:basedOn w:val="DefaultParagraphFont"/>
    <w:link w:val="PlainText"/>
    <w:uiPriority w:val="99"/>
    <w:qFormat/>
    <w:rsid w:val="00b76d96"/>
    <w:rPr>
      <w:rFonts w:ascii="Calibri" w:hAnsi="Calibri"/>
      <w:sz w:val="22"/>
      <w:szCs w:val="21"/>
    </w:rPr>
  </w:style>
  <w:style w:type="character" w:styleId="24" w:customStyle="1">
    <w:name w:val="Основной текст (2) + Не полужирный"/>
    <w:basedOn w:val="DefaultParagraphFont"/>
    <w:qFormat/>
    <w:rsid w:val="00a767cf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styleId="25" w:customStyle="1">
    <w:name w:val="Неразрешенное упоминание2"/>
    <w:basedOn w:val="DefaultParagraphFont"/>
    <w:uiPriority w:val="99"/>
    <w:semiHidden/>
    <w:unhideWhenUsed/>
    <w:qFormat/>
    <w:rsid w:val="000e19ae"/>
    <w:rPr>
      <w:color w:val="605E5C"/>
      <w:shd w:fill="E1DFDD" w:val="clear"/>
    </w:rPr>
  </w:style>
  <w:style w:type="character" w:styleId="Style15" w:customStyle="1">
    <w:name w:val="Ссылка указателя"/>
    <w:qFormat/>
    <w:rPr/>
  </w:style>
  <w:style w:type="character" w:styleId="Style16" w:customStyle="1">
    <w:name w:val="Символ нумерации"/>
    <w:qFormat/>
    <w:rPr>
      <w:sz w:val="24"/>
      <w:szCs w:val="24"/>
    </w:rPr>
  </w:style>
  <w:style w:type="character" w:styleId="Style17" w:customStyle="1">
    <w:name w:val="Нижний колонтитул Знак"/>
    <w:basedOn w:val="DefaultParagraphFont"/>
    <w:uiPriority w:val="99"/>
    <w:qFormat/>
    <w:rsid w:val="00554314"/>
    <w:rPr>
      <w:sz w:val="28"/>
      <w:szCs w:val="28"/>
    </w:rPr>
  </w:style>
  <w:style w:type="character" w:styleId="Linenumber">
    <w:name w:val="line number"/>
    <w:qFormat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Style20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1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ind w:hanging="0" w:left="1464"/>
      <w:jc w:val="center"/>
    </w:pPr>
    <w:rPr>
      <w:b/>
      <w:sz w:val="32"/>
      <w:szCs w:val="32"/>
    </w:rPr>
  </w:style>
  <w:style w:type="paragraph" w:styleId="Style22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6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link w:val="Style17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link w:val="23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4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7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b73b9"/>
    <w:pPr>
      <w:tabs>
        <w:tab w:val="clear" w:pos="708"/>
        <w:tab w:val="left" w:pos="560" w:leader="none"/>
        <w:tab w:val="right" w:pos="9214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/>
    </w:pPr>
    <w:rPr>
      <w:rFonts w:cs="Calibri" w:cstheme="minorHAnsi"/>
      <w:sz w:val="20"/>
      <w:szCs w:val="20"/>
    </w:rPr>
  </w:style>
  <w:style w:type="paragraph" w:styleId="Style25" w:customStyle="1">
    <w:name w:val="Раздел регламента"/>
    <w:basedOn w:val="Normal"/>
    <w:qFormat/>
    <w:rsid w:val="00e228fa"/>
    <w:pPr/>
    <w:rPr/>
  </w:style>
  <w:style w:type="paragraph" w:styleId="Style26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tabs>
        <w:tab w:val="clear" w:pos="708"/>
        <w:tab w:val="left" w:pos="560" w:leader="none"/>
        <w:tab w:val="right" w:pos="10053" w:leader="dot"/>
      </w:tabs>
      <w:ind w:hanging="425" w:left="1134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e27652"/>
    <w:pPr>
      <w:tabs>
        <w:tab w:val="clear" w:pos="708"/>
        <w:tab w:val="left" w:pos="1120" w:leader="none"/>
        <w:tab w:val="right" w:pos="9214" w:leader="dot"/>
      </w:tabs>
      <w:ind w:left="560"/>
    </w:pPr>
    <w:rPr>
      <w:rFonts w:cs="Calibri" w:cstheme="minorHAnsi"/>
      <w:sz w:val="20"/>
      <w:szCs w:val="20"/>
    </w:rPr>
  </w:style>
  <w:style w:type="paragraph" w:styleId="28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7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" w:customStyle="1">
    <w:name w:val="caption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8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8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9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1" w:customStyle="1">
    <w:name w:val="ConsPlusNormal"/>
    <w:link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9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30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1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32" w:customStyle="1">
    <w:name w:val="Подподпункт"/>
    <w:basedOn w:val="Style24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3" w:customStyle="1">
    <w:name w:val="УРОВЕНЬ_(а)"/>
    <w:basedOn w:val="ListParagraph"/>
    <w:qFormat/>
    <w:rsid w:val="00b56f46"/>
    <w:pPr>
      <w:numPr>
        <w:ilvl w:val="3"/>
        <w:numId w:val="3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3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10" w:customStyle="1">
    <w:name w:val="УРОВЕНЬ_Абзац_тип2"/>
    <w:basedOn w:val="ListParagraph"/>
    <w:qFormat/>
    <w:rsid w:val="00b56f46"/>
    <w:pPr>
      <w:numPr>
        <w:ilvl w:val="6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4" w:customStyle="1">
    <w:name w:val="УРОВЕНЬ_Подпись"/>
    <w:basedOn w:val="ListParagraph"/>
    <w:qFormat/>
    <w:rsid w:val="00b56f46"/>
    <w:pPr>
      <w:keepNext w:val="true"/>
      <w:numPr>
        <w:ilvl w:val="5"/>
        <w:numId w:val="3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11" w:customStyle="1">
    <w:name w:val="Заголовок 2 КВВ"/>
    <w:basedOn w:val="Normal"/>
    <w:qFormat/>
    <w:rsid w:val="00cb35e8"/>
    <w:pPr>
      <w:keepNext w:val="true"/>
      <w:numPr>
        <w:ilvl w:val="0"/>
        <w:numId w:val="4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5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Default" w:customStyle="1">
    <w:name w:val="Default"/>
    <w:qFormat/>
    <w:rsid w:val="00ae11e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42" w:customStyle="1">
    <w:name w:val="4"/>
    <w:basedOn w:val="Normal"/>
    <w:qFormat/>
    <w:rsid w:val="00f82de5"/>
    <w:pPr>
      <w:spacing w:beforeAutospacing="1" w:afterAutospacing="1"/>
    </w:pPr>
    <w:rPr>
      <w:rFonts w:ascii="Tahoma" w:hAnsi="Tahoma"/>
      <w:sz w:val="20"/>
      <w:szCs w:val="20"/>
      <w:lang w:val="en-US" w:eastAsia="en-US"/>
    </w:rPr>
  </w:style>
  <w:style w:type="paragraph" w:styleId="TechSpecHeading2" w:customStyle="1">
    <w:name w:val="Tech Spec Heading 2"/>
    <w:basedOn w:val="Heading1"/>
    <w:qFormat/>
    <w:rsid w:val="00f82de5"/>
    <w:pPr>
      <w:numPr>
        <w:ilvl w:val="0"/>
        <w:numId w:val="6"/>
      </w:numPr>
      <w:spacing w:before="0" w:after="0"/>
      <w:jc w:val="both"/>
    </w:pPr>
    <w:rPr>
      <w:rFonts w:ascii="Times New Roman Bold" w:hAnsi="Times New Roman Bold" w:eastAsia="Times New Roman"/>
      <w:bCs/>
      <w:lang w:val="en-US" w:eastAsia="ru-RU"/>
    </w:rPr>
  </w:style>
  <w:style w:type="paragraph" w:styleId="PlainText">
    <w:name w:val="Plain Text"/>
    <w:basedOn w:val="Normal"/>
    <w:link w:val="Style14"/>
    <w:uiPriority w:val="99"/>
    <w:unhideWhenUsed/>
    <w:qFormat/>
    <w:rsid w:val="00b76d96"/>
    <w:pPr/>
    <w:rPr>
      <w:rFonts w:ascii="Calibri" w:hAnsi="Calibri"/>
      <w:sz w:val="22"/>
      <w:szCs w:val="21"/>
    </w:rPr>
  </w:style>
  <w:style w:type="paragraph" w:styleId="Xmsonormal" w:customStyle="1">
    <w:name w:val="x_msonormal"/>
    <w:basedOn w:val="Normal"/>
    <w:qFormat/>
    <w:rsid w:val="00505a47"/>
    <w:pPr/>
    <w:rPr>
      <w:rFonts w:eastAsia="Calibri" w:eastAsiaTheme="minorHAnsi"/>
      <w:sz w:val="24"/>
      <w:szCs w:val="24"/>
    </w:rPr>
  </w:style>
  <w:style w:type="paragraph" w:styleId="Style36" w:customStyle="1">
    <w:name w:val="Содержимое врезки"/>
    <w:basedOn w:val="Normal"/>
    <w:qFormat/>
    <w:pPr/>
    <w:rPr/>
  </w:style>
  <w:style w:type="paragraph" w:styleId="Style3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8" w:customStyle="1">
    <w:name w:val="Заголовок таблицы"/>
    <w:basedOn w:val="Style37"/>
    <w:qFormat/>
    <w:pPr>
      <w:jc w:val="center"/>
    </w:pPr>
    <w:rPr>
      <w:b/>
      <w:bCs/>
    </w:rPr>
  </w:style>
  <w:style w:type="paragraph" w:styleId="51" w:customStyle="1">
    <w:name w:val="Оглавление 51"/>
    <w:basedOn w:val="Normal"/>
    <w:next w:val="Normal"/>
    <w:autoRedefine/>
    <w:semiHidden/>
    <w:qFormat/>
    <w:rsid w:val="001c17c4"/>
    <w:pPr>
      <w:ind w:left="840"/>
    </w:pPr>
    <w:rPr>
      <w:rFonts w:ascii="Calibri" w:hAnsi="Calibri" w:cs="Calibri" w:asciiTheme="minorHAnsi" w:hAnsiTheme="minorHAnsi"/>
      <w:sz w:val="20"/>
      <w:szCs w:val="20"/>
    </w:rPr>
  </w:style>
  <w:style w:type="paragraph" w:styleId="311" w:customStyle="1">
    <w:name w:val="Список 31"/>
    <w:basedOn w:val="Normal"/>
    <w:qFormat/>
    <w:rsid w:val="00447d94"/>
    <w:pPr>
      <w:tabs>
        <w:tab w:val="clear" w:pos="708"/>
        <w:tab w:val="left" w:pos="0" w:leader="none"/>
      </w:tabs>
      <w:spacing w:before="120" w:after="0"/>
      <w:ind w:hanging="360" w:left="-207"/>
      <w:jc w:val="both"/>
    </w:pPr>
    <w:rPr>
      <w:rFonts w:ascii="Garamond" w:hAnsi="Garamond"/>
      <w:sz w:val="24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12" w:customStyle="1">
    <w:name w:val="Стиль2"/>
    <w:uiPriority w:val="99"/>
    <w:qFormat/>
    <w:rsid w:val="006629c9"/>
  </w:style>
  <w:style w:type="numbering" w:styleId="39901184991" w:customStyle="1">
    <w:name w:val="39901184991"/>
    <w:qFormat/>
  </w:style>
  <w:style w:type="numbering" w:styleId="35451382391" w:customStyle="1">
    <w:name w:val="35451382391"/>
    <w:qFormat/>
  </w:style>
  <w:style w:type="numbering" w:styleId="8356708811" w:customStyle="1">
    <w:name w:val="835670881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d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oleObject" Target="embeddings/oleObject1.bin"/><Relationship Id="rId9" Type="http://schemas.openxmlformats.org/officeDocument/2006/relationships/image" Target="media/image1.wmf"/><Relationship Id="rId10" Type="http://schemas.openxmlformats.org/officeDocument/2006/relationships/oleObject" Target="embeddings/oleObject2.doc"/><Relationship Id="rId11" Type="http://schemas.openxmlformats.org/officeDocument/2006/relationships/image" Target="media/image2.wmf"/><Relationship Id="rId12" Type="http://schemas.openxmlformats.org/officeDocument/2006/relationships/oleObject" Target="embeddings/oleObject3.bin"/><Relationship Id="rId13" Type="http://schemas.openxmlformats.org/officeDocument/2006/relationships/image" Target="media/image3.wmf"/><Relationship Id="rId14" Type="http://schemas.openxmlformats.org/officeDocument/2006/relationships/oleObject" Target="embeddings/oleObject4.bin"/><Relationship Id="rId15" Type="http://schemas.openxmlformats.org/officeDocument/2006/relationships/image" Target="media/image4.wmf"/><Relationship Id="rId16" Type="http://schemas.openxmlformats.org/officeDocument/2006/relationships/header" Target="header4.xml"/><Relationship Id="rId17" Type="http://schemas.openxmlformats.org/officeDocument/2006/relationships/header" Target="header5.xml"/><Relationship Id="rId18" Type="http://schemas.openxmlformats.org/officeDocument/2006/relationships/footer" Target="footer4.xml"/><Relationship Id="rId19" Type="http://schemas.openxmlformats.org/officeDocument/2006/relationships/footer" Target="footer5.xml"/><Relationship Id="rId20" Type="http://schemas.openxmlformats.org/officeDocument/2006/relationships/footnotes" Target="footnotes.xml"/><Relationship Id="rId21" Type="http://schemas.openxmlformats.org/officeDocument/2006/relationships/numbering" Target="numbering.xml"/><Relationship Id="rId22" Type="http://schemas.openxmlformats.org/officeDocument/2006/relationships/fontTable" Target="fontTable.xml"/><Relationship Id="rId23" Type="http://schemas.openxmlformats.org/officeDocument/2006/relationships/settings" Target="settings.xml"/><Relationship Id="rId24" Type="http://schemas.openxmlformats.org/officeDocument/2006/relationships/theme" Target="theme/theme1.xml"/><Relationship Id="rId2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521E0-17B4-4724-B386-018B33AF8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Application>AlterOffice/2026.2.0.0$Linux_X86_64 LibreOffice_project/bc4ef1adf80b36c7a6365f8ed6cbf29021361edd</Application>
  <AppVersion>15.0000</AppVersion>
  <Pages>21</Pages>
  <Words>5013</Words>
  <Characters>36539</Characters>
  <CharactersWithSpaces>40838</CharactersWithSpaces>
  <Paragraphs>579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2026-10-20T09:40:00Z</dcterms:created>
  <dc:creator>Кулаков Михаил Николаевич</dc:creator>
  <dc:description/>
  <dc:language>ru-RU</dc:language>
  <cp:lastModifiedBy>kulakovmn@corp.gidroogk.com</cp:lastModifiedBy>
  <cp:lastPrinted>2025-08-28T03:06:00Z</cp:lastPrinted>
  <dcterms:modified xsi:type="dcterms:W3CDTF">2026-10-22T14:38:19Z</dcterms:modified>
  <cp:revision>15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