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hd w:val="clear" w:color="auto" w:fill="FFFFFF"/>
        <w:tabs>
          <w:tab w:val="clear" w:pos="708"/>
          <w:tab w:val="left" w:pos="6926" w:leader="none"/>
        </w:tabs>
        <w:spacing w:lineRule="auto" w:line="240" w:before="0" w:after="0"/>
        <w:jc w:val="center"/>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r>
    </w:p>
    <w:p>
      <w:pPr>
        <w:pStyle w:val="Normal"/>
        <w:widowControl w:val="false"/>
        <w:shd w:val="clear" w:color="auto" w:fill="FFFFFF"/>
        <w:tabs>
          <w:tab w:val="clear" w:pos="708"/>
          <w:tab w:val="left" w:pos="6926" w:leader="none"/>
        </w:tabs>
        <w:spacing w:lineRule="auto" w:line="240" w:before="0" w:after="0"/>
        <w:jc w:val="center"/>
        <w:rPr>
          <w:rFonts w:ascii="Times New Roman" w:hAnsi="Times New Roman" w:eastAsia="Times New Roman"/>
          <w:b/>
          <w:sz w:val="24"/>
          <w:szCs w:val="24"/>
          <w:lang w:eastAsia="ru-RU"/>
        </w:rPr>
      </w:pPr>
      <w:r>
        <w:rPr>
          <w:rFonts w:eastAsia="Times New Roman" w:ascii="Times New Roman" w:hAnsi="Times New Roman"/>
          <w:b/>
          <w:bCs/>
          <w:color w:val="000000"/>
          <w:sz w:val="24"/>
          <w:szCs w:val="24"/>
          <w:lang w:eastAsia="ru-RU"/>
        </w:rPr>
        <w:t>Договор поставки № 65-ЭКСП-БПД-2026-ДФ</w:t>
      </w:r>
    </w:p>
    <w:p>
      <w:pPr>
        <w:pStyle w:val="Normal"/>
        <w:widowControl w:val="false"/>
        <w:shd w:val="clear" w:color="auto" w:fill="FFFFFF"/>
        <w:spacing w:lineRule="auto" w:line="240" w:before="0" w:after="0"/>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r>
    </w:p>
    <w:p>
      <w:pPr>
        <w:pStyle w:val="Normal"/>
        <w:widowControl w:val="false"/>
        <w:shd w:val="clear" w:color="auto" w:fill="FFFFFF"/>
        <w:spacing w:lineRule="auto" w:line="240" w:before="0" w:after="0"/>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г. Каспийск</w:t>
        <w:tab/>
        <w:tab/>
        <w:t xml:space="preserve"> </w:t>
        <w:tab/>
        <w:tab/>
        <w:tab/>
        <w:tab/>
        <w:tab/>
        <w:t xml:space="preserve">            «____» _________ 2026 г.</w:t>
      </w:r>
    </w:p>
    <w:p>
      <w:pPr>
        <w:pStyle w:val="Normal"/>
        <w:widowControl w:val="false"/>
        <w:shd w:val="clear" w:color="auto" w:fill="FFFFFF"/>
        <w:tabs>
          <w:tab w:val="clear" w:pos="708"/>
          <w:tab w:val="right" w:pos="9639" w:leader="none"/>
        </w:tabs>
        <w:spacing w:lineRule="auto" w:line="240" w:before="0" w:after="0"/>
        <w:jc w:val="right"/>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r>
    </w:p>
    <w:p>
      <w:pPr>
        <w:pStyle w:val="Normal"/>
        <w:widowControl w:val="false"/>
        <w:shd w:val="clear" w:color="auto" w:fill="FFFFFF"/>
        <w:tabs>
          <w:tab w:val="clear" w:pos="708"/>
          <w:tab w:val="right" w:pos="9639" w:leader="none"/>
        </w:tabs>
        <w:spacing w:lineRule="auto" w:line="240" w:before="0" w:after="0"/>
        <w:ind w:firstLine="709"/>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r>
    </w:p>
    <w:p>
      <w:pPr>
        <w:pStyle w:val="Normal"/>
        <w:widowControl w:val="false"/>
        <w:spacing w:lineRule="auto" w:line="240" w:before="0" w:after="0"/>
        <w:ind w:firstLine="709"/>
        <w:jc w:val="both"/>
        <w:rPr>
          <w:rFonts w:ascii="Times New Roman" w:hAnsi="Times New Roman" w:eastAsia="Times New Roman"/>
          <w:sz w:val="24"/>
          <w:szCs w:val="24"/>
          <w:lang w:val="x-none" w:eastAsia="x-none"/>
        </w:rPr>
      </w:pPr>
      <w:r>
        <w:rPr>
          <w:rFonts w:eastAsia="Times New Roman" w:ascii="Times New Roman" w:hAnsi="Times New Roman"/>
          <w:b/>
          <w:spacing w:val="-1"/>
          <w:sz w:val="24"/>
          <w:szCs w:val="24"/>
          <w:lang w:eastAsia="x-none"/>
        </w:rPr>
        <w:t>Публичное</w:t>
      </w:r>
      <w:r>
        <w:rPr>
          <w:rFonts w:eastAsia="Times New Roman" w:ascii="Times New Roman" w:hAnsi="Times New Roman"/>
          <w:b/>
          <w:spacing w:val="-1"/>
          <w:sz w:val="24"/>
          <w:szCs w:val="24"/>
          <w:lang w:val="x-none" w:eastAsia="x-none"/>
        </w:rPr>
        <w:t xml:space="preserve"> акционерное общество «Федеральная гидрогенерирующая компания</w:t>
      </w:r>
      <w:r>
        <w:rPr>
          <w:rFonts w:eastAsia="Times New Roman" w:ascii="Times New Roman" w:hAnsi="Times New Roman"/>
          <w:b/>
          <w:spacing w:val="-1"/>
          <w:sz w:val="24"/>
          <w:szCs w:val="24"/>
          <w:lang w:eastAsia="x-none"/>
        </w:rPr>
        <w:t xml:space="preserve"> - РусГидро</w:t>
      </w:r>
      <w:r>
        <w:rPr>
          <w:rFonts w:eastAsia="Times New Roman" w:ascii="Times New Roman" w:hAnsi="Times New Roman"/>
          <w:b/>
          <w:spacing w:val="-1"/>
          <w:sz w:val="24"/>
          <w:szCs w:val="24"/>
          <w:lang w:val="x-none" w:eastAsia="x-none"/>
        </w:rPr>
        <w:t xml:space="preserve">» </w:t>
      </w:r>
      <w:r>
        <w:rPr>
          <w:rFonts w:eastAsia="Times New Roman" w:ascii="Times New Roman" w:hAnsi="Times New Roman"/>
          <w:spacing w:val="-1"/>
          <w:sz w:val="24"/>
          <w:szCs w:val="24"/>
          <w:lang w:val="x-none" w:eastAsia="x-none"/>
        </w:rPr>
        <w:t>(</w:t>
      </w:r>
      <w:r>
        <w:rPr>
          <w:rFonts w:eastAsia="Times New Roman" w:ascii="Times New Roman" w:hAnsi="Times New Roman"/>
          <w:spacing w:val="-1"/>
          <w:sz w:val="24"/>
          <w:szCs w:val="24"/>
          <w:lang w:eastAsia="x-none"/>
        </w:rPr>
        <w:t>П</w:t>
      </w:r>
      <w:r>
        <w:rPr>
          <w:rFonts w:eastAsia="Times New Roman" w:ascii="Times New Roman" w:hAnsi="Times New Roman"/>
          <w:spacing w:val="-1"/>
          <w:sz w:val="24"/>
          <w:szCs w:val="24"/>
          <w:lang w:val="x-none" w:eastAsia="x-none"/>
        </w:rPr>
        <w:t>АО «РусГидро»)</w:t>
      </w:r>
      <w:r>
        <w:rPr>
          <w:rFonts w:eastAsia="Times New Roman" w:ascii="Times New Roman" w:hAnsi="Times New Roman"/>
          <w:sz w:val="24"/>
          <w:szCs w:val="24"/>
          <w:lang w:val="x-none" w:eastAsia="x-none"/>
        </w:rPr>
        <w:t xml:space="preserve"> (далее – «</w:t>
      </w:r>
      <w:r>
        <w:rPr>
          <w:rFonts w:eastAsia="Times New Roman" w:ascii="Times New Roman" w:hAnsi="Times New Roman"/>
          <w:sz w:val="24"/>
          <w:szCs w:val="24"/>
          <w:lang w:eastAsia="x-none"/>
        </w:rPr>
        <w:t>Покупатель</w:t>
      </w:r>
      <w:r>
        <w:rPr>
          <w:rFonts w:eastAsia="Times New Roman" w:ascii="Times New Roman" w:hAnsi="Times New Roman"/>
          <w:sz w:val="24"/>
          <w:szCs w:val="24"/>
          <w:lang w:val="x-none" w:eastAsia="x-none"/>
        </w:rPr>
        <w:t>»)</w:t>
      </w:r>
      <w:r>
        <w:rPr>
          <w:rFonts w:eastAsia="Times New Roman" w:ascii="Times New Roman" w:hAnsi="Times New Roman"/>
          <w:sz w:val="24"/>
          <w:szCs w:val="24"/>
          <w:lang w:eastAsia="x-none"/>
        </w:rPr>
        <w:t>,</w:t>
      </w:r>
      <w:r>
        <w:rPr>
          <w:rFonts w:eastAsia="Times New Roman" w:ascii="Times New Roman" w:hAnsi="Times New Roman"/>
          <w:sz w:val="24"/>
          <w:szCs w:val="24"/>
          <w:lang w:val="x-none" w:eastAsia="x-none"/>
        </w:rPr>
        <w:t xml:space="preserve"> </w:t>
      </w:r>
      <w:r>
        <w:rPr>
          <w:rFonts w:eastAsia="Times New Roman" w:ascii="Times New Roman" w:hAnsi="Times New Roman"/>
          <w:sz w:val="24"/>
          <w:szCs w:val="24"/>
          <w:lang w:eastAsia="ru-RU"/>
        </w:rPr>
        <w:t xml:space="preserve">в лице директора филиала ПАО «РусГидро» - «Дагестанский филиал» Гамзатова Тимура Гамзатовича, действующего на основании доверенности, № ab9bb1e7-b060-4bcb-8bb8-51489b6a39ec от 15.01.2025, </w:t>
      </w:r>
      <w:r>
        <w:rPr>
          <w:rFonts w:eastAsia="Times New Roman" w:ascii="Times New Roman" w:hAnsi="Times New Roman"/>
          <w:sz w:val="24"/>
          <w:szCs w:val="24"/>
          <w:lang w:val="x-none" w:eastAsia="x-none"/>
        </w:rPr>
        <w:t xml:space="preserve">с одной стороны, </w:t>
      </w:r>
      <w:r>
        <w:rPr>
          <w:rFonts w:eastAsia="Times New Roman" w:ascii="Times New Roman" w:hAnsi="Times New Roman"/>
          <w:sz w:val="24"/>
          <w:szCs w:val="24"/>
          <w:lang w:eastAsia="ru-RU"/>
        </w:rPr>
        <w:t xml:space="preserve">и </w:t>
      </w:r>
      <w:r>
        <w:rPr>
          <w:rFonts w:eastAsia="Times New Roman" w:ascii="Times New Roman" w:hAnsi="Times New Roman"/>
          <w:b/>
          <w:sz w:val="24"/>
          <w:szCs w:val="24"/>
          <w:lang w:eastAsia="ru-RU"/>
        </w:rPr>
        <w:t>ххх «ххх» (ООО «ххх»)</w:t>
      </w:r>
      <w:r>
        <w:rPr>
          <w:rFonts w:eastAsia="Times New Roman" w:ascii="Times New Roman" w:hAnsi="Times New Roman"/>
          <w:sz w:val="24"/>
          <w:szCs w:val="24"/>
          <w:lang w:eastAsia="ru-RU"/>
        </w:rPr>
        <w:t>, именуемое в дальнейшем «Поставщик», в лице директора ааа</w:t>
      </w:r>
      <w:bookmarkStart w:id="0" w:name="_GoBack"/>
      <w:bookmarkEnd w:id="0"/>
      <w:r>
        <w:rPr>
          <w:rFonts w:eastAsia="Times New Roman" w:ascii="Times New Roman" w:hAnsi="Times New Roman"/>
          <w:sz w:val="24"/>
          <w:szCs w:val="24"/>
          <w:lang w:eastAsia="ru-RU"/>
        </w:rPr>
        <w:t>, действующего на основании Устава</w:t>
      </w:r>
      <w:r>
        <w:rPr>
          <w:rFonts w:eastAsia="Times New Roman" w:ascii="Times New Roman" w:hAnsi="Times New Roman"/>
          <w:sz w:val="24"/>
          <w:szCs w:val="24"/>
          <w:lang w:val="x-none" w:eastAsia="x-none"/>
        </w:rPr>
        <w:t xml:space="preserve">, с другой стороны, совместно в дальнейшем именуемые «Стороны», а по отдельности – «Сторона», заключили настоящий договор (далее – </w:t>
      </w:r>
      <w:r>
        <w:rPr>
          <w:rFonts w:eastAsia="Times New Roman" w:ascii="Times New Roman" w:hAnsi="Times New Roman"/>
          <w:sz w:val="24"/>
          <w:szCs w:val="24"/>
          <w:lang w:eastAsia="x-none"/>
        </w:rPr>
        <w:t>«</w:t>
      </w:r>
      <w:r>
        <w:rPr>
          <w:rFonts w:eastAsia="Times New Roman" w:ascii="Times New Roman" w:hAnsi="Times New Roman"/>
          <w:sz w:val="24"/>
          <w:szCs w:val="24"/>
          <w:lang w:val="x-none" w:eastAsia="x-none"/>
        </w:rPr>
        <w:t>Договор</w:t>
      </w:r>
      <w:r>
        <w:rPr>
          <w:rFonts w:eastAsia="Times New Roman" w:ascii="Times New Roman" w:hAnsi="Times New Roman"/>
          <w:sz w:val="24"/>
          <w:szCs w:val="24"/>
          <w:lang w:eastAsia="x-none"/>
        </w:rPr>
        <w:t>»</w:t>
      </w:r>
      <w:r>
        <w:rPr>
          <w:rFonts w:eastAsia="Times New Roman" w:ascii="Times New Roman" w:hAnsi="Times New Roman"/>
          <w:sz w:val="24"/>
          <w:szCs w:val="24"/>
          <w:lang w:val="x-none" w:eastAsia="x-none"/>
        </w:rPr>
        <w:t>) о нижеследующем:</w:t>
      </w:r>
    </w:p>
    <w:p>
      <w:pPr>
        <w:pStyle w:val="Normal"/>
        <w:widowControl w:val="false"/>
        <w:shd w:val="clear" w:color="auto" w:fill="FFFFFF"/>
        <w:spacing w:lineRule="auto" w:line="240" w:before="0" w:after="0"/>
        <w:ind w:firstLine="709"/>
        <w:rPr>
          <w:rFonts w:ascii="Times New Roman" w:hAnsi="Times New Roman" w:eastAsia="Times New Roman"/>
          <w:bCs/>
          <w:color w:val="000000"/>
          <w:sz w:val="24"/>
          <w:szCs w:val="24"/>
          <w:lang w:val="x-none" w:eastAsia="ru-RU"/>
        </w:rPr>
      </w:pPr>
      <w:r>
        <w:rPr>
          <w:rFonts w:eastAsia="Times New Roman" w:ascii="Times New Roman" w:hAnsi="Times New Roman"/>
          <w:bCs/>
          <w:color w:val="000000"/>
          <w:sz w:val="24"/>
          <w:szCs w:val="24"/>
          <w:lang w:val="x-none"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t>Предмет Договора</w:t>
      </w:r>
    </w:p>
    <w:p>
      <w:pPr>
        <w:pStyle w:val="Normal"/>
        <w:widowControl w:val="false"/>
        <w:shd w:val="clear" w:color="auto" w:fill="FFFFFF"/>
        <w:spacing w:lineRule="auto" w:line="240" w:before="0" w:after="0"/>
        <w:ind w:firstLine="709"/>
        <w:jc w:val="center"/>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 xml:space="preserve">Поставщик обязуется в порядке и в сроки, установленные Договором, передать Покупателю, а Покупатель обязуется принять и оплатить </w:t>
      </w:r>
      <w:r>
        <w:rPr>
          <w:rFonts w:eastAsia="Times New Roman" w:ascii="Times New Roman" w:hAnsi="Times New Roman"/>
          <w:b/>
          <w:bCs/>
          <w:color w:val="000000"/>
          <w:sz w:val="24"/>
          <w:szCs w:val="24"/>
          <w:lang w:eastAsia="ru-RU"/>
        </w:rPr>
        <w:t>поставку средств индивидуальной защиты для работников и НАСФ Филиала</w:t>
      </w:r>
      <w:r>
        <w:rPr>
          <w:rFonts w:eastAsia="Times New Roman" w:ascii="Times New Roman" w:hAnsi="Times New Roman"/>
          <w:bCs/>
          <w:color w:val="000000"/>
          <w:sz w:val="24"/>
          <w:szCs w:val="24"/>
          <w:lang w:eastAsia="ru-RU"/>
        </w:rPr>
        <w:t xml:space="preserve"> в соответствии со Спецификацией (Приложение №1) (далее – «Товар»).).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 xml:space="preserve">Поставка Товара выполняется для нужд </w:t>
      </w:r>
      <w:r>
        <w:rPr>
          <w:rFonts w:eastAsia="Times New Roman" w:ascii="Times New Roman" w:hAnsi="Times New Roman"/>
          <w:bCs/>
          <w:sz w:val="24"/>
          <w:szCs w:val="24"/>
          <w:lang w:eastAsia="ru-RU"/>
        </w:rPr>
        <w:t>филиала ПАО «РусГидро» - «Дагестанский филиал».</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 xml:space="preserve">Место поставки: 368300 </w:t>
      </w:r>
      <w:r>
        <w:rPr>
          <w:rFonts w:eastAsia="Times New Roman" w:ascii="Times New Roman" w:hAnsi="Times New Roman"/>
          <w:sz w:val="24"/>
          <w:szCs w:val="16"/>
          <w:lang w:eastAsia="ru-RU"/>
        </w:rPr>
        <w:t xml:space="preserve">РД, г. Каспийск, ул. Халилова, д 5 </w:t>
      </w:r>
      <w:r>
        <w:rPr>
          <w:rFonts w:eastAsia="Times New Roman" w:ascii="Times New Roman" w:hAnsi="Times New Roman"/>
          <w:bCs/>
          <w:color w:val="000000"/>
          <w:sz w:val="24"/>
          <w:szCs w:val="24"/>
          <w:lang w:eastAsia="ru-RU"/>
        </w:rPr>
        <w:t>(далее – «Место поставки»).</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 xml:space="preserve">Срок поставки: </w:t>
      </w:r>
      <w:r>
        <w:rPr>
          <w:rFonts w:eastAsia="Times New Roman" w:ascii="Times New Roman" w:hAnsi="Times New Roman"/>
          <w:sz w:val="24"/>
          <w:szCs w:val="24"/>
          <w:lang w:eastAsia="ru-RU"/>
        </w:rPr>
        <w:t xml:space="preserve">с даты подписания Договора </w:t>
      </w:r>
      <w:r>
        <w:rPr>
          <w:rFonts w:eastAsia="Times New Roman" w:ascii="Times New Roman" w:hAnsi="Times New Roman"/>
          <w:bCs/>
          <w:color w:val="000000"/>
          <w:sz w:val="24"/>
          <w:szCs w:val="24"/>
          <w:lang w:eastAsia="ru-RU"/>
        </w:rPr>
        <w:t>в течение 60 календарных дней с момента получения авансового платежа от Покупателя</w:t>
      </w:r>
      <w:r>
        <w:rPr>
          <w:rFonts w:eastAsia="Times New Roman" w:ascii="Times New Roman" w:hAnsi="Times New Roman"/>
          <w:sz w:val="24"/>
          <w:szCs w:val="24"/>
          <w:lang w:eastAsia="ru-RU"/>
        </w:rPr>
        <w:t>.</w:t>
      </w:r>
    </w:p>
    <w:p>
      <w:pPr>
        <w:pStyle w:val="Normal"/>
        <w:widowControl w:val="false"/>
        <w:shd w:val="clear" w:color="auto" w:fill="FFFFFF"/>
        <w:tabs>
          <w:tab w:val="clear" w:pos="708"/>
          <w:tab w:val="left" w:pos="540" w:leader="none"/>
        </w:tabs>
        <w:spacing w:lineRule="auto" w:line="240" w:before="0" w:after="0"/>
        <w:ind w:firstLine="709"/>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t>Цена Договора и порядок оплаты</w:t>
      </w:r>
    </w:p>
    <w:p>
      <w:pPr>
        <w:pStyle w:val="Normal"/>
        <w:widowControl w:val="false"/>
        <w:shd w:val="clear" w:color="auto" w:fill="FFFFFF"/>
        <w:spacing w:lineRule="auto" w:line="240" w:before="0" w:after="0"/>
        <w:ind w:firstLine="709"/>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color w:val="000000"/>
          <w:sz w:val="24"/>
          <w:szCs w:val="24"/>
          <w:lang w:eastAsia="ru-RU"/>
        </w:rPr>
        <w:t>Общая стоимость Товара (далее – «Цена Договора») составляет   </w:t>
      </w:r>
      <w:r>
        <w:rPr>
          <w:rFonts w:eastAsia="Times New Roman" w:ascii="Times New Roman" w:hAnsi="Times New Roman"/>
          <w:b/>
          <w:bCs/>
          <w:color w:val="000000"/>
          <w:sz w:val="24"/>
          <w:szCs w:val="24"/>
          <w:lang w:eastAsia="ru-RU"/>
        </w:rPr>
        <w:t>00,00</w:t>
      </w:r>
      <w:r>
        <w:rPr>
          <w:rFonts w:eastAsia="Times New Roman" w:ascii="Times New Roman" w:hAnsi="Times New Roman"/>
          <w:bCs/>
          <w:color w:val="000000"/>
          <w:sz w:val="24"/>
          <w:szCs w:val="24"/>
          <w:lang w:eastAsia="ru-RU"/>
        </w:rPr>
        <w:t xml:space="preserve"> (ааа) рублей 00 копеек, </w:t>
      </w:r>
      <w:r>
        <w:rPr>
          <w:rFonts w:eastAsia="Times New Roman" w:ascii="Times New Roman" w:hAnsi="Times New Roman"/>
          <w:bCs/>
          <w:sz w:val="24"/>
          <w:szCs w:val="24"/>
          <w:lang w:eastAsia="ru-RU"/>
        </w:rPr>
        <w:t>в том числе НДС 00,00 (ааа) рублей 00 копеек.</w:t>
      </w:r>
    </w:p>
    <w:p>
      <w:pPr>
        <w:pStyle w:val="Normal"/>
        <w:widowControl w:val="false"/>
        <w:shd w:val="clear" w:color="auto" w:fill="FFFFFF"/>
        <w:spacing w:lineRule="auto" w:line="240" w:before="0" w:after="0"/>
        <w:ind w:firstLine="709"/>
        <w:jc w:val="both"/>
        <w:rPr>
          <w:rFonts w:ascii="Times New Roman" w:hAnsi="Times New Roman" w:eastAsia="Times New Roman"/>
          <w:sz w:val="24"/>
          <w:szCs w:val="24"/>
          <w:lang w:eastAsia="ru-RU"/>
        </w:rPr>
      </w:pPr>
      <w:r>
        <w:rPr>
          <w:rFonts w:eastAsia="Times New Roman" w:ascii="Times New Roman" w:hAnsi="Times New Roman"/>
          <w:bCs/>
          <w:sz w:val="24"/>
          <w:szCs w:val="24"/>
          <w:lang w:eastAsia="ru-RU"/>
        </w:rPr>
        <w:t xml:space="preserve">Цена Договора включает в себя прибыль Поставщика, а также расходы Поставщика на производство или приобретение, 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r>
        <w:rPr>
          <w:rFonts w:eastAsia="Times New Roman" w:ascii="Times New Roman" w:hAnsi="Times New Roman"/>
          <w:sz w:val="24"/>
          <w:szCs w:val="24"/>
          <w:lang w:eastAsia="ru-RU"/>
        </w:rPr>
        <w:t xml:space="preserve">подлежащие уплате налоги, сборы и пошлины (в т. ч. по таможенному оформлению, если применимо), </w:t>
      </w:r>
      <w:r>
        <w:rPr>
          <w:rFonts w:eastAsia="Times New Roman" w:ascii="Times New Roman" w:hAnsi="Times New Roman"/>
          <w:bCs/>
          <w:sz w:val="24"/>
          <w:szCs w:val="24"/>
          <w:lang w:eastAsia="ru-RU"/>
        </w:rPr>
        <w:t xml:space="preserve">а также </w:t>
      </w:r>
      <w:r>
        <w:rPr>
          <w:rFonts w:eastAsia="Times New Roman" w:ascii="Times New Roman" w:hAnsi="Times New Roman"/>
          <w:sz w:val="24"/>
          <w:szCs w:val="24"/>
          <w:lang w:eastAsia="ru-RU"/>
        </w:rPr>
        <w:t xml:space="preserve">все прочие затраты и расходы Поставщика, связанные с поставкой Товара и исполнением иных обязательств по Договору.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Стоимость Товара является фиксированной и не подлежит изменению.</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Стоимость отдельных единиц Товара определяется Спецификацией (Приложение №1).</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Оплата по Договору осуществляется Покупателем в следующем порядке: </w:t>
      </w:r>
    </w:p>
    <w:p>
      <w:pPr>
        <w:pStyle w:val="Normal"/>
        <w:widowControl w:val="false"/>
        <w:numPr>
          <w:ilvl w:val="2"/>
          <w:numId w:val="2"/>
        </w:numPr>
        <w:shd w:val="clear" w:color="auto" w:fill="FFFFFF"/>
        <w:tabs>
          <w:tab w:val="clear" w:pos="708"/>
          <w:tab w:val="left" w:pos="1560" w:leader="none"/>
        </w:tabs>
        <w:spacing w:lineRule="auto" w:line="240" w:before="0" w:after="0"/>
        <w:ind w:firstLine="709" w:left="0"/>
        <w:jc w:val="both"/>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 xml:space="preserve">Покупатель уплачивает Поставщику авансовый платеж в размере 100% </w:t>
      </w:r>
      <w:r>
        <w:rPr>
          <w:rFonts w:eastAsia="Times New Roman" w:ascii="Times New Roman" w:hAnsi="Times New Roman"/>
          <w:sz w:val="24"/>
          <w:szCs w:val="24"/>
          <w:lang w:eastAsia="ru-RU"/>
        </w:rPr>
        <w:t>(100 процентов) от</w:t>
      </w:r>
      <w:r>
        <w:rPr>
          <w:rFonts w:eastAsia="Times New Roman" w:ascii="Times New Roman" w:hAnsi="Times New Roman"/>
          <w:bCs/>
          <w:color w:val="000000"/>
          <w:sz w:val="24"/>
          <w:szCs w:val="24"/>
          <w:lang w:eastAsia="ru-RU"/>
        </w:rPr>
        <w:t xml:space="preserve"> Цены Договора</w:t>
      </w:r>
      <w:r>
        <w:rPr>
          <w:rFonts w:eastAsia="Times New Roman" w:ascii="Times New Roman" w:hAnsi="Times New Roman"/>
          <w:sz w:val="24"/>
          <w:szCs w:val="24"/>
          <w:lang w:eastAsia="ru-RU"/>
        </w:rPr>
        <w:t>. Оплата производится в течение 14 (четырнадцати) календарных дней с даты подписания Договора при условии получения Покупателем счета, выставленного Поставщиком и с учетом пункта 2.7 Договора.</w:t>
      </w:r>
    </w:p>
    <w:p>
      <w:pPr>
        <w:pStyle w:val="Normal"/>
        <w:widowControl w:val="false"/>
        <w:numPr>
          <w:ilvl w:val="2"/>
          <w:numId w:val="2"/>
        </w:numPr>
        <w:shd w:val="clear" w:color="auto" w:fill="FFFFFF"/>
        <w:spacing w:lineRule="auto" w:line="240" w:before="0" w:after="0"/>
        <w:ind w:firstLine="709" w:left="0"/>
        <w:jc w:val="both"/>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 xml:space="preserve">Покупатель </w:t>
      </w:r>
      <w:r>
        <w:rPr>
          <w:rFonts w:eastAsia="Times New Roman" w:ascii="Times New Roman" w:hAnsi="Times New Roman"/>
          <w:bCs/>
          <w:color w:val="000000" w:themeColor="text1"/>
          <w:sz w:val="24"/>
          <w:szCs w:val="24"/>
          <w:lang w:eastAsia="ru-RU"/>
        </w:rPr>
        <w:t>принимает товар в течение 5 (пяти) календарных</w:t>
      </w:r>
      <w:r>
        <w:rPr>
          <w:rFonts w:eastAsia="Times New Roman" w:ascii="Times New Roman" w:hAnsi="Times New Roman"/>
          <w:bCs/>
          <w:color w:val="70AD47" w:themeColor="accent6"/>
          <w:sz w:val="24"/>
          <w:szCs w:val="24"/>
          <w:lang w:eastAsia="ru-RU"/>
        </w:rPr>
        <w:t xml:space="preserve"> </w:t>
      </w:r>
      <w:r>
        <w:rPr>
          <w:rFonts w:eastAsia="Times New Roman" w:ascii="Times New Roman" w:hAnsi="Times New Roman"/>
          <w:bCs/>
          <w:color w:val="000000"/>
          <w:sz w:val="24"/>
          <w:szCs w:val="24"/>
          <w:lang w:eastAsia="ru-RU"/>
        </w:rPr>
        <w:t>дней в соответствии с Товарной накладной унифицированной формы ТОРГ-12.</w:t>
      </w:r>
    </w:p>
    <w:p>
      <w:pPr>
        <w:pStyle w:val="Normal"/>
        <w:widowControl w:val="false"/>
        <w:numPr>
          <w:ilvl w:val="1"/>
          <w:numId w:val="2"/>
        </w:numPr>
        <w:shd w:val="clear" w:color="auto" w:fill="FFFFFF"/>
        <w:tabs>
          <w:tab w:val="clear" w:pos="708"/>
          <w:tab w:val="left" w:pos="1284"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Поставщик обязан представить Покупателю счет-фактуру, выставленный в сроки и оформленный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w:t>
      </w:r>
    </w:p>
    <w:p>
      <w:pPr>
        <w:pStyle w:val="Normal"/>
        <w:widowControl w:val="false"/>
        <w:numPr>
          <w:ilvl w:val="1"/>
          <w:numId w:val="2"/>
        </w:numPr>
        <w:shd w:val="clear" w:color="auto" w:fill="FFFFFF"/>
        <w:tabs>
          <w:tab w:val="clear" w:pos="708"/>
          <w:tab w:val="left" w:pos="1284"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Покупатель принимает товар в течение 5 (пяти) календарных дней в соответствии с Товарной накладной унифицированной формы ТОРГ-12.</w:t>
      </w:r>
    </w:p>
    <w:p>
      <w:pPr>
        <w:pStyle w:val="Normal"/>
        <w:widowControl w:val="false"/>
        <w:numPr>
          <w:ilvl w:val="1"/>
          <w:numId w:val="2"/>
        </w:numPr>
        <w:shd w:val="clear" w:color="auto" w:fill="FFFFFF"/>
        <w:tabs>
          <w:tab w:val="clear" w:pos="708"/>
          <w:tab w:val="left" w:pos="1284" w:leader="none"/>
        </w:tabs>
        <w:spacing w:lineRule="auto" w:line="240" w:before="0" w:after="0"/>
        <w:ind w:firstLine="709" w:left="0"/>
        <w:jc w:val="both"/>
        <w:rPr>
          <w:rFonts w:ascii="Times New Roman" w:hAnsi="Times New Roman" w:eastAsia="Times New Roman"/>
          <w:sz w:val="24"/>
          <w:szCs w:val="24"/>
          <w:lang w:eastAsia="ru-RU"/>
        </w:rPr>
      </w:pPr>
      <w:bookmarkStart w:id="1" w:name="_Ref372549497"/>
      <w:r>
        <w:rPr>
          <w:rFonts w:eastAsia="Times New Roman" w:ascii="Times New Roman" w:hAnsi="Times New Roman"/>
          <w:sz w:val="24"/>
          <w:szCs w:val="24"/>
          <w:lang w:eastAsia="ru-RU"/>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w:t>
      </w:r>
      <w:bookmarkEnd w:id="1"/>
    </w:p>
    <w:p>
      <w:pPr>
        <w:pStyle w:val="Normal"/>
        <w:widowControl w:val="false"/>
        <w:numPr>
          <w:ilvl w:val="1"/>
          <w:numId w:val="2"/>
        </w:numPr>
        <w:shd w:val="clear" w:color="auto" w:fill="FFFFFF"/>
        <w:tabs>
          <w:tab w:val="clear" w:pos="708"/>
          <w:tab w:val="left" w:pos="1284"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widowControl w:val="false"/>
        <w:shd w:val="clear" w:color="auto" w:fill="FFFFFF"/>
        <w:spacing w:lineRule="auto" w:line="240" w:before="0" w:after="0"/>
        <w:ind w:firstLine="851"/>
        <w:jc w:val="both"/>
        <w:rPr>
          <w:rFonts w:ascii="Times New Roman" w:hAnsi="Times New Roman" w:eastAsia="Times New Roman"/>
          <w:strike/>
          <w:sz w:val="24"/>
          <w:szCs w:val="24"/>
          <w:lang w:eastAsia="ru-RU"/>
        </w:rPr>
      </w:pPr>
      <w:r>
        <w:rPr>
          <w:rFonts w:eastAsia="Times New Roman" w:ascii="Times New Roman" w:hAnsi="Times New Roman"/>
          <w:sz w:val="24"/>
          <w:szCs w:val="24"/>
          <w:lang w:eastAsia="ru-RU"/>
        </w:rPr>
        <w:t>2.9. По соглашению Сторон допускаются иные формы расчетов, не запрещенные законодательством Российской Федерации.</w:t>
      </w:r>
    </w:p>
    <w:p>
      <w:pPr>
        <w:pStyle w:val="Normal"/>
        <w:widowControl w:val="false"/>
        <w:shd w:val="clear" w:color="auto" w:fill="FFFFFF"/>
        <w:spacing w:lineRule="auto" w:line="240" w:before="0" w:after="0"/>
        <w:ind w:firstLine="709"/>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t>Качество, количество и комплектность</w:t>
      </w:r>
    </w:p>
    <w:p>
      <w:pPr>
        <w:pStyle w:val="Normal"/>
        <w:widowControl w:val="false"/>
        <w:shd w:val="clear" w:color="auto" w:fill="FFFFFF"/>
        <w:spacing w:lineRule="auto" w:line="240" w:before="0" w:after="0"/>
        <w:ind w:firstLine="709"/>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правами третьих лиц не обременен.</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Качество, комплектность, количество и ассортимент поставляемого Товара должны соответствовать требованиям Покупателя, Договора, государственным стандартам (техническим регламентам, техническим условиям) и другой нормативно-технической документации, применимым к товарам данного вида.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Одновременно с передачей Товара Поставщик обязан передать Покупателю оригиналы следующих относящихся к нему документов: </w:t>
      </w:r>
    </w:p>
    <w:p>
      <w:pPr>
        <w:pStyle w:val="Normal"/>
        <w:widowControl w:val="false"/>
        <w:numPr>
          <w:ilvl w:val="0"/>
          <w:numId w:val="4"/>
        </w:numPr>
        <w:shd w:val="clear" w:color="auto" w:fill="FFFFFF"/>
        <w:tabs>
          <w:tab w:val="clear" w:pos="708"/>
          <w:tab w:val="left" w:pos="993" w:leader="none"/>
        </w:tabs>
        <w:spacing w:lineRule="auto" w:line="240" w:before="0" w:after="0"/>
        <w:ind w:firstLine="709" w:left="0"/>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t>Декларация о соответствии;</w:t>
      </w:r>
    </w:p>
    <w:p>
      <w:pPr>
        <w:pStyle w:val="Normal"/>
        <w:widowControl w:val="false"/>
        <w:numPr>
          <w:ilvl w:val="0"/>
          <w:numId w:val="4"/>
        </w:numPr>
        <w:shd w:val="clear" w:color="auto" w:fill="FFFFFF"/>
        <w:tabs>
          <w:tab w:val="clear" w:pos="708"/>
          <w:tab w:val="left" w:pos="993" w:leader="none"/>
        </w:tabs>
        <w:spacing w:lineRule="auto" w:line="240" w:before="0" w:after="0"/>
        <w:ind w:firstLine="709" w:left="0"/>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t>Инструкция по эксплуатации на русском языке в одном экз.;</w:t>
      </w:r>
    </w:p>
    <w:p>
      <w:pPr>
        <w:pStyle w:val="Normal"/>
        <w:widowControl w:val="false"/>
        <w:numPr>
          <w:ilvl w:val="0"/>
          <w:numId w:val="4"/>
        </w:numPr>
        <w:shd w:val="clear" w:color="auto" w:fill="FFFFFF"/>
        <w:tabs>
          <w:tab w:val="clear" w:pos="708"/>
          <w:tab w:val="left" w:pos="993" w:leader="none"/>
        </w:tabs>
        <w:spacing w:lineRule="auto" w:line="240" w:before="0" w:after="0"/>
        <w:ind w:firstLine="709" w:left="0"/>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t>Упаковочный лист в одном экз.;</w:t>
      </w:r>
    </w:p>
    <w:p>
      <w:pPr>
        <w:pStyle w:val="Normal"/>
        <w:widowControl w:val="false"/>
        <w:numPr>
          <w:ilvl w:val="0"/>
          <w:numId w:val="3"/>
        </w:numPr>
        <w:shd w:val="clear" w:color="auto" w:fill="FFFFFF"/>
        <w:tabs>
          <w:tab w:val="clear" w:pos="708"/>
          <w:tab w:val="left" w:pos="993" w:leader="none"/>
        </w:tabs>
        <w:spacing w:lineRule="auto" w:line="240" w:before="0" w:after="0"/>
        <w:ind w:firstLine="709" w:left="0"/>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поставляемого Товара;</w:t>
      </w:r>
    </w:p>
    <w:p>
      <w:pPr>
        <w:pStyle w:val="Normal"/>
        <w:widowControl w:val="false"/>
        <w:numPr>
          <w:ilvl w:val="0"/>
          <w:numId w:val="3"/>
        </w:numPr>
        <w:shd w:val="clear" w:color="auto" w:fill="FFFFFF"/>
        <w:tabs>
          <w:tab w:val="clear" w:pos="708"/>
          <w:tab w:val="left" w:pos="993" w:leader="none"/>
        </w:tabs>
        <w:spacing w:lineRule="auto" w:line="240" w:before="0" w:after="0"/>
        <w:ind w:firstLine="709" w:left="0"/>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t>товарно-транспортная накладная формы №1-Т (для учета товарно-материальных ценностей и расчетов за их перевозки) или железнодорожная накладная (форма № ГУ-27) в двух экз.;</w:t>
      </w:r>
    </w:p>
    <w:p>
      <w:pPr>
        <w:pStyle w:val="Normal"/>
        <w:widowControl w:val="false"/>
        <w:numPr>
          <w:ilvl w:val="0"/>
          <w:numId w:val="3"/>
        </w:numPr>
        <w:shd w:val="clear" w:color="auto" w:fill="FFFFFF"/>
        <w:tabs>
          <w:tab w:val="clear" w:pos="708"/>
          <w:tab w:val="left" w:pos="993" w:leader="none"/>
        </w:tabs>
        <w:spacing w:lineRule="auto" w:line="240" w:before="0" w:after="0"/>
        <w:ind w:firstLine="709" w:left="0"/>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t>товарная накладная унифицированной формы ТОРГ-12 в двух экз.;</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rFonts w:eastAsia="Times New Roman" w:ascii="Times New Roman" w:hAnsi="Times New Roman"/>
          <w:color w:val="000000"/>
          <w:sz w:val="24"/>
          <w:szCs w:val="24"/>
          <w:lang w:eastAsia="ru-RU"/>
        </w:rPr>
        <w:t>товарно-транспортную накладную формы №1-Т</w:t>
      </w:r>
      <w:r>
        <w:rPr>
          <w:rFonts w:eastAsia="Times New Roman" w:ascii="Times New Roman" w:hAnsi="Times New Roman"/>
          <w:sz w:val="24"/>
          <w:szCs w:val="24"/>
          <w:lang w:eastAsia="ru-RU"/>
        </w:rPr>
        <w:t xml:space="preserve">.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При некомплектности, недопоставке, отсутствии необходимых принадлежностей или документов,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w:t>
      </w:r>
      <w:r>
        <w:rPr>
          <w:rFonts w:eastAsia="Times New Roman" w:ascii="Times New Roman" w:hAnsi="Times New Roman"/>
          <w:color w:val="000000" w:themeColor="text1"/>
          <w:sz w:val="24"/>
          <w:szCs w:val="24"/>
          <w:lang w:eastAsia="ru-RU"/>
        </w:rPr>
        <w:t xml:space="preserve">15 (пятнадцати) </w:t>
      </w:r>
      <w:r>
        <w:rPr>
          <w:rFonts w:eastAsia="Times New Roman" w:ascii="Times New Roman" w:hAnsi="Times New Roman"/>
          <w:sz w:val="24"/>
          <w:szCs w:val="24"/>
          <w:lang w:eastAsia="ru-RU"/>
        </w:rPr>
        <w:t xml:space="preserve">календарных дней с указанной даты представить необходимые комплектующие, документы или принадлежности, что не освобождает Поставщика от ответственности за убытки, причиненные нарушением срока поставки.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Приемка Товара со вскрытием упаковки производится Покупателем в течение </w:t>
      </w:r>
      <w:r>
        <w:rPr>
          <w:rFonts w:eastAsia="Times New Roman" w:ascii="Times New Roman" w:hAnsi="Times New Roman"/>
          <w:color w:val="000000" w:themeColor="text1"/>
          <w:sz w:val="24"/>
          <w:szCs w:val="24"/>
          <w:lang w:eastAsia="ru-RU"/>
        </w:rPr>
        <w:t>5 (пяти) рабочих дней</w:t>
      </w:r>
      <w:r>
        <w:rPr>
          <w:rFonts w:eastAsia="Times New Roman" w:ascii="Times New Roman" w:hAnsi="Times New Roman"/>
          <w:color w:val="70AD47" w:themeColor="accent6"/>
          <w:sz w:val="24"/>
          <w:szCs w:val="24"/>
          <w:lang w:eastAsia="ru-RU"/>
        </w:rPr>
        <w:t xml:space="preserve"> </w:t>
      </w:r>
      <w:r>
        <w:rPr>
          <w:rFonts w:eastAsia="Times New Roman" w:ascii="Times New Roman" w:hAnsi="Times New Roman"/>
          <w:sz w:val="24"/>
          <w:szCs w:val="24"/>
          <w:lang w:eastAsia="ru-RU"/>
        </w:rPr>
        <w:t xml:space="preserve">с даты подписания </w:t>
      </w:r>
      <w:r>
        <w:rPr>
          <w:rFonts w:eastAsia="Times New Roman" w:ascii="Times New Roman" w:hAnsi="Times New Roman"/>
          <w:color w:val="000000"/>
          <w:sz w:val="24"/>
          <w:szCs w:val="24"/>
          <w:lang w:eastAsia="ru-RU"/>
        </w:rPr>
        <w:t>товарно-транспортной накладной по форме №1-Т</w:t>
      </w:r>
      <w:r>
        <w:rPr>
          <w:rFonts w:eastAsia="Times New Roman" w:ascii="Times New Roman" w:hAnsi="Times New Roman"/>
          <w:sz w:val="24"/>
          <w:szCs w:val="24"/>
          <w:lang w:eastAsia="ru-RU"/>
        </w:rPr>
        <w:t xml:space="preserve">. В случае отсутствия замечаний Покупатель подписывает </w:t>
      </w:r>
      <w:r>
        <w:rPr>
          <w:rFonts w:eastAsia="Times New Roman" w:ascii="Times New Roman" w:hAnsi="Times New Roman"/>
          <w:color w:val="000000"/>
          <w:sz w:val="24"/>
          <w:szCs w:val="24"/>
          <w:lang w:eastAsia="ru-RU"/>
        </w:rPr>
        <w:t>товарную накладную унифицированной формы ТОРГ-12</w:t>
      </w:r>
      <w:r>
        <w:rPr>
          <w:rFonts w:eastAsia="Times New Roman" w:ascii="Times New Roman" w:hAnsi="Times New Roman"/>
          <w:sz w:val="24"/>
          <w:szCs w:val="24"/>
          <w:lang w:eastAsia="ru-RU"/>
        </w:rPr>
        <w:t>.</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Товара,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приемки. В акте о выявленных недостатках указываются сроки и способ их устранения (возврат, замена или ремонт Товара).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Товара.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При невыполнении Поставщиком требований пункта 3.7.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В случае неисполнения Поставщиком обязательств по устранению выявленных недостатков в порядке, предусмотренном п. п. 3.5., 3.7. Договора, Покупатель вправе отказаться от приемки (возвратить) всего или части Товара соответствующей партии, направив письменное уведомление Поставщику. </w:t>
      </w:r>
      <w:r>
        <w:rPr>
          <w:rFonts w:eastAsia="Times New Roman" w:ascii="Times New Roman" w:hAnsi="Times New Roman"/>
          <w:color w:val="000000" w:themeColor="text1"/>
          <w:sz w:val="24"/>
          <w:szCs w:val="24"/>
          <w:lang w:eastAsia="ru-RU"/>
        </w:rPr>
        <w:t>Поставщик не позднее 10 (десяти) рабочих дней с даты уведомления обязан обеспечить вывоз Товара</w:t>
      </w:r>
      <w:r>
        <w:rPr>
          <w:rFonts w:eastAsia="Times New Roman" w:ascii="Times New Roman" w:hAnsi="Times New Roman"/>
          <w:sz w:val="24"/>
          <w:szCs w:val="24"/>
          <w:lang w:eastAsia="ru-RU"/>
        </w:rPr>
        <w:t xml:space="preserve">, от которого отказался Покупатель, возвратить авансовый платеж, а также возместить убытки, причиненные Покупателю ненадлежащим исполнением Договора, в том числе расходы на хранение Товара.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По всем иным вопросам, касающимся приемки Товара,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На Товар устанавливается гарантийный срок, который подлежит исчислению с даты ввода Товара в эксплуатацию, но не более 12 (двенадцати) месяцев с даты подписания Сторонами товарной накладной по форме ТОРГ-12 (далее – «Гарантийный срок»).</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В течение Гарантийного срока Поставщик гарантирует соответствие качества Товара требованиям, указанным в Договоре, техническом паспорте Товара, нормативно-технической документации, возможность эксплуатации Товара в соответствии с его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указанных в инструкциях и иных документах, переданных Покупателю.</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При обнаружении в течение Гарантийного срока недостатков Товара Покупатель направляет Поставщику соответствующее письменное уведомление, в котором указывает перечень выявленных недостатков и срок на их устранение.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Устранение недостатков осуществляется Поставщиком своими силами, за свой счет и в срок, указанный </w:t>
      </w:r>
      <w:bookmarkStart w:id="2" w:name="OLE_LINK5"/>
      <w:bookmarkStart w:id="3" w:name="OLE_LINK6"/>
      <w:r>
        <w:rPr>
          <w:rFonts w:eastAsia="Times New Roman" w:ascii="Times New Roman" w:hAnsi="Times New Roman"/>
          <w:sz w:val="24"/>
          <w:szCs w:val="24"/>
          <w:lang w:eastAsia="ru-RU"/>
        </w:rPr>
        <w:t>Покупателем в соответствии с п. 3.13. Договора</w:t>
      </w:r>
      <w:bookmarkEnd w:id="2"/>
      <w:bookmarkEnd w:id="3"/>
      <w:r>
        <w:rPr>
          <w:rFonts w:eastAsia="Times New Roman" w:ascii="Times New Roman" w:hAnsi="Times New Roman"/>
          <w:sz w:val="24"/>
          <w:szCs w:val="24"/>
          <w:lang w:eastAsia="ru-RU"/>
        </w:rPr>
        <w:t xml:space="preserve">, путем замены или ремонта Товара. Устранение недостатков путем ремонта Товара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Товара возвратить Покупателю его стоимость в соответствии со Спецификацией (Приложение №1). Вывоз Товара для целей устранения недостатков или утилизации осуществляется Поставщиком.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Если Поставщик не устранит недостатки в срок, установленный согласно п. 3.13.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Гарантийный срок на Товар увеличивается на тот период времени, в течение которого Покупатель не мог эксплуатировать Товар (его часть) вследствие указанных в настоящем разделе недостатков. Гарантийный срок на замененную или отремонтированную единицу Товара устанавливается продолжительностью, указанной в п. 3.11.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Покупатель вправе отказаться от Товара, поставка которого просрочена, и расторгнуть договор, досрочно уведомив Поставщика, при этом потребовав возмещения понесенных убытков.</w:t>
      </w:r>
    </w:p>
    <w:p>
      <w:pPr>
        <w:pStyle w:val="Normal"/>
        <w:widowControl w:val="false"/>
        <w:shd w:val="clear" w:color="auto" w:fill="FFFFFF"/>
        <w:spacing w:lineRule="auto" w:line="240" w:before="0" w:after="0"/>
        <w:ind w:left="709"/>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t>Тара, упаковка, маркировка</w:t>
      </w:r>
    </w:p>
    <w:p>
      <w:pPr>
        <w:pStyle w:val="Normal"/>
        <w:widowControl w:val="false"/>
        <w:spacing w:lineRule="auto" w:line="240" w:before="0" w:after="0"/>
        <w:ind w:firstLine="709"/>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Товар должен отгружаться Поставщиком в таре и упаковке, обеспечивающих его полную сохранность от всякого рода повреждений и порчи, с учетом возможных перегрузок и длительного хранения.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Отдельные требования к упаковке и маркировке негабаритных товаров, а также любые другие специальные требования, помимо установленных в п. 4.1. Договора, указываются Сторонами в Спецификации (Приложение № 1).</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Стоимость тары и упаковки включена в Цену Договора. Тара и упаковка возврату не подлежат.</w:t>
      </w:r>
    </w:p>
    <w:p>
      <w:pPr>
        <w:pStyle w:val="Normal"/>
        <w:widowControl w:val="false"/>
        <w:spacing w:lineRule="auto" w:line="240" w:before="0" w:after="0"/>
        <w:ind w:firstLine="709"/>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t>Порядок и условия поставки, переход права собственности</w:t>
      </w:r>
    </w:p>
    <w:p>
      <w:pPr>
        <w:pStyle w:val="Normal"/>
        <w:widowControl w:val="false"/>
        <w:shd w:val="clear" w:color="auto" w:fill="FFFFFF"/>
        <w:tabs>
          <w:tab w:val="clear" w:pos="708"/>
          <w:tab w:val="left" w:pos="1190" w:leader="none"/>
        </w:tabs>
        <w:spacing w:lineRule="auto" w:line="240" w:before="0" w:after="0"/>
        <w:ind w:firstLine="709"/>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p>
      <w:pPr>
        <w:pStyle w:val="ListParagraph"/>
        <w:widowControl w:val="false"/>
        <w:numPr>
          <w:ilvl w:val="1"/>
          <w:numId w:val="2"/>
        </w:numPr>
        <w:shd w:val="clear" w:color="auto" w:fill="FFFFFF"/>
        <w:spacing w:lineRule="auto" w:line="240" w:before="0" w:after="0"/>
        <w:ind w:firstLine="709" w:left="0"/>
        <w:contextualSpacing/>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Поставка Товара осуществляется в Месте поставки, указанном в п. 1.3. Договора.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Досрочная поставка Товара допускается только по предварительному письменному согласию Покупателя.</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bookmarkStart w:id="4" w:name="_Ref361396594"/>
      <w:r>
        <w:rPr>
          <w:rFonts w:eastAsia="Times New Roman" w:ascii="Times New Roman" w:hAnsi="Times New Roman"/>
          <w:sz w:val="24"/>
          <w:szCs w:val="24"/>
          <w:lang w:eastAsia="ru-RU"/>
        </w:rPr>
        <w:t>Датой поставки Товара является дата подписания Сторонами Товарной накладной по форме ТОРГ-12.</w:t>
      </w:r>
      <w:bookmarkEnd w:id="4"/>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Право собственности на Товар, а также риск его гибели или случайного повреждения переходит от Поставщика к Покупателю с момента подписания Сторонами товарной накладной по форме ТОРГ-12. </w:t>
      </w:r>
    </w:p>
    <w:p>
      <w:pPr>
        <w:pStyle w:val="Normal"/>
        <w:widowControl w:val="false"/>
        <w:shd w:val="clear" w:color="auto" w:fill="FFFFFF"/>
        <w:tabs>
          <w:tab w:val="clear" w:pos="708"/>
          <w:tab w:val="left" w:pos="1190" w:leader="none"/>
        </w:tabs>
        <w:spacing w:lineRule="auto" w:line="240" w:before="0" w:after="0"/>
        <w:ind w:firstLine="709"/>
        <w:jc w:val="both"/>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t>Ответственность по Договору</w:t>
      </w:r>
    </w:p>
    <w:p>
      <w:pPr>
        <w:pStyle w:val="Normal"/>
        <w:widowControl w:val="false"/>
        <w:shd w:val="clear" w:color="auto" w:fill="FFFFFF"/>
        <w:tabs>
          <w:tab w:val="clear" w:pos="708"/>
          <w:tab w:val="left" w:pos="1190" w:leader="none"/>
        </w:tabs>
        <w:spacing w:lineRule="auto" w:line="240" w:before="0" w:after="0"/>
        <w:ind w:firstLine="709"/>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В случае нарушения Поставщиком обязательств по поставке Товара, а также в случае несвоевременного устранения его недостатков согласно п. 3.14 Договора, Покупатель вправе потребовать уплаты Поставщиком неустойки в размере 0,1% от Цены Договора за каждый день просрочки. 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В случае нарушения Поставщиком обязательств по поставке Товара на срок свыше 60 (шестидесяти) календарных дней Покупатель имеет право расторгнуть Договор в одностороннем внесудебном порядке, а также потребовать возмещения убытков. При этом Покупатель также вправе возвратить Поставщику, не бывший в употреблении Товар, ранее принятый по Договору, и потребовать возврата уплаченных денежных средств.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В случае нарушения Покупателем сроков оплаты, установленных разделом 2 Договора (за исключением срока оплаты авансовых платежей), Поставщик имеет право требовать от Покупателя уплаты исключительной неустойки в размере 0,1% от несвоевременно оплаченной суммы за каждый день просрочки, но, несмотря на любые иные условия, не более 5 (пяти) % от несвоевременно оплаченной суммы. Неустойка и/или иные штрафные санкции за ненадлежащее исполнение Покупателем обязательств по внесению предварительной оплаты (аванса) не устанавливаются.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В случае нарушения Покупателем сроков оплаты авансовых платежей Поставщик имеет право приостановить выполнение своих обязательств по Договору при условии предварительного письменного уведомления Покупателя о таком приостановлении.</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Несмотря на любые иные условия Договора, ответственность Покупателя за причиненные Поставщику убытки ограничивается реальным ущербом, но не более Цены Договора, указанной в п. 2.1. Договора.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Уплата неустойки (штрафа, пени) не освобождает Стороны от исполнения обязательств, обязанности по устранению нарушений или их последствий.</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 </w:t>
      </w:r>
      <w:r>
        <w:rPr>
          <w:rFonts w:eastAsia="Times New Roman" w:ascii="Times New Roman" w:hAnsi="Times New Roman"/>
          <w:sz w:val="24"/>
          <w:szCs w:val="24"/>
          <w:lang w:eastAsia="ru-RU"/>
        </w:rPr>
        <w:t>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НДС,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сроков предоставления счетов-фактур, предусмотренных п. 2.5 Покупатель также имеет право требовать от Поставщика уплаты штрафа в размере 50 000 (пятидесяти тысяч) рублей за каждый случай нарушения</w:t>
      </w:r>
    </w:p>
    <w:p>
      <w:pPr>
        <w:pStyle w:val="Normal"/>
        <w:widowControl w:val="false"/>
        <w:shd w:val="clear" w:color="auto" w:fill="FFFFFF"/>
        <w:tabs>
          <w:tab w:val="clear" w:pos="708"/>
          <w:tab w:val="left" w:pos="1283" w:leader="none"/>
        </w:tabs>
        <w:spacing w:lineRule="auto" w:line="240" w:before="0" w:after="0"/>
        <w:ind w:firstLine="709"/>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bCs/>
          <w:color w:val="000000"/>
          <w:sz w:val="24"/>
          <w:szCs w:val="24"/>
          <w:lang w:eastAsia="ru-RU"/>
        </w:rPr>
      </w:pPr>
      <w:r>
        <w:rPr>
          <w:rFonts w:eastAsia="Times New Roman" w:ascii="Times New Roman" w:hAnsi="Times New Roman"/>
          <w:b/>
          <w:color w:val="000000"/>
          <w:sz w:val="24"/>
          <w:szCs w:val="24"/>
          <w:lang w:eastAsia="ru-RU"/>
        </w:rPr>
        <w:t>Форс</w:t>
      </w:r>
      <w:r>
        <w:rPr>
          <w:rFonts w:eastAsia="Times New Roman" w:ascii="Times New Roman" w:hAnsi="Times New Roman"/>
          <w:b/>
          <w:bCs/>
          <w:color w:val="000000"/>
          <w:sz w:val="24"/>
          <w:szCs w:val="24"/>
          <w:lang w:eastAsia="ru-RU"/>
        </w:rPr>
        <w:t>-мажор</w:t>
      </w:r>
    </w:p>
    <w:p>
      <w:pPr>
        <w:pStyle w:val="Normal"/>
        <w:widowControl w:val="false"/>
        <w:shd w:val="clear" w:color="auto" w:fill="FFFFFF"/>
        <w:spacing w:lineRule="auto" w:line="240" w:before="0" w:after="0"/>
        <w:ind w:firstLine="709"/>
        <w:rPr>
          <w:rFonts w:ascii="Times New Roman" w:hAnsi="Times New Roman" w:eastAsia="Times New Roman"/>
          <w:b/>
          <w:bCs/>
          <w:color w:val="000000"/>
          <w:sz w:val="24"/>
          <w:szCs w:val="24"/>
          <w:lang w:eastAsia="ru-RU"/>
        </w:rPr>
      </w:pPr>
      <w:r>
        <w:rPr>
          <w:rFonts w:eastAsia="Times New Roman" w:ascii="Times New Roman" w:hAnsi="Times New Roman"/>
          <w:b/>
          <w:bCs/>
          <w:color w:val="000000"/>
          <w:sz w:val="24"/>
          <w:szCs w:val="24"/>
          <w:lang w:eastAsia="ru-RU"/>
        </w:rPr>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Стороны освобождаются от ответственности за неисполнение или ненадлежащее исполнение обязательств по Договору, возникшее вследствие обстоятельств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shd w:val="clear" w:color="auto" w:fill="FFFFFF"/>
        <w:spacing w:lineRule="auto" w:line="240" w:before="0" w:after="0"/>
        <w:ind w:firstLine="709"/>
        <w:jc w:val="center"/>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t>Конфиденциальность</w:t>
      </w:r>
    </w:p>
    <w:p>
      <w:pPr>
        <w:pStyle w:val="Normal"/>
        <w:widowControl w:val="false"/>
        <w:spacing w:lineRule="auto" w:line="240" w:before="0" w:after="0"/>
        <w:ind w:firstLine="709"/>
        <w:contextualSpacing/>
        <w:jc w:val="both"/>
        <w:rPr>
          <w:rFonts w:ascii="Times New Roman" w:hAnsi="Times New Roman" w:eastAsia="Times New Roman"/>
          <w:b/>
          <w:sz w:val="20"/>
          <w:szCs w:val="20"/>
          <w:lang w:eastAsia="ru-RU"/>
        </w:rPr>
      </w:pPr>
      <w:r>
        <w:rPr>
          <w:rFonts w:eastAsia="Times New Roman" w:ascii="Times New Roman" w:hAnsi="Times New Roman"/>
          <w:b/>
          <w:sz w:val="20"/>
          <w:szCs w:val="20"/>
          <w:lang w:eastAsia="ru-RU"/>
        </w:rPr>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Информация, подлежащая сохранению в тайне и неразглашению, может включать в себя, без ограничения приведенным перечнем:</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финансовую отчетность;</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учетные регистры бухгалтерского учета;</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бизнес-планы;</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сведения о финансовых, правовых, организационных и других взаимоотношениях между Покупателем и третьими лицами;</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сведения о находящихся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сведения о подрядчиках, поставщиках оборудования, сырья и материалов, а также о покупателях продукции и их аффилированных лицах;</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сведения об объемах производства и/или реализации продукции и услуг Покупателя или его аффилированных лиц;</w:t>
      </w:r>
    </w:p>
    <w:p>
      <w:pPr>
        <w:pStyle w:val="Normal"/>
        <w:widowControl w:val="false"/>
        <w:numPr>
          <w:ilvl w:val="0"/>
          <w:numId w:val="5"/>
        </w:numPr>
        <w:tabs>
          <w:tab w:val="clear" w:pos="708"/>
          <w:tab w:val="left" w:pos="851" w:leader="none"/>
        </w:tabs>
        <w:spacing w:lineRule="auto" w:line="240" w:before="0" w:after="0"/>
        <w:ind w:firstLine="709" w:left="0"/>
        <w:jc w:val="both"/>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2"/>
        </w:numPr>
        <w:shd w:val="clear" w:color="auto" w:fill="FFFFFF"/>
        <w:tabs>
          <w:tab w:val="clear" w:pos="708"/>
          <w:tab w:val="left" w:pos="1276"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w:t>
      </w:r>
    </w:p>
    <w:p>
      <w:pPr>
        <w:pStyle w:val="Normal"/>
        <w:widowControl w:val="false"/>
        <w:numPr>
          <w:ilvl w:val="2"/>
          <w:numId w:val="2"/>
        </w:numPr>
        <w:shd w:val="clear" w:color="auto" w:fill="FFFFFF"/>
        <w:tabs>
          <w:tab w:val="clear" w:pos="708"/>
          <w:tab w:val="left" w:pos="1276"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2"/>
        </w:numPr>
        <w:shd w:val="clear" w:color="auto" w:fill="FFFFFF"/>
        <w:tabs>
          <w:tab w:val="clear" w:pos="708"/>
          <w:tab w:val="left" w:pos="1276"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использовать Информацию исключительно для целей, для которых она была предоставлена; </w:t>
      </w:r>
    </w:p>
    <w:p>
      <w:pPr>
        <w:pStyle w:val="Normal"/>
        <w:widowControl w:val="false"/>
        <w:numPr>
          <w:ilvl w:val="2"/>
          <w:numId w:val="2"/>
        </w:numPr>
        <w:shd w:val="clear" w:color="auto" w:fill="FFFFFF"/>
        <w:tabs>
          <w:tab w:val="clear" w:pos="708"/>
          <w:tab w:val="left" w:pos="1276"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2"/>
        </w:numPr>
        <w:shd w:val="clear" w:color="auto" w:fill="FFFFFF"/>
        <w:tabs>
          <w:tab w:val="clear" w:pos="708"/>
          <w:tab w:val="left" w:pos="1276"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2"/>
        </w:numPr>
        <w:shd w:val="clear" w:color="auto" w:fill="FFFFFF"/>
        <w:tabs>
          <w:tab w:val="clear" w:pos="708"/>
          <w:tab w:val="left" w:pos="1276"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2"/>
        </w:numPr>
        <w:shd w:val="clear" w:color="auto" w:fill="FFFFFF"/>
        <w:tabs>
          <w:tab w:val="clear" w:pos="708"/>
          <w:tab w:val="left" w:pos="1276"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2"/>
        </w:numPr>
        <w:shd w:val="clear" w:color="auto" w:fill="FFFFFF"/>
        <w:tabs>
          <w:tab w:val="clear" w:pos="708"/>
          <w:tab w:val="left" w:pos="1276" w:leader="none"/>
        </w:tabs>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не разглашать третьим лицам факта передачи или получения Информации.</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Поставщик обязуется в договорах с субподрядчиками обеспечить повторение условий Договора в части соблюдения режима конфиденциальности.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shd w:val="clear" w:color="auto" w:fill="FFFFFF"/>
        <w:spacing w:lineRule="auto" w:line="240" w:before="0" w:after="0"/>
        <w:ind w:left="709"/>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t>Разрешение споров</w:t>
      </w:r>
    </w:p>
    <w:p>
      <w:pPr>
        <w:pStyle w:val="Normal"/>
        <w:widowControl w:val="false"/>
        <w:shd w:val="clear" w:color="auto" w:fill="FFFFFF"/>
        <w:tabs>
          <w:tab w:val="clear" w:pos="708"/>
          <w:tab w:val="left" w:pos="1190" w:leader="none"/>
        </w:tabs>
        <w:spacing w:lineRule="auto" w:line="240" w:before="0" w:after="0"/>
        <w:ind w:firstLine="709"/>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Все споры, разногласия и требования, возникающие между Сторонами по Договору или в связи с ним, связанные, в том числе, с его заключением, исполнением, изменением, дополнением, расторжением и действительностью, разрешаются путем переговоров.</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Споры, указанные в п. 9.1. Договора, которые не были урегулированы Сторонами путем переговоров с соблюдением претензионного порядка, подлежат разрешению в Арбитражном суде Республики Дагестан в соответствии с законодательством Российской Федерации.</w:t>
      </w:r>
    </w:p>
    <w:p>
      <w:pPr>
        <w:pStyle w:val="Normal"/>
        <w:widowControl w:val="false"/>
        <w:shd w:val="clear" w:color="auto" w:fill="FFFFFF"/>
        <w:tabs>
          <w:tab w:val="clear" w:pos="708"/>
          <w:tab w:val="left" w:pos="1190" w:leader="none"/>
        </w:tabs>
        <w:spacing w:lineRule="auto" w:line="240" w:before="0" w:after="0"/>
        <w:ind w:firstLine="709"/>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t>Заключительные положения</w:t>
      </w:r>
    </w:p>
    <w:p>
      <w:pPr>
        <w:pStyle w:val="Normal"/>
        <w:widowControl w:val="false"/>
        <w:shd w:val="clear" w:color="auto" w:fill="FFFFFF"/>
        <w:tabs>
          <w:tab w:val="clear" w:pos="708"/>
          <w:tab w:val="left" w:pos="1283" w:leader="none"/>
        </w:tabs>
        <w:spacing w:lineRule="auto" w:line="240" w:before="0" w:after="0"/>
        <w:ind w:firstLine="709"/>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Договор вступает в силу с даты его подписания Сторонами и действует до полного исполнения ими принятых на себя обязательств.</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Все приложения, изменения и дополнения к Договору действительны при условии, что они совершены в письменной форме в виде единого документа и подписаны обеими Сторонами, за исключением изменений, предусмотренных п. 10.6. Договора.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которая не влечет возникновения, изменения либо прекращения гражданских прав и обязанностей.</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Стороны обязуются уведомлять друг друга об изменении реквизитов, указанных в разделе 12 Договора, не позднее 3 (трех) рабочих дней после такого изменения в порядке, установленном п. 10.7 Договора.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Письма, уведомления и / или сообщения направляются Стороне-получателю по адресу ее места нахождения, указанному в разделе 12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Доставкой лично или курьером Стороны-отправителя – в дату и время фактического приема уведомления Стороной-получателем с отметкой о получении;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Посредством электронной почты (e-mail) – в дату направления электронного сообщения, зафиксированную на почтовом сервере отправителя.</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Уступка прав (требований) в пользу финансово-кредитных учреждений (факторинг), допускается только с предварительного письменного согласия Покупателя.</w:t>
      </w:r>
    </w:p>
    <w:p>
      <w:pPr>
        <w:pStyle w:val="Normal"/>
        <w:widowControl w:val="false"/>
        <w:shd w:val="clear" w:color="auto" w:fill="FFFFFF"/>
        <w:spacing w:lineRule="auto" w:line="240" w:before="0" w:after="0"/>
        <w:ind w:left="360"/>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numPr>
          <w:ilvl w:val="0"/>
          <w:numId w:val="2"/>
        </w:numPr>
        <w:shd w:val="clear" w:color="auto" w:fill="FFFFFF"/>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b/>
          <w:color w:val="000000"/>
          <w:sz w:val="24"/>
          <w:szCs w:val="24"/>
          <w:lang w:eastAsia="ru-RU"/>
        </w:rPr>
        <w:t>Антикоррупционная оговорка</w:t>
      </w:r>
    </w:p>
    <w:p>
      <w:pPr>
        <w:pStyle w:val="Normal"/>
        <w:widowControl w:val="false"/>
        <w:shd w:val="clear" w:color="auto" w:fill="FFFFFF"/>
        <w:spacing w:lineRule="auto" w:line="240" w:before="0" w:after="0"/>
        <w:ind w:left="709"/>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Каналы связи Линия доверия Группы РусГидро: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Электронная почта: ld@rushydro.ru.</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Во всем, что не урегулировано Договором, Стороны руководствуются законодательством Российской Федерации. </w:t>
      </w:r>
    </w:p>
    <w:p>
      <w:pPr>
        <w:pStyle w:val="Normal"/>
        <w:widowControl w:val="false"/>
        <w:numPr>
          <w:ilvl w:val="1"/>
          <w:numId w:val="2"/>
        </w:numPr>
        <w:shd w:val="clear" w:color="auto" w:fill="FFFFFF"/>
        <w:spacing w:lineRule="auto" w:line="240" w:before="0" w:after="0"/>
        <w:ind w:firstLine="709" w:left="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Договор заключается в электронной форме с использованием программно 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widowControl w:val="false"/>
        <w:shd w:val="clear" w:color="auto" w:fill="FFFFFF"/>
        <w:spacing w:lineRule="auto" w:line="240" w:before="0" w:after="0"/>
        <w:ind w:firstLine="709"/>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widowControl w:val="false"/>
        <w:shd w:val="clear" w:color="auto" w:fill="FFFFFF"/>
        <w:spacing w:lineRule="auto" w:line="240" w:before="0" w:after="0"/>
        <w:ind w:left="709"/>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t>Приложения к Договору</w:t>
      </w:r>
    </w:p>
    <w:p>
      <w:pPr>
        <w:pStyle w:val="Normal"/>
        <w:widowControl w:val="false"/>
        <w:numPr>
          <w:ilvl w:val="0"/>
          <w:numId w:val="0"/>
        </w:numPr>
        <w:spacing w:lineRule="auto" w:line="240" w:before="0" w:after="0"/>
        <w:ind w:firstLine="709"/>
        <w:jc w:val="both"/>
        <w:textAlignment w:val="baseline"/>
        <w:outlineLvl w:val="2"/>
        <w:rPr>
          <w:rFonts w:ascii="Times New Roman" w:hAnsi="Times New Roman" w:eastAsia="Times New Roman"/>
          <w:bCs/>
          <w:sz w:val="24"/>
          <w:szCs w:val="24"/>
          <w:lang w:eastAsia="x-none"/>
        </w:rPr>
      </w:pPr>
      <w:r>
        <w:rPr>
          <w:rFonts w:eastAsia="Times New Roman" w:ascii="Times New Roman" w:hAnsi="Times New Roman"/>
          <w:bCs/>
          <w:sz w:val="24"/>
          <w:szCs w:val="24"/>
          <w:lang w:eastAsia="x-none"/>
        </w:rPr>
      </w:r>
      <w:bookmarkStart w:id="5" w:name="sub_1"/>
      <w:bookmarkStart w:id="6" w:name="sub_1"/>
    </w:p>
    <w:p>
      <w:pPr>
        <w:pStyle w:val="Normal"/>
        <w:widowControl w:val="false"/>
        <w:numPr>
          <w:ilvl w:val="0"/>
          <w:numId w:val="0"/>
        </w:numPr>
        <w:spacing w:lineRule="auto" w:line="240" w:before="0" w:after="0"/>
        <w:ind w:firstLine="709"/>
        <w:jc w:val="both"/>
        <w:textAlignment w:val="baseline"/>
        <w:outlineLvl w:val="2"/>
        <w:rPr>
          <w:rFonts w:ascii="Times New Roman" w:hAnsi="Times New Roman" w:eastAsia="Times New Roman"/>
          <w:bCs/>
          <w:sz w:val="24"/>
          <w:szCs w:val="24"/>
          <w:lang w:eastAsia="x-none"/>
        </w:rPr>
      </w:pPr>
      <w:r>
        <w:rPr>
          <w:rFonts w:eastAsia="Times New Roman" w:ascii="Times New Roman" w:hAnsi="Times New Roman"/>
          <w:bCs/>
          <w:sz w:val="24"/>
          <w:szCs w:val="24"/>
          <w:lang w:val="x-none" w:eastAsia="x-none"/>
        </w:rPr>
        <w:t>Приложение №1 – Спецификация</w:t>
      </w:r>
      <w:r>
        <w:rPr>
          <w:rFonts w:eastAsia="Times New Roman" w:ascii="Times New Roman" w:hAnsi="Times New Roman"/>
          <w:bCs/>
          <w:sz w:val="24"/>
          <w:szCs w:val="24"/>
          <w:lang w:eastAsia="x-none"/>
        </w:rPr>
        <w:t>.</w:t>
      </w:r>
      <w:bookmarkEnd w:id="6"/>
    </w:p>
    <w:p>
      <w:pPr>
        <w:pStyle w:val="Normal"/>
        <w:widowControl w:val="false"/>
        <w:shd w:val="clear" w:color="auto" w:fill="FFFFFF"/>
        <w:spacing w:lineRule="auto" w:line="240" w:before="0" w:after="0"/>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r>
    </w:p>
    <w:p>
      <w:pPr>
        <w:pStyle w:val="Normal"/>
        <w:widowControl w:val="false"/>
        <w:numPr>
          <w:ilvl w:val="0"/>
          <w:numId w:val="2"/>
        </w:numPr>
        <w:shd w:val="clear" w:color="auto" w:fill="FFFFFF"/>
        <w:tabs>
          <w:tab w:val="clear" w:pos="708"/>
          <w:tab w:val="left" w:pos="426" w:leader="none"/>
        </w:tabs>
        <w:spacing w:lineRule="auto" w:line="240" w:before="0" w:after="0"/>
        <w:ind w:firstLine="709" w:left="0"/>
        <w:jc w:val="center"/>
        <w:rPr>
          <w:rFonts w:ascii="Times New Roman" w:hAnsi="Times New Roman" w:eastAsia="Times New Roman"/>
          <w:b/>
          <w:color w:val="000000"/>
          <w:sz w:val="24"/>
          <w:szCs w:val="24"/>
          <w:lang w:eastAsia="ru-RU"/>
        </w:rPr>
      </w:pPr>
      <w:r>
        <w:rPr>
          <w:rFonts w:eastAsia="Times New Roman" w:ascii="Times New Roman" w:hAnsi="Times New Roman"/>
          <w:b/>
          <w:color w:val="000000"/>
          <w:sz w:val="24"/>
          <w:szCs w:val="24"/>
          <w:lang w:eastAsia="ru-RU"/>
        </w:rPr>
        <w:t>Адреса и платежные реквизиты Сторон</w:t>
      </w:r>
    </w:p>
    <w:p>
      <w:pPr>
        <w:pStyle w:val="Normal"/>
        <w:widowControl w:val="false"/>
        <w:spacing w:lineRule="auto" w:line="240" w:before="0" w:after="0"/>
        <w:ind w:firstLine="709"/>
        <w:rPr>
          <w:rFonts w:ascii="Times New Roman" w:hAnsi="Times New Roman" w:eastAsia="Times New Roman"/>
          <w:sz w:val="24"/>
          <w:szCs w:val="24"/>
          <w:lang w:eastAsia="ru-RU"/>
        </w:rPr>
      </w:pPr>
      <w:r>
        <w:rPr>
          <w:rFonts w:eastAsia="Times New Roman" w:ascii="Times New Roman" w:hAnsi="Times New Roman"/>
          <w:sz w:val="24"/>
          <w:szCs w:val="24"/>
          <w:lang w:eastAsia="ru-RU"/>
        </w:rPr>
      </w:r>
    </w:p>
    <w:tbl>
      <w:tblPr>
        <w:tblW w:w="9640" w:type="dxa"/>
        <w:jc w:val="left"/>
        <w:tblInd w:w="-142" w:type="dxa"/>
        <w:tblLayout w:type="fixed"/>
        <w:tblCellMar>
          <w:top w:w="0" w:type="dxa"/>
          <w:left w:w="108" w:type="dxa"/>
          <w:bottom w:w="0" w:type="dxa"/>
          <w:right w:w="108" w:type="dxa"/>
        </w:tblCellMar>
        <w:tblLook w:val="01e0" w:noHBand="0" w:noVBand="0" w:firstColumn="1" w:lastRow="1" w:lastColumn="1" w:firstRow="1"/>
      </w:tblPr>
      <w:tblGrid>
        <w:gridCol w:w="4820"/>
        <w:gridCol w:w="4819"/>
      </w:tblGrid>
      <w:tr>
        <w:trPr/>
        <w:tc>
          <w:tcPr>
            <w:tcW w:w="4820" w:type="dxa"/>
            <w:tcBorders/>
            <w:shd w:color="auto" w:fill="auto" w:val="clear"/>
          </w:tcPr>
          <w:p>
            <w:pPr>
              <w:pStyle w:val="Normal"/>
              <w:widowControl w:val="false"/>
              <w:spacing w:lineRule="auto" w:line="240" w:before="0" w:after="0"/>
              <w:ind w:firstLine="709"/>
              <w:rPr>
                <w:rFonts w:ascii="Times New Roman" w:hAnsi="Times New Roman" w:eastAsia="Times New Roman"/>
                <w:sz w:val="24"/>
                <w:szCs w:val="24"/>
                <w:lang w:eastAsia="ru-RU"/>
              </w:rPr>
            </w:pPr>
            <w:r>
              <w:rPr>
                <w:rFonts w:eastAsia="Times New Roman" w:ascii="Times New Roman" w:hAnsi="Times New Roman"/>
                <w:sz w:val="24"/>
                <w:szCs w:val="24"/>
                <w:lang w:eastAsia="ru-RU"/>
              </w:rPr>
              <w:t>ПОКУПАТЕЛЬ:</w:t>
            </w:r>
          </w:p>
        </w:tc>
        <w:tc>
          <w:tcPr>
            <w:tcW w:w="4819" w:type="dxa"/>
            <w:tcBorders/>
            <w:shd w:color="auto" w:fill="auto" w:val="clear"/>
          </w:tcPr>
          <w:p>
            <w:pPr>
              <w:pStyle w:val="Normal"/>
              <w:widowControl w:val="false"/>
              <w:spacing w:lineRule="auto" w:line="240" w:before="0" w:after="0"/>
              <w:ind w:firstLine="709"/>
              <w:rPr>
                <w:rFonts w:ascii="Times New Roman" w:hAnsi="Times New Roman" w:eastAsia="Times New Roman"/>
                <w:sz w:val="24"/>
                <w:szCs w:val="24"/>
                <w:lang w:eastAsia="ru-RU"/>
              </w:rPr>
            </w:pPr>
            <w:r>
              <w:rPr>
                <w:rFonts w:eastAsia="Times New Roman" w:ascii="Times New Roman" w:hAnsi="Times New Roman"/>
                <w:sz w:val="24"/>
                <w:szCs w:val="24"/>
                <w:lang w:eastAsia="ru-RU"/>
              </w:rPr>
              <w:t>ПОСТАВЩИК:</w:t>
            </w:r>
          </w:p>
        </w:tc>
      </w:tr>
      <w:tr>
        <w:trPr/>
        <w:tc>
          <w:tcPr>
            <w:tcW w:w="4820" w:type="dxa"/>
            <w:tcBorders/>
            <w:shd w:color="auto" w:fill="auto" w:val="clear"/>
          </w:tcPr>
          <w:p>
            <w:pPr>
              <w:pStyle w:val="Normal"/>
              <w:widowControl w:val="false"/>
              <w:spacing w:lineRule="auto" w:line="240" w:before="0" w:after="0"/>
              <w:rPr>
                <w:rFonts w:ascii="Times New Roman" w:hAnsi="Times New Roman" w:eastAsia="Times New Roman"/>
                <w:b/>
                <w:sz w:val="24"/>
                <w:szCs w:val="24"/>
                <w:lang w:eastAsia="ru-RU"/>
              </w:rPr>
            </w:pPr>
            <w:r>
              <w:rPr>
                <w:rFonts w:eastAsia="Times New Roman" w:ascii="Times New Roman" w:hAnsi="Times New Roman"/>
                <w:b/>
                <w:sz w:val="24"/>
                <w:szCs w:val="24"/>
                <w:lang w:eastAsia="ru-RU"/>
              </w:rPr>
            </w:r>
          </w:p>
          <w:p>
            <w:pPr>
              <w:pStyle w:val="Normal"/>
              <w:widowControl w:val="false"/>
              <w:spacing w:lineRule="auto" w:line="240" w:before="0" w:after="0"/>
              <w:rPr>
                <w:rFonts w:ascii="Times New Roman" w:hAnsi="Times New Roman" w:eastAsia="Times New Roman"/>
                <w:b/>
                <w:sz w:val="24"/>
                <w:szCs w:val="24"/>
                <w:lang w:eastAsia="ru-RU"/>
              </w:rPr>
            </w:pPr>
            <w:r>
              <w:rPr>
                <w:rFonts w:eastAsia="Times New Roman" w:ascii="Times New Roman" w:hAnsi="Times New Roman"/>
                <w:b/>
                <w:sz w:val="24"/>
                <w:szCs w:val="24"/>
                <w:lang w:eastAsia="ru-RU"/>
              </w:rPr>
              <w:t>Публичное акционерное общество</w:t>
            </w:r>
          </w:p>
          <w:p>
            <w:pPr>
              <w:pStyle w:val="Normal"/>
              <w:widowControl w:val="false"/>
              <w:spacing w:lineRule="auto" w:line="240" w:before="0" w:after="0"/>
              <w:rPr>
                <w:rFonts w:ascii="Times New Roman" w:hAnsi="Times New Roman" w:eastAsia="Times New Roman"/>
                <w:b/>
                <w:sz w:val="24"/>
                <w:szCs w:val="24"/>
                <w:lang w:eastAsia="ru-RU"/>
              </w:rPr>
            </w:pPr>
            <w:r>
              <w:rPr>
                <w:rFonts w:eastAsia="Times New Roman" w:ascii="Times New Roman" w:hAnsi="Times New Roman"/>
                <w:b/>
                <w:sz w:val="24"/>
                <w:szCs w:val="24"/>
                <w:lang w:eastAsia="ru-RU"/>
              </w:rPr>
              <w:t>«Федеральная гидрогенерирующая компания - РусГидро» (ПАО «РусГидро»)</w:t>
            </w:r>
          </w:p>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Место нахождения: 660049, Красноярский край, г. Красноярск, </w:t>
            </w:r>
          </w:p>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t>ул. Перенсона, зд. 2а, помещ. 1.</w:t>
            </w:r>
          </w:p>
          <w:p>
            <w:pPr>
              <w:pStyle w:val="Normal"/>
              <w:widowControl w:val="false"/>
              <w:spacing w:lineRule="auto" w:line="240" w:before="0" w:after="0"/>
              <w:rPr>
                <w:rFonts w:ascii="Times New Roman" w:hAnsi="Times New Roman" w:eastAsia="Times New Roman"/>
                <w:b/>
                <w:sz w:val="24"/>
                <w:szCs w:val="24"/>
                <w:lang w:eastAsia="ru-RU"/>
              </w:rPr>
            </w:pPr>
            <w:r>
              <w:rPr>
                <w:rFonts w:eastAsia="Times New Roman" w:ascii="Times New Roman" w:hAnsi="Times New Roman"/>
                <w:b/>
                <w:sz w:val="24"/>
                <w:szCs w:val="24"/>
                <w:lang w:eastAsia="ru-RU"/>
              </w:rPr>
              <w:t>Филиал ПАО «РусГидро»-«Дагестанский филиал»</w:t>
            </w:r>
          </w:p>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Место нахождения и почтовый адрес: </w:t>
            </w:r>
          </w:p>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t>368300, РД, г. Каспийск, ул. М. Халилова, 5</w:t>
            </w:r>
          </w:p>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t>ИНН 2460066195 КПП 055443001</w:t>
            </w:r>
          </w:p>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t>р/с № 40702810100000037903</w:t>
            </w:r>
          </w:p>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t>в БАНКЕ ГПБ (АО)</w:t>
            </w:r>
          </w:p>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t>к/с № 30101810200000000823</w:t>
            </w:r>
          </w:p>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t>БИК: 044525823</w:t>
            </w:r>
          </w:p>
        </w:tc>
        <w:tc>
          <w:tcPr>
            <w:tcW w:w="4819" w:type="dxa"/>
            <w:tcBorders/>
            <w:shd w:color="auto" w:fill="auto" w:val="clear"/>
          </w:tcPr>
          <w:p>
            <w:pPr>
              <w:pStyle w:val="Normal"/>
              <w:widowControl w:val="false"/>
              <w:spacing w:lineRule="auto" w:line="240" w:before="0" w:after="0"/>
              <w:ind w:left="177"/>
              <w:rPr>
                <w:rFonts w:ascii="Times New Roman" w:hAnsi="Times New Roman" w:eastAsia="Times New Roman"/>
                <w:b/>
                <w:sz w:val="24"/>
                <w:szCs w:val="24"/>
                <w:lang w:eastAsia="ru-RU"/>
              </w:rPr>
            </w:pPr>
            <w:r>
              <w:rPr>
                <w:rFonts w:eastAsia="Times New Roman" w:ascii="Times New Roman" w:hAnsi="Times New Roman"/>
                <w:b/>
                <w:sz w:val="24"/>
                <w:szCs w:val="24"/>
                <w:lang w:eastAsia="ru-RU"/>
              </w:rPr>
            </w:r>
          </w:p>
          <w:p>
            <w:pPr>
              <w:pStyle w:val="Normal"/>
              <w:widowControl w:val="false"/>
              <w:spacing w:before="0" w:after="0"/>
              <w:ind w:hanging="27" w:left="27"/>
              <w:rPr>
                <w:rFonts w:ascii="Times New Roman" w:hAnsi="Times New Roman" w:eastAsia="Times New Roman"/>
                <w:b/>
                <w:sz w:val="24"/>
                <w:szCs w:val="24"/>
                <w:lang w:eastAsia="ru-RU"/>
              </w:rPr>
            </w:pPr>
            <w:r>
              <w:rPr>
                <w:rFonts w:eastAsia="Times New Roman" w:ascii="Times New Roman" w:hAnsi="Times New Roman"/>
                <w:b/>
                <w:sz w:val="24"/>
                <w:szCs w:val="24"/>
                <w:lang w:eastAsia="ru-RU"/>
              </w:rPr>
              <w:t>Общество с ограниченной ответственностью «ххх»</w:t>
            </w:r>
            <w:r>
              <w:rPr>
                <w:rStyle w:val="FontStyle20"/>
                <w:b/>
              </w:rPr>
              <w:t>»</w:t>
            </w:r>
          </w:p>
          <w:p>
            <w:pPr>
              <w:pStyle w:val="NoSpacing"/>
              <w:rPr/>
            </w:pPr>
            <w:r>
              <w:rPr/>
              <w:t>ИНН/КПП 5249144786/524901001</w:t>
            </w:r>
          </w:p>
          <w:p>
            <w:pPr>
              <w:pStyle w:val="Style91"/>
              <w:spacing w:lineRule="auto" w:line="240" w:before="5" w:after="0"/>
              <w:rPr>
                <w:b/>
              </w:rPr>
            </w:pPr>
            <w:r>
              <w:rPr>
                <w:b/>
              </w:rPr>
              <w:t>Юридический адрес:</w:t>
            </w:r>
          </w:p>
          <w:p>
            <w:pPr>
              <w:pStyle w:val="Style91"/>
              <w:spacing w:lineRule="auto" w:line="240" w:before="5" w:after="0"/>
              <w:rPr>
                <w:b/>
              </w:rPr>
            </w:pPr>
            <w:r>
              <w:rPr>
                <w:b/>
              </w:rPr>
            </w:r>
          </w:p>
          <w:p>
            <w:pPr>
              <w:pStyle w:val="Style91"/>
              <w:spacing w:lineRule="auto" w:line="240" w:before="5" w:after="0"/>
              <w:rPr>
                <w:b/>
              </w:rPr>
            </w:pPr>
            <w:r>
              <w:rPr>
                <w:b/>
              </w:rPr>
              <w:t>Почтовый адрес:</w:t>
            </w:r>
          </w:p>
          <w:p>
            <w:pPr>
              <w:pStyle w:val="Style91"/>
              <w:spacing w:lineRule="auto" w:line="240" w:before="5" w:after="0"/>
              <w:jc w:val="left"/>
              <w:rPr>
                <w:b/>
              </w:rPr>
            </w:pPr>
            <w:r>
              <w:rPr>
                <w:b/>
              </w:rPr>
              <w:t xml:space="preserve">Платежные реквизиты: </w:t>
            </w:r>
          </w:p>
          <w:p>
            <w:pPr>
              <w:pStyle w:val="Style91"/>
              <w:spacing w:lineRule="auto" w:line="240" w:before="5" w:after="0"/>
              <w:jc w:val="left"/>
              <w:rPr/>
            </w:pPr>
            <w:r>
              <w:rPr/>
              <w:t xml:space="preserve">Р/счет </w:t>
            </w:r>
          </w:p>
          <w:p>
            <w:pPr>
              <w:pStyle w:val="Style91"/>
              <w:spacing w:lineRule="auto" w:line="240" w:before="5" w:after="0"/>
              <w:jc w:val="left"/>
              <w:rPr/>
            </w:pPr>
            <w:r>
              <w:rPr/>
              <w:t xml:space="preserve">БИК </w:t>
            </w:r>
          </w:p>
          <w:p>
            <w:pPr>
              <w:pStyle w:val="Style91"/>
              <w:spacing w:lineRule="auto" w:line="240" w:before="5" w:after="0"/>
              <w:jc w:val="left"/>
              <w:rPr>
                <w:b/>
              </w:rPr>
            </w:pPr>
            <w:r>
              <w:rPr/>
              <w:t xml:space="preserve">К/с </w:t>
            </w:r>
          </w:p>
          <w:p>
            <w:pPr>
              <w:pStyle w:val="Style91"/>
              <w:spacing w:lineRule="auto" w:line="240" w:before="5" w:after="0"/>
              <w:jc w:val="left"/>
              <w:rPr/>
            </w:pPr>
            <w:r>
              <w:rPr>
                <w:b/>
              </w:rPr>
              <w:t xml:space="preserve">Телефоны: </w:t>
            </w:r>
            <w:r>
              <w:rPr>
                <w:b/>
                <w:sz w:val="22"/>
                <w:szCs w:val="22"/>
              </w:rPr>
              <w:t>8(</w:t>
            </w:r>
            <w:r>
              <w:rPr>
                <w:b/>
                <w:sz w:val="22"/>
                <w:szCs w:val="22"/>
                <w:lang w:val="en-US"/>
              </w:rPr>
              <w:t>ххх</w:t>
            </w:r>
            <w:r>
              <w:rPr>
                <w:b/>
                <w:sz w:val="22"/>
                <w:szCs w:val="22"/>
              </w:rPr>
              <w:t xml:space="preserve">) </w:t>
            </w:r>
          </w:p>
          <w:p>
            <w:pPr>
              <w:pStyle w:val="Normal"/>
              <w:widowControl w:val="false"/>
              <w:spacing w:lineRule="auto" w:line="240" w:before="0" w:after="0"/>
              <w:ind w:left="177"/>
              <w:rPr>
                <w:rFonts w:ascii="Times New Roman" w:hAnsi="Times New Roman" w:eastAsia="Times New Roman"/>
                <w:sz w:val="24"/>
                <w:szCs w:val="24"/>
                <w:lang w:eastAsia="ru-RU"/>
              </w:rPr>
            </w:pPr>
            <w:r>
              <w:rPr>
                <w:rFonts w:eastAsia="Times New Roman" w:ascii="Times New Roman" w:hAnsi="Times New Roman"/>
                <w:sz w:val="24"/>
                <w:szCs w:val="24"/>
                <w:lang w:eastAsia="ru-RU"/>
              </w:rPr>
            </w:r>
          </w:p>
        </w:tc>
      </w:tr>
      <w:tr>
        <w:trPr>
          <w:trHeight w:val="95" w:hRule="atLeast"/>
        </w:trPr>
        <w:tc>
          <w:tcPr>
            <w:tcW w:w="4820" w:type="dxa"/>
            <w:tcBorders/>
            <w:shd w:color="auto" w:fill="auto" w:val="clear"/>
          </w:tcPr>
          <w:p>
            <w:pPr>
              <w:pStyle w:val="Normal"/>
              <w:widowControl w:val="false"/>
              <w:spacing w:lineRule="auto" w:line="240" w:before="0" w:after="0"/>
              <w:ind w:firstLine="709"/>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spacing w:lineRule="auto" w:line="240" w:before="0" w:after="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Директор филиала ПАО «РусГидро» - </w:t>
            </w:r>
          </w:p>
          <w:p>
            <w:pPr>
              <w:pStyle w:val="Normal"/>
              <w:widowControl w:val="false"/>
              <w:spacing w:lineRule="auto" w:line="240" w:before="0" w:after="0"/>
              <w:jc w:val="both"/>
              <w:rPr>
                <w:rFonts w:ascii="Times New Roman" w:hAnsi="Times New Roman" w:eastAsia="Times New Roman"/>
                <w:sz w:val="24"/>
                <w:szCs w:val="20"/>
                <w:lang w:eastAsia="ru-RU"/>
              </w:rPr>
            </w:pPr>
            <w:r>
              <w:rPr>
                <w:rFonts w:eastAsia="Times New Roman" w:ascii="Times New Roman" w:hAnsi="Times New Roman"/>
                <w:sz w:val="24"/>
                <w:szCs w:val="20"/>
                <w:lang w:eastAsia="ru-RU"/>
              </w:rPr>
              <w:t>«Дагестанский филиал»</w:t>
            </w:r>
          </w:p>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r>
          </w:p>
          <w:p>
            <w:pPr>
              <w:pStyle w:val="Normal"/>
              <w:widowControl w:val="false"/>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 xml:space="preserve">_____________________ / </w:t>
            </w:r>
            <w:r>
              <w:rPr>
                <w:rFonts w:eastAsia="Times New Roman" w:ascii="Times New Roman" w:hAnsi="Times New Roman"/>
                <w:sz w:val="24"/>
                <w:szCs w:val="24"/>
                <w:lang w:eastAsia="ru-RU"/>
              </w:rPr>
              <w:t>Т.Г. Гамзатов</w:t>
            </w:r>
            <w:r>
              <w:rPr>
                <w:rFonts w:eastAsia="Times New Roman" w:ascii="Times New Roman" w:hAnsi="Times New Roman"/>
                <w:lang w:eastAsia="ru-RU"/>
              </w:rPr>
              <w:t xml:space="preserve"> </w:t>
            </w:r>
          </w:p>
          <w:p>
            <w:pPr>
              <w:pStyle w:val="Normal"/>
              <w:widowControl w:val="false"/>
              <w:spacing w:lineRule="auto" w:line="240" w:before="0" w:after="0"/>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r>
          </w:p>
        </w:tc>
        <w:tc>
          <w:tcPr>
            <w:tcW w:w="4819" w:type="dxa"/>
            <w:tcBorders/>
            <w:shd w:color="auto" w:fill="auto" w:val="clear"/>
          </w:tcPr>
          <w:p>
            <w:pPr>
              <w:pStyle w:val="Style15"/>
              <w:widowControl w:val="false"/>
              <w:spacing w:lineRule="auto" w:line="240" w:before="0" w:after="0"/>
              <w:rPr>
                <w:rFonts w:ascii="Times New Roman" w:hAnsi="Times New Roman"/>
                <w:szCs w:val="22"/>
                <w:lang w:val="ru-RU"/>
              </w:rPr>
            </w:pPr>
            <w:r>
              <w:rPr>
                <w:rFonts w:ascii="Times New Roman" w:hAnsi="Times New Roman"/>
                <w:szCs w:val="22"/>
                <w:lang w:val="ru-RU"/>
              </w:rPr>
            </w:r>
          </w:p>
          <w:p>
            <w:pPr>
              <w:pStyle w:val="Style15"/>
              <w:widowControl w:val="false"/>
              <w:spacing w:lineRule="auto" w:line="240" w:before="0" w:after="0"/>
              <w:rPr>
                <w:rFonts w:ascii="Times New Roman" w:hAnsi="Times New Roman"/>
                <w:sz w:val="24"/>
                <w:szCs w:val="24"/>
                <w:lang w:val="ru-RU"/>
              </w:rPr>
            </w:pPr>
            <w:r>
              <w:rPr>
                <w:rFonts w:ascii="Times New Roman" w:hAnsi="Times New Roman"/>
                <w:sz w:val="24"/>
                <w:szCs w:val="24"/>
                <w:lang w:val="ru-RU"/>
              </w:rPr>
              <w:t>Директор</w:t>
            </w:r>
          </w:p>
          <w:p>
            <w:pPr>
              <w:pStyle w:val="Style15"/>
              <w:widowControl w:val="false"/>
              <w:spacing w:lineRule="auto" w:line="240" w:before="0" w:after="0"/>
              <w:rPr>
                <w:rFonts w:ascii="Times New Roman" w:hAnsi="Times New Roman"/>
                <w:sz w:val="24"/>
                <w:szCs w:val="24"/>
                <w:lang w:val="ru-RU"/>
              </w:rPr>
            </w:pPr>
            <w:r>
              <w:rPr>
                <w:rFonts w:ascii="Times New Roman" w:hAnsi="Times New Roman"/>
                <w:sz w:val="24"/>
                <w:szCs w:val="24"/>
                <w:lang w:val="ru-RU"/>
              </w:rPr>
              <w:t>Директор ООО «</w:t>
            </w:r>
            <w:r>
              <w:rPr>
                <w:rFonts w:ascii="Times New Roman" w:hAnsi="Times New Roman"/>
                <w:sz w:val="24"/>
                <w:szCs w:val="24"/>
              </w:rPr>
              <w:t>ххх</w:t>
            </w:r>
            <w:r>
              <w:rPr>
                <w:rFonts w:ascii="Times New Roman" w:hAnsi="Times New Roman"/>
                <w:sz w:val="24"/>
                <w:szCs w:val="24"/>
                <w:lang w:val="ru-RU"/>
              </w:rPr>
              <w:t>»</w:t>
            </w:r>
          </w:p>
          <w:p>
            <w:pPr>
              <w:pStyle w:val="Style15"/>
              <w:widowControl w:val="false"/>
              <w:spacing w:lineRule="auto" w:line="240" w:before="0" w:after="0"/>
              <w:rPr>
                <w:rFonts w:ascii="Times New Roman" w:hAnsi="Times New Roman"/>
                <w:sz w:val="24"/>
                <w:szCs w:val="24"/>
                <w:lang w:val="ru-RU"/>
              </w:rPr>
            </w:pPr>
            <w:r>
              <w:rPr>
                <w:rFonts w:ascii="Times New Roman" w:hAnsi="Times New Roman"/>
                <w:sz w:val="24"/>
                <w:szCs w:val="24"/>
                <w:lang w:val="ru-RU"/>
              </w:rPr>
            </w:r>
          </w:p>
          <w:p>
            <w:pPr>
              <w:pStyle w:val="Style15"/>
              <w:widowControl w:val="false"/>
              <w:spacing w:lineRule="auto" w:line="240" w:before="0" w:after="0"/>
              <w:rPr>
                <w:rFonts w:ascii="Times New Roman" w:hAnsi="Times New Roman"/>
                <w:sz w:val="24"/>
                <w:szCs w:val="24"/>
                <w:lang w:val="ru-RU"/>
              </w:rPr>
            </w:pPr>
            <w:r>
              <w:rPr>
                <w:rFonts w:ascii="Times New Roman" w:hAnsi="Times New Roman"/>
                <w:sz w:val="24"/>
                <w:szCs w:val="24"/>
                <w:lang w:val="ru-RU"/>
              </w:rPr>
            </w:r>
          </w:p>
          <w:p>
            <w:pPr>
              <w:pStyle w:val="Style15"/>
              <w:widowControl w:val="false"/>
              <w:spacing w:lineRule="auto" w:line="240" w:before="0" w:after="0"/>
              <w:rPr>
                <w:rFonts w:ascii="Times New Roman" w:hAnsi="Times New Roman"/>
                <w:sz w:val="24"/>
                <w:szCs w:val="24"/>
              </w:rPr>
            </w:pPr>
            <w:r>
              <w:rPr>
                <w:rFonts w:ascii="Times New Roman" w:hAnsi="Times New Roman"/>
                <w:sz w:val="24"/>
                <w:szCs w:val="24"/>
                <w:lang w:val="ru-RU"/>
              </w:rPr>
              <w:t>____________________ /</w:t>
            </w:r>
            <w:r>
              <w:rPr>
                <w:rFonts w:ascii="Times New Roman" w:hAnsi="Times New Roman"/>
                <w:sz w:val="24"/>
                <w:szCs w:val="24"/>
              </w:rPr>
              <w:t>ххх</w:t>
            </w:r>
          </w:p>
          <w:p>
            <w:pPr>
              <w:pStyle w:val="Normal"/>
              <w:widowControl w:val="false"/>
              <w:spacing w:lineRule="auto" w:line="240" w:before="0" w:after="0"/>
              <w:jc w:val="both"/>
              <w:rPr>
                <w:rFonts w:ascii="Times New Roman" w:hAnsi="Times New Roman" w:eastAsia="Times New Roman"/>
                <w:sz w:val="16"/>
                <w:szCs w:val="16"/>
                <w:lang w:eastAsia="ru-RU"/>
              </w:rPr>
            </w:pPr>
            <w:r>
              <w:rPr>
                <w:rFonts w:eastAsia="Times New Roman" w:ascii="Times New Roman" w:hAnsi="Times New Roman"/>
                <w:sz w:val="16"/>
                <w:szCs w:val="16"/>
                <w:lang w:eastAsia="ru-RU"/>
              </w:rPr>
            </w:r>
          </w:p>
        </w:tc>
      </w:tr>
    </w:tbl>
    <w:p>
      <w:pPr>
        <w:sectPr>
          <w:footerReference w:type="default" r:id="rId2"/>
          <w:type w:val="nextPage"/>
          <w:pgSz w:w="11906" w:h="16838"/>
          <w:pgMar w:left="1701" w:right="851" w:gutter="0" w:header="0" w:top="957" w:footer="709" w:bottom="2977"/>
          <w:pgNumType w:fmt="decimal"/>
          <w:formProt w:val="false"/>
          <w:textDirection w:val="lrTb"/>
          <w:docGrid w:type="default" w:linePitch="360" w:charSpace="8192"/>
        </w:sectPr>
      </w:pPr>
    </w:p>
    <w:p>
      <w:pPr>
        <w:pStyle w:val="Normal"/>
        <w:widowControl w:val="false"/>
        <w:spacing w:lineRule="auto" w:line="240" w:before="0" w:after="0"/>
        <w:ind w:right="-284"/>
        <w:jc w:val="right"/>
        <w:rPr>
          <w:rFonts w:ascii="Times New Roman" w:hAnsi="Times New Roman" w:eastAsia="Times New Roman"/>
          <w:lang w:eastAsia="ru-RU"/>
        </w:rPr>
      </w:pPr>
      <w:r>
        <w:rPr>
          <w:rFonts w:eastAsia="Times New Roman" w:ascii="Times New Roman" w:hAnsi="Times New Roman"/>
          <w:lang w:eastAsia="ru-RU"/>
        </w:rPr>
        <w:t>Приложение № 1</w:t>
      </w:r>
    </w:p>
    <w:p>
      <w:pPr>
        <w:pStyle w:val="Normal"/>
        <w:widowControl w:val="false"/>
        <w:spacing w:lineRule="auto" w:line="240" w:before="0" w:after="0"/>
        <w:ind w:left="5103" w:right="-284"/>
        <w:jc w:val="right"/>
        <w:rPr>
          <w:rFonts w:ascii="Times New Roman" w:hAnsi="Times New Roman" w:eastAsia="Times New Roman"/>
          <w:lang w:eastAsia="ru-RU"/>
        </w:rPr>
      </w:pPr>
      <w:r>
        <w:rPr>
          <w:rFonts w:eastAsia="Times New Roman" w:ascii="Times New Roman" w:hAnsi="Times New Roman"/>
          <w:lang w:eastAsia="ru-RU"/>
        </w:rPr>
        <w:t>к Договору поставки</w:t>
      </w:r>
    </w:p>
    <w:p>
      <w:pPr>
        <w:pStyle w:val="Normal"/>
        <w:widowControl w:val="false"/>
        <w:spacing w:lineRule="auto" w:line="240" w:before="0" w:after="0"/>
        <w:ind w:left="5103" w:right="-284"/>
        <w:jc w:val="right"/>
        <w:rPr>
          <w:rFonts w:ascii="Times New Roman" w:hAnsi="Times New Roman" w:eastAsia="Times New Roman"/>
          <w:lang w:eastAsia="ru-RU"/>
        </w:rPr>
      </w:pPr>
      <w:r>
        <w:rPr>
          <w:rFonts w:eastAsia="Times New Roman" w:ascii="Times New Roman" w:hAnsi="Times New Roman"/>
          <w:lang w:eastAsia="ru-RU"/>
        </w:rPr>
        <w:t xml:space="preserve">от «___» ___ 2025 г. </w:t>
      </w:r>
      <w:r>
        <w:rPr>
          <w:rFonts w:eastAsia="Times New Roman" w:ascii="Times New Roman" w:hAnsi="Times New Roman"/>
          <w:sz w:val="20"/>
          <w:szCs w:val="20"/>
          <w:lang w:eastAsia="ru-RU"/>
        </w:rPr>
        <w:t>№ 65-ЭКСП-БПД-2025-ДФ</w:t>
      </w:r>
    </w:p>
    <w:p>
      <w:pPr>
        <w:pStyle w:val="Normal"/>
        <w:widowControl w:val="false"/>
        <w:spacing w:lineRule="auto" w:line="240" w:before="0" w:after="0"/>
        <w:jc w:val="right"/>
        <w:rPr>
          <w:rFonts w:ascii="Times New Roman" w:hAnsi="Times New Roman" w:eastAsia="Times New Roman"/>
          <w:b/>
          <w:bCs/>
          <w:sz w:val="24"/>
          <w:szCs w:val="24"/>
          <w:lang w:eastAsia="ru-RU"/>
        </w:rPr>
      </w:pPr>
      <w:r>
        <w:rPr>
          <w:rFonts w:eastAsia="Times New Roman" w:ascii="Times New Roman" w:hAnsi="Times New Roman"/>
          <w:b/>
          <w:bCs/>
          <w:sz w:val="24"/>
          <w:szCs w:val="24"/>
          <w:lang w:eastAsia="ru-RU"/>
        </w:rPr>
      </w:r>
    </w:p>
    <w:p>
      <w:pPr>
        <w:pStyle w:val="Normal"/>
        <w:widowControl w:val="false"/>
        <w:spacing w:lineRule="auto" w:line="240" w:before="0" w:after="0"/>
        <w:rPr>
          <w:rFonts w:ascii="Times New Roman" w:hAnsi="Times New Roman" w:eastAsia="Times New Roman"/>
          <w:b/>
          <w:bCs/>
          <w:sz w:val="24"/>
          <w:szCs w:val="24"/>
          <w:lang w:eastAsia="ru-RU"/>
        </w:rPr>
      </w:pPr>
      <w:r>
        <w:rPr>
          <w:rFonts w:eastAsia="Times New Roman" w:ascii="Times New Roman" w:hAnsi="Times New Roman"/>
          <w:b/>
          <w:bCs/>
          <w:sz w:val="24"/>
          <w:szCs w:val="24"/>
          <w:lang w:eastAsia="ru-RU"/>
        </w:rPr>
      </w:r>
    </w:p>
    <w:p>
      <w:pPr>
        <w:pStyle w:val="Normal"/>
        <w:widowControl w:val="false"/>
        <w:spacing w:lineRule="auto" w:line="240" w:before="0" w:after="0"/>
        <w:jc w:val="center"/>
        <w:rPr>
          <w:rFonts w:ascii="Times New Roman" w:hAnsi="Times New Roman" w:eastAsia="Times New Roman"/>
          <w:b/>
          <w:sz w:val="24"/>
          <w:szCs w:val="24"/>
          <w:lang w:eastAsia="ru-RU"/>
        </w:rPr>
      </w:pPr>
      <w:r>
        <w:rPr>
          <w:rFonts w:eastAsia="Times New Roman" w:ascii="Times New Roman" w:hAnsi="Times New Roman"/>
          <w:b/>
          <w:sz w:val="24"/>
          <w:szCs w:val="24"/>
          <w:lang w:eastAsia="ru-RU"/>
        </w:rPr>
        <w:t>СПЕЦИФИКАЦИЯ</w:t>
      </w:r>
    </w:p>
    <w:p>
      <w:pPr>
        <w:pStyle w:val="Normal"/>
        <w:widowControl w:val="false"/>
        <w:spacing w:lineRule="auto" w:line="240" w:before="0" w:after="0"/>
        <w:jc w:val="center"/>
        <w:rPr>
          <w:rFonts w:ascii="Times New Roman" w:hAnsi="Times New Roman" w:eastAsia="Times New Roman"/>
          <w:b/>
          <w:sz w:val="24"/>
          <w:szCs w:val="24"/>
          <w:lang w:eastAsia="ru-RU"/>
        </w:rPr>
      </w:pPr>
      <w:r>
        <w:rPr>
          <w:rFonts w:eastAsia="Times New Roman" w:ascii="Times New Roman" w:hAnsi="Times New Roman"/>
          <w:b/>
          <w:sz w:val="24"/>
          <w:szCs w:val="24"/>
          <w:lang w:eastAsia="ru-RU"/>
        </w:rPr>
      </w:r>
    </w:p>
    <w:tbl>
      <w:tblPr>
        <w:tblW w:w="10065" w:type="dxa"/>
        <w:jc w:val="left"/>
        <w:tblInd w:w="-431" w:type="dxa"/>
        <w:tblLayout w:type="fixed"/>
        <w:tblCellMar>
          <w:top w:w="0" w:type="dxa"/>
          <w:left w:w="108" w:type="dxa"/>
          <w:bottom w:w="0" w:type="dxa"/>
          <w:right w:w="108" w:type="dxa"/>
        </w:tblCellMar>
        <w:tblLook w:val="04a0" w:noHBand="0" w:noVBand="1" w:firstColumn="1" w:lastRow="0" w:lastColumn="0" w:firstRow="1"/>
      </w:tblPr>
      <w:tblGrid>
        <w:gridCol w:w="425"/>
        <w:gridCol w:w="2978"/>
        <w:gridCol w:w="853"/>
        <w:gridCol w:w="708"/>
        <w:gridCol w:w="1134"/>
        <w:gridCol w:w="1274"/>
        <w:gridCol w:w="1276"/>
        <w:gridCol w:w="1415"/>
      </w:tblGrid>
      <w:tr>
        <w:trPr>
          <w:trHeight w:val="510" w:hRule="atLeast"/>
        </w:trPr>
        <w:tc>
          <w:tcPr>
            <w:tcW w:w="4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Наименование</w:t>
            </w:r>
          </w:p>
        </w:tc>
        <w:tc>
          <w:tcPr>
            <w:tcW w:w="8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Един. изм.</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Кол-во</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Цена без НДС</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Цена с НДС</w:t>
            </w:r>
          </w:p>
        </w:tc>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Стоимость без НДС</w:t>
            </w:r>
          </w:p>
        </w:tc>
        <w:tc>
          <w:tcPr>
            <w:tcW w:w="14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bCs/>
                <w:color w:val="000000"/>
                <w:sz w:val="24"/>
                <w:szCs w:val="24"/>
                <w:lang w:eastAsia="ru-RU"/>
              </w:rPr>
            </w:pPr>
            <w:r>
              <w:rPr>
                <w:rFonts w:eastAsia="Times New Roman" w:ascii="Times New Roman" w:hAnsi="Times New Roman"/>
                <w:bCs/>
                <w:color w:val="000000"/>
                <w:sz w:val="24"/>
                <w:szCs w:val="24"/>
                <w:lang w:eastAsia="ru-RU"/>
              </w:rPr>
              <w:t>Стоимость с НДС</w:t>
            </w:r>
          </w:p>
        </w:tc>
      </w:tr>
      <w:tr>
        <w:trPr>
          <w:trHeight w:val="430" w:hRule="atLeast"/>
        </w:trPr>
        <w:tc>
          <w:tcPr>
            <w:tcW w:w="4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1.</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highlight w:val="none"/>
                <w:shd w:fill="auto" w:val="clear"/>
              </w:rPr>
            </w:pPr>
            <w:r>
              <w:rPr>
                <w:rFonts w:ascii="Times New Roman" w:hAnsi="Times New Roman"/>
                <w:sz w:val="24"/>
                <w:szCs w:val="24"/>
                <w:shd w:fill="auto" w:val="clear"/>
              </w:rPr>
              <w:t>Противогаз фильтрующий</w:t>
            </w:r>
          </w:p>
          <w:p>
            <w:pPr>
              <w:pStyle w:val="Normal"/>
              <w:widowControl w:val="false"/>
              <w:spacing w:before="0" w:after="0"/>
              <w:rPr>
                <w:highlight w:val="none"/>
                <w:shd w:fill="auto" w:val="clear"/>
              </w:rPr>
            </w:pPr>
            <w:r>
              <w:rPr>
                <w:rFonts w:ascii="Times New Roman" w:hAnsi="Times New Roman"/>
                <w:sz w:val="24"/>
                <w:szCs w:val="24"/>
                <w:shd w:fill="auto" w:val="clear"/>
                <w:lang w:val="en-US"/>
              </w:rPr>
              <w:t>БРИЗ-3306</w:t>
            </w:r>
            <w:r>
              <w:rPr>
                <w:rFonts w:ascii="Times New Roman" w:hAnsi="Times New Roman"/>
                <w:sz w:val="24"/>
                <w:szCs w:val="24"/>
                <w:shd w:fill="auto" w:val="clear"/>
              </w:rPr>
              <w:t xml:space="preserve"> </w:t>
            </w:r>
          </w:p>
        </w:tc>
        <w:tc>
          <w:tcPr>
            <w:tcW w:w="8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highlight w:val="none"/>
                <w:shd w:fill="auto" w:val="clear"/>
              </w:rPr>
            </w:pPr>
            <w:r>
              <w:rPr>
                <w:rFonts w:eastAsia="Times New Roman" w:ascii="Times New Roman" w:hAnsi="Times New Roman"/>
                <w:sz w:val="24"/>
                <w:szCs w:val="24"/>
                <w:shd w:fill="auto" w:val="clear"/>
                <w:lang w:eastAsia="ru-RU"/>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highlight w:val="none"/>
                <w:shd w:fill="auto" w:val="clear"/>
              </w:rPr>
            </w:pPr>
            <w:r>
              <w:rPr>
                <w:rFonts w:eastAsia="Times New Roman" w:ascii="Times New Roman" w:hAnsi="Times New Roman"/>
                <w:sz w:val="24"/>
                <w:szCs w:val="24"/>
                <w:shd w:fill="auto" w:val="clear"/>
                <w:lang w:val="en-US" w:eastAsia="ru-RU"/>
              </w:rPr>
              <w:t>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r>
          </w:p>
        </w:tc>
        <w:tc>
          <w:tcPr>
            <w:tcW w:w="1274"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pacing w:lineRule="auto" w:line="240" w:before="0" w:after="200"/>
              <w:jc w:val="center"/>
              <w:rPr>
                <w:rFonts w:ascii="Times New Roman" w:hAnsi="Times New Roman"/>
                <w:sz w:val="24"/>
                <w:szCs w:val="24"/>
              </w:rPr>
            </w:pPr>
            <w:r>
              <w:rPr>
                <w:rFonts w:ascii="Times New Roman" w:hAnsi="Times New Roman"/>
                <w:sz w:val="24"/>
                <w:szCs w:val="24"/>
              </w:rPr>
            </w:r>
          </w:p>
        </w:tc>
        <w:tc>
          <w:tcPr>
            <w:tcW w:w="1276"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200"/>
              <w:jc w:val="center"/>
              <w:rPr>
                <w:rFonts w:ascii="Times New Roman" w:hAnsi="Times New Roman"/>
                <w:sz w:val="24"/>
                <w:szCs w:val="24"/>
              </w:rPr>
            </w:pPr>
            <w:r>
              <w:rPr>
                <w:rFonts w:ascii="Times New Roman" w:hAnsi="Times New Roman"/>
                <w:sz w:val="24"/>
                <w:szCs w:val="24"/>
              </w:rPr>
            </w:r>
          </w:p>
        </w:tc>
        <w:tc>
          <w:tcPr>
            <w:tcW w:w="14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r>
          </w:p>
        </w:tc>
      </w:tr>
      <w:tr>
        <w:trPr>
          <w:trHeight w:val="523" w:hRule="atLeast"/>
        </w:trPr>
        <w:tc>
          <w:tcPr>
            <w:tcW w:w="4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2.</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highlight w:val="none"/>
                <w:shd w:fill="auto" w:val="clear"/>
              </w:rPr>
            </w:pPr>
            <w:r>
              <w:rPr>
                <w:rFonts w:ascii="Times New Roman" w:hAnsi="Times New Roman"/>
                <w:sz w:val="24"/>
                <w:szCs w:val="24"/>
                <w:shd w:fill="auto" w:val="clear"/>
              </w:rPr>
              <w:t>Самоспасатель фильтр.</w:t>
            </w:r>
            <w:r>
              <w:rPr>
                <w:rFonts w:ascii="Times New Roman" w:hAnsi="Times New Roman"/>
                <w:sz w:val="24"/>
                <w:szCs w:val="24"/>
                <w:shd w:fill="auto" w:val="clear"/>
                <w:lang w:val="en-US"/>
              </w:rPr>
              <w:t xml:space="preserve"> БРИЗ 3401 (ГДЗК)</w:t>
            </w:r>
            <w:r>
              <w:rPr>
                <w:rFonts w:ascii="Times New Roman" w:hAnsi="Times New Roman"/>
                <w:sz w:val="24"/>
                <w:szCs w:val="24"/>
                <w:shd w:fill="auto" w:val="clear"/>
              </w:rPr>
              <w:t xml:space="preserve"> </w:t>
            </w:r>
          </w:p>
        </w:tc>
        <w:tc>
          <w:tcPr>
            <w:tcW w:w="8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highlight w:val="none"/>
                <w:shd w:fill="auto" w:val="clear"/>
              </w:rPr>
            </w:pPr>
            <w:r>
              <w:rPr>
                <w:rFonts w:eastAsia="Times New Roman" w:ascii="Times New Roman" w:hAnsi="Times New Roman"/>
                <w:sz w:val="24"/>
                <w:szCs w:val="24"/>
                <w:shd w:fill="auto" w:val="clear"/>
                <w:lang w:eastAsia="ru-RU"/>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highlight w:val="none"/>
                <w:shd w:fill="auto" w:val="clear"/>
              </w:rPr>
            </w:pPr>
            <w:r>
              <w:rPr>
                <w:rFonts w:eastAsia="Times New Roman" w:ascii="Times New Roman" w:hAnsi="Times New Roman"/>
                <w:sz w:val="24"/>
                <w:szCs w:val="24"/>
                <w:shd w:fill="auto" w:val="clear"/>
                <w:lang w:eastAsia="ru-RU"/>
              </w:rPr>
              <w:t>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r>
          </w:p>
        </w:tc>
        <w:tc>
          <w:tcPr>
            <w:tcW w:w="12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r>
          </w:p>
        </w:tc>
        <w:tc>
          <w:tcPr>
            <w:tcW w:w="14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r>
          </w:p>
        </w:tc>
      </w:tr>
      <w:tr>
        <w:trPr>
          <w:trHeight w:val="523" w:hRule="atLeast"/>
        </w:trPr>
        <w:tc>
          <w:tcPr>
            <w:tcW w:w="4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3.</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highlight w:val="none"/>
                <w:shd w:fill="auto" w:val="clear"/>
              </w:rPr>
            </w:pPr>
            <w:r>
              <w:rPr>
                <w:rFonts w:ascii="Times New Roman" w:hAnsi="Times New Roman"/>
                <w:sz w:val="24"/>
                <w:szCs w:val="24"/>
                <w:shd w:fill="auto" w:val="clear"/>
              </w:rPr>
              <w:t xml:space="preserve">Комплект КИМГЗ прик.№ 1164н </w:t>
            </w:r>
          </w:p>
        </w:tc>
        <w:tc>
          <w:tcPr>
            <w:tcW w:w="8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highlight w:val="none"/>
                <w:shd w:fill="auto" w:val="clear"/>
              </w:rPr>
            </w:pPr>
            <w:r>
              <w:rPr>
                <w:rFonts w:eastAsia="Times New Roman" w:ascii="Times New Roman" w:hAnsi="Times New Roman"/>
                <w:sz w:val="24"/>
                <w:szCs w:val="24"/>
                <w:shd w:fill="auto" w:val="clear"/>
                <w:lang w:eastAsia="ru-RU"/>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highlight w:val="none"/>
                <w:shd w:fill="auto" w:val="clear"/>
              </w:rPr>
            </w:pPr>
            <w:r>
              <w:rPr>
                <w:rFonts w:eastAsia="Times New Roman" w:ascii="Times New Roman" w:hAnsi="Times New Roman"/>
                <w:sz w:val="24"/>
                <w:szCs w:val="24"/>
                <w:shd w:fill="auto" w:val="clear"/>
                <w:lang w:eastAsia="ru-RU"/>
              </w:rPr>
              <w:t>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r>
          </w:p>
        </w:tc>
        <w:tc>
          <w:tcPr>
            <w:tcW w:w="12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r>
          </w:p>
        </w:tc>
        <w:tc>
          <w:tcPr>
            <w:tcW w:w="14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r>
          </w:p>
        </w:tc>
      </w:tr>
      <w:tr>
        <w:trPr>
          <w:trHeight w:val="523" w:hRule="atLeast"/>
        </w:trPr>
        <w:tc>
          <w:tcPr>
            <w:tcW w:w="4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bCs/>
                <w:sz w:val="24"/>
                <w:szCs w:val="24"/>
                <w:lang w:eastAsia="ru-RU"/>
              </w:rPr>
            </w:pPr>
            <w:r>
              <w:rPr>
                <w:rFonts w:eastAsia="Times New Roman" w:ascii="Times New Roman" w:hAnsi="Times New Roman"/>
                <w:bCs/>
                <w:sz w:val="24"/>
                <w:szCs w:val="24"/>
                <w:lang w:eastAsia="ru-RU"/>
              </w:rPr>
              <w:t xml:space="preserve">4. </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highlight w:val="none"/>
                <w:shd w:fill="auto" w:val="clear"/>
              </w:rPr>
            </w:pPr>
            <w:r>
              <w:rPr>
                <w:rFonts w:ascii="Times New Roman" w:hAnsi="Times New Roman"/>
                <w:sz w:val="24"/>
                <w:szCs w:val="24"/>
                <w:shd w:fill="auto" w:val="clear"/>
              </w:rPr>
              <w:t>Генератор бензиновый A6000eax (6.0 кВт)</w:t>
            </w:r>
          </w:p>
        </w:tc>
        <w:tc>
          <w:tcPr>
            <w:tcW w:w="8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highlight w:val="none"/>
                <w:shd w:fill="auto" w:val="clear"/>
              </w:rPr>
            </w:pPr>
            <w:r>
              <w:rPr>
                <w:rFonts w:eastAsia="Times New Roman" w:ascii="Times New Roman" w:hAnsi="Times New Roman"/>
                <w:sz w:val="24"/>
                <w:szCs w:val="24"/>
                <w:shd w:fill="auto" w:val="clear"/>
                <w:lang w:eastAsia="ru-RU"/>
              </w:rPr>
              <w:t>шт.</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highlight w:val="none"/>
                <w:shd w:fill="auto" w:val="clear"/>
              </w:rPr>
            </w:pPr>
            <w:r>
              <w:rPr>
                <w:rFonts w:eastAsia="Times New Roman" w:ascii="Times New Roman" w:hAnsi="Times New Roman"/>
                <w:sz w:val="24"/>
                <w:szCs w:val="24"/>
                <w:shd w:fill="auto" w:val="clear"/>
                <w:lang w:eastAsia="ru-RU"/>
              </w:rPr>
              <w:t>1</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r>
          </w:p>
        </w:tc>
        <w:tc>
          <w:tcPr>
            <w:tcW w:w="12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r>
          </w:p>
        </w:tc>
        <w:tc>
          <w:tcPr>
            <w:tcW w:w="14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r>
          </w:p>
        </w:tc>
      </w:tr>
      <w:tr>
        <w:trPr>
          <w:trHeight w:val="255" w:hRule="atLeast"/>
        </w:trPr>
        <w:tc>
          <w:tcPr>
            <w:tcW w:w="8648"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right"/>
              <w:rPr>
                <w:rFonts w:ascii="Times New Roman" w:hAnsi="Times New Roman" w:eastAsia="Times New Roman"/>
                <w:b/>
                <w:sz w:val="24"/>
                <w:szCs w:val="24"/>
                <w:lang w:eastAsia="ru-RU"/>
              </w:rPr>
            </w:pPr>
            <w:r>
              <w:rPr>
                <w:rFonts w:eastAsia="Times New Roman" w:ascii="Times New Roman" w:hAnsi="Times New Roman"/>
                <w:color w:val="000000"/>
                <w:sz w:val="24"/>
                <w:szCs w:val="24"/>
                <w:lang w:eastAsia="ru-RU"/>
              </w:rPr>
              <w:t xml:space="preserve">Итого с НДС:  </w:t>
            </w:r>
          </w:p>
        </w:tc>
        <w:tc>
          <w:tcPr>
            <w:tcW w:w="14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b/>
                <w:sz w:val="24"/>
                <w:szCs w:val="24"/>
                <w:lang w:val="en-US" w:eastAsia="ru-RU"/>
              </w:rPr>
            </w:pPr>
            <w:r>
              <w:rPr>
                <w:rFonts w:eastAsia="Times New Roman" w:ascii="Times New Roman" w:hAnsi="Times New Roman"/>
                <w:b/>
                <w:sz w:val="24"/>
                <w:szCs w:val="24"/>
                <w:lang w:val="en-US" w:eastAsia="ru-RU"/>
              </w:rPr>
            </w:r>
          </w:p>
        </w:tc>
      </w:tr>
      <w:tr>
        <w:trPr>
          <w:trHeight w:val="255" w:hRule="atLeast"/>
        </w:trPr>
        <w:tc>
          <w:tcPr>
            <w:tcW w:w="8648"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right"/>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t xml:space="preserve">Итого без НДС:  </w:t>
            </w:r>
          </w:p>
        </w:tc>
        <w:tc>
          <w:tcPr>
            <w:tcW w:w="14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b/>
                <w:sz w:val="24"/>
                <w:szCs w:val="24"/>
                <w:lang w:val="en-US" w:eastAsia="ru-RU"/>
              </w:rPr>
            </w:pPr>
            <w:r>
              <w:rPr>
                <w:rFonts w:eastAsia="Times New Roman" w:ascii="Times New Roman" w:hAnsi="Times New Roman"/>
                <w:b/>
                <w:sz w:val="24"/>
                <w:szCs w:val="24"/>
                <w:lang w:val="en-US" w:eastAsia="ru-RU"/>
              </w:rPr>
            </w:r>
          </w:p>
        </w:tc>
      </w:tr>
      <w:tr>
        <w:trPr>
          <w:trHeight w:val="255" w:hRule="atLeast"/>
        </w:trPr>
        <w:tc>
          <w:tcPr>
            <w:tcW w:w="8648" w:type="dxa"/>
            <w:gridSpan w:val="7"/>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right"/>
              <w:rPr>
                <w:rFonts w:ascii="Times New Roman" w:hAnsi="Times New Roman" w:eastAsia="Times New Roman"/>
                <w:color w:val="000000"/>
                <w:sz w:val="24"/>
                <w:szCs w:val="24"/>
                <w:lang w:eastAsia="ru-RU"/>
              </w:rPr>
            </w:pPr>
            <w:r>
              <w:rPr>
                <w:rFonts w:eastAsia="Times New Roman" w:ascii="Times New Roman" w:hAnsi="Times New Roman"/>
                <w:color w:val="000000"/>
                <w:sz w:val="24"/>
                <w:szCs w:val="24"/>
                <w:lang w:eastAsia="ru-RU"/>
              </w:rPr>
              <w:t>Сумма НДС 2</w:t>
            </w:r>
            <w:r>
              <w:rPr>
                <w:rFonts w:eastAsia="Times New Roman" w:ascii="Times New Roman" w:hAnsi="Times New Roman"/>
                <w:color w:val="000000"/>
                <w:sz w:val="24"/>
                <w:szCs w:val="24"/>
                <w:lang w:val="en-US" w:eastAsia="ru-RU"/>
              </w:rPr>
              <w:t>2</w:t>
            </w:r>
            <w:r>
              <w:rPr>
                <w:rFonts w:eastAsia="Times New Roman" w:ascii="Times New Roman" w:hAnsi="Times New Roman"/>
                <w:color w:val="000000"/>
                <w:sz w:val="24"/>
                <w:szCs w:val="24"/>
                <w:lang w:eastAsia="ru-RU"/>
              </w:rPr>
              <w:t>%</w:t>
            </w:r>
          </w:p>
        </w:tc>
        <w:tc>
          <w:tcPr>
            <w:tcW w:w="14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b/>
                <w:sz w:val="24"/>
                <w:szCs w:val="24"/>
                <w:lang w:val="en-US" w:eastAsia="ru-RU"/>
              </w:rPr>
            </w:pPr>
            <w:r>
              <w:rPr>
                <w:rFonts w:eastAsia="Times New Roman" w:ascii="Times New Roman" w:hAnsi="Times New Roman"/>
                <w:b/>
                <w:sz w:val="24"/>
                <w:szCs w:val="24"/>
                <w:lang w:val="en-US" w:eastAsia="ru-RU"/>
              </w:rPr>
            </w:r>
          </w:p>
        </w:tc>
      </w:tr>
    </w:tbl>
    <w:p>
      <w:pPr>
        <w:pStyle w:val="Normal"/>
        <w:widowControl w:val="false"/>
        <w:spacing w:lineRule="auto" w:line="240" w:before="0" w:after="0"/>
        <w:ind w:left="720"/>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t>Транспортные расходы по доставке Товара до склада покупателя в г. Каспийск входят в стоимость Товара.</w:t>
      </w:r>
    </w:p>
    <w:p>
      <w:pPr>
        <w:pStyle w:val="Normal"/>
        <w:widowControl w:val="false"/>
        <w:spacing w:lineRule="auto" w:line="240" w:before="0" w:after="0"/>
        <w:rPr>
          <w:rFonts w:ascii="Times New Roman" w:hAnsi="Times New Roman" w:eastAsia="Times New Roman"/>
          <w:sz w:val="24"/>
          <w:szCs w:val="24"/>
          <w:highlight w:val="yellow"/>
          <w:lang w:eastAsia="ru-RU"/>
        </w:rPr>
      </w:pPr>
      <w:r>
        <w:rPr>
          <w:rFonts w:eastAsia="Times New Roman" w:ascii="Times New Roman" w:hAnsi="Times New Roman"/>
          <w:sz w:val="24"/>
          <w:szCs w:val="24"/>
          <w:highlight w:val="yellow"/>
          <w:lang w:eastAsia="ru-RU"/>
        </w:rPr>
      </w:r>
    </w:p>
    <w:p>
      <w:pPr>
        <w:pStyle w:val="Normal"/>
        <w:widowControl w:val="false"/>
        <w:spacing w:lineRule="auto" w:line="240" w:before="0" w:after="0"/>
        <w:rPr>
          <w:rFonts w:ascii="Times New Roman" w:hAnsi="Times New Roman" w:eastAsia="Times New Roman"/>
          <w:sz w:val="24"/>
          <w:szCs w:val="24"/>
          <w:highlight w:val="yellow"/>
          <w:lang w:eastAsia="ru-RU"/>
        </w:rPr>
      </w:pPr>
      <w:r>
        <w:rPr>
          <w:rFonts w:eastAsia="Times New Roman" w:ascii="Times New Roman" w:hAnsi="Times New Roman"/>
          <w:sz w:val="24"/>
          <w:szCs w:val="24"/>
          <w:highlight w:val="yellow"/>
          <w:lang w:eastAsia="ru-RU"/>
        </w:rPr>
      </w:r>
    </w:p>
    <w:tbl>
      <w:tblPr>
        <w:tblW w:w="9355"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674"/>
        <w:gridCol w:w="4680"/>
      </w:tblGrid>
      <w:tr>
        <w:trPr/>
        <w:tc>
          <w:tcPr>
            <w:tcW w:w="4674" w:type="dxa"/>
            <w:tcBorders/>
          </w:tcPr>
          <w:p>
            <w:pPr>
              <w:pStyle w:val="Normal"/>
              <w:widowControl w:val="false"/>
              <w:spacing w:lineRule="auto" w:line="240" w:before="0" w:after="0"/>
              <w:rPr>
                <w:rFonts w:ascii="Times New Roman" w:hAnsi="Times New Roman" w:eastAsia="Times New Roman"/>
                <w:b/>
                <w:sz w:val="24"/>
                <w:szCs w:val="20"/>
                <w:lang w:eastAsia="ru-RU"/>
              </w:rPr>
            </w:pPr>
            <w:r>
              <w:rPr>
                <w:rFonts w:eastAsia="Times New Roman" w:ascii="Times New Roman" w:hAnsi="Times New Roman"/>
                <w:b/>
                <w:sz w:val="24"/>
                <w:szCs w:val="20"/>
                <w:lang w:eastAsia="ru-RU"/>
              </w:rPr>
              <w:t>Покупатель:</w:t>
            </w:r>
          </w:p>
        </w:tc>
        <w:tc>
          <w:tcPr>
            <w:tcW w:w="4680" w:type="dxa"/>
            <w:tcBorders/>
          </w:tcPr>
          <w:p>
            <w:pPr>
              <w:pStyle w:val="Normal"/>
              <w:widowControl w:val="false"/>
              <w:spacing w:lineRule="auto" w:line="240" w:before="0" w:after="0"/>
              <w:rPr>
                <w:rFonts w:ascii="Times New Roman" w:hAnsi="Times New Roman" w:eastAsia="Times New Roman"/>
                <w:b/>
                <w:sz w:val="24"/>
                <w:szCs w:val="20"/>
                <w:lang w:eastAsia="ru-RU"/>
              </w:rPr>
            </w:pPr>
            <w:r>
              <w:rPr>
                <w:rFonts w:eastAsia="Times New Roman" w:ascii="Times New Roman" w:hAnsi="Times New Roman"/>
                <w:b/>
                <w:sz w:val="24"/>
                <w:szCs w:val="20"/>
                <w:lang w:eastAsia="ru-RU"/>
              </w:rPr>
              <w:t>Поставщик:</w:t>
            </w:r>
          </w:p>
          <w:p>
            <w:pPr>
              <w:pStyle w:val="Normal"/>
              <w:widowControl w:val="false"/>
              <w:spacing w:lineRule="auto" w:line="240" w:before="0" w:after="0"/>
              <w:rPr>
                <w:rFonts w:ascii="Times New Roman" w:hAnsi="Times New Roman" w:eastAsia="Times New Roman"/>
                <w:b/>
                <w:sz w:val="24"/>
                <w:szCs w:val="20"/>
                <w:highlight w:val="yellow"/>
                <w:lang w:eastAsia="ru-RU"/>
              </w:rPr>
            </w:pPr>
            <w:r>
              <w:rPr>
                <w:rFonts w:eastAsia="Times New Roman" w:ascii="Times New Roman" w:hAnsi="Times New Roman"/>
                <w:b/>
                <w:sz w:val="24"/>
                <w:szCs w:val="20"/>
                <w:highlight w:val="yellow"/>
                <w:lang w:eastAsia="ru-RU"/>
              </w:rPr>
            </w:r>
          </w:p>
        </w:tc>
      </w:tr>
      <w:tr>
        <w:trPr/>
        <w:tc>
          <w:tcPr>
            <w:tcW w:w="4674" w:type="dxa"/>
            <w:tcBorders/>
          </w:tcPr>
          <w:p>
            <w:pPr>
              <w:pStyle w:val="Normal"/>
              <w:widowControl w:val="false"/>
              <w:spacing w:lineRule="auto" w:line="240" w:before="0" w:after="0"/>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Директор филиала ПАО «РусГидро» - </w:t>
            </w:r>
          </w:p>
          <w:p>
            <w:pPr>
              <w:pStyle w:val="Normal"/>
              <w:widowControl w:val="false"/>
              <w:spacing w:lineRule="auto" w:line="240" w:before="0" w:after="0"/>
              <w:rPr>
                <w:rFonts w:ascii="Times New Roman" w:hAnsi="Times New Roman" w:eastAsia="Times New Roman"/>
                <w:lang w:eastAsia="ru-RU"/>
              </w:rPr>
            </w:pPr>
            <w:r>
              <w:rPr>
                <w:rFonts w:eastAsia="Times New Roman" w:ascii="Times New Roman" w:hAnsi="Times New Roman"/>
                <w:sz w:val="24"/>
                <w:szCs w:val="20"/>
                <w:lang w:eastAsia="ru-RU"/>
              </w:rPr>
              <w:t>«Дагестанский филиал»</w:t>
            </w:r>
          </w:p>
          <w:p>
            <w:pPr>
              <w:pStyle w:val="Normal"/>
              <w:widowControl w:val="false"/>
              <w:spacing w:lineRule="auto" w:line="240" w:before="0" w:after="0"/>
              <w:rPr>
                <w:rFonts w:ascii="Times New Roman" w:hAnsi="Times New Roman" w:eastAsia="Times New Roman"/>
                <w:lang w:eastAsia="ru-RU"/>
              </w:rPr>
            </w:pPr>
            <w:r>
              <w:rPr>
                <w:rFonts w:eastAsia="Times New Roman" w:ascii="Times New Roman" w:hAnsi="Times New Roman"/>
                <w:lang w:eastAsia="ru-RU"/>
              </w:rPr>
            </w:r>
          </w:p>
          <w:p>
            <w:pPr>
              <w:pStyle w:val="Normal"/>
              <w:widowControl w:val="false"/>
              <w:spacing w:lineRule="auto" w:line="240" w:before="0" w:after="0"/>
              <w:contextualSpacing/>
              <w:rPr>
                <w:rFonts w:ascii="Times New Roman" w:hAnsi="Times New Roman" w:eastAsia="Times New Roman"/>
                <w:lang w:eastAsia="ru-RU"/>
              </w:rPr>
            </w:pPr>
            <w:r>
              <w:rPr>
                <w:rFonts w:eastAsia="Times New Roman" w:ascii="Times New Roman" w:hAnsi="Times New Roman"/>
                <w:lang w:eastAsia="ru-RU"/>
              </w:rPr>
            </w:r>
          </w:p>
          <w:p>
            <w:pPr>
              <w:pStyle w:val="Normal"/>
              <w:widowControl w:val="false"/>
              <w:spacing w:lineRule="auto" w:line="240" w:before="0" w:after="0"/>
              <w:contextualSpacing/>
              <w:rPr>
                <w:rFonts w:ascii="Times New Roman" w:hAnsi="Times New Roman" w:eastAsia="Times New Roman"/>
                <w:lang w:eastAsia="ru-RU"/>
              </w:rPr>
            </w:pPr>
            <w:r>
              <w:rPr>
                <w:rFonts w:eastAsia="Times New Roman" w:ascii="Times New Roman" w:hAnsi="Times New Roman"/>
                <w:lang w:eastAsia="ru-RU"/>
              </w:rPr>
            </w:r>
          </w:p>
          <w:p>
            <w:pPr>
              <w:pStyle w:val="Normal"/>
              <w:widowControl w:val="false"/>
              <w:spacing w:lineRule="auto" w:line="240" w:before="0" w:after="0"/>
              <w:contextualSpacing/>
              <w:rPr>
                <w:rFonts w:ascii="Times New Roman" w:hAnsi="Times New Roman" w:eastAsia="Times New Roman"/>
                <w:lang w:eastAsia="ru-RU"/>
              </w:rPr>
            </w:pPr>
            <w:r>
              <w:rPr>
                <w:rFonts w:eastAsia="Times New Roman" w:ascii="Times New Roman" w:hAnsi="Times New Roman"/>
                <w:lang w:eastAsia="ru-RU"/>
              </w:rPr>
              <w:t xml:space="preserve">____________________ / Т.Г. Гамзатов </w:t>
            </w:r>
          </w:p>
          <w:p>
            <w:pPr>
              <w:pStyle w:val="Normal"/>
              <w:widowControl w:val="false"/>
              <w:spacing w:lineRule="auto" w:line="240" w:before="0" w:after="0"/>
              <w:contextualSpacing/>
              <w:rPr>
                <w:rFonts w:ascii="Times New Roman" w:hAnsi="Times New Roman" w:eastAsia="Times New Roman"/>
                <w:lang w:eastAsia="ru-RU"/>
              </w:rPr>
            </w:pPr>
            <w:r>
              <w:rPr>
                <w:rFonts w:eastAsia="Times New Roman" w:ascii="Times New Roman" w:hAnsi="Times New Roman"/>
                <w:lang w:eastAsia="ru-RU"/>
              </w:rPr>
            </w:r>
          </w:p>
        </w:tc>
        <w:tc>
          <w:tcPr>
            <w:tcW w:w="4680" w:type="dxa"/>
            <w:tcBorders/>
          </w:tcPr>
          <w:p>
            <w:pPr>
              <w:pStyle w:val="Style15"/>
              <w:widowControl w:val="false"/>
              <w:spacing w:lineRule="auto" w:line="240" w:before="0" w:after="0"/>
              <w:rPr>
                <w:rFonts w:ascii="Times New Roman" w:hAnsi="Times New Roman"/>
                <w:sz w:val="24"/>
                <w:szCs w:val="24"/>
                <w:lang w:val="ru-RU"/>
              </w:rPr>
            </w:pPr>
            <w:r>
              <w:rPr>
                <w:rFonts w:ascii="Times New Roman" w:hAnsi="Times New Roman"/>
                <w:sz w:val="24"/>
                <w:szCs w:val="24"/>
                <w:lang w:val="ru-RU"/>
              </w:rPr>
            </w:r>
          </w:p>
          <w:p>
            <w:pPr>
              <w:pStyle w:val="Style15"/>
              <w:widowControl w:val="false"/>
              <w:spacing w:lineRule="auto" w:line="240" w:before="0" w:after="0"/>
              <w:rPr>
                <w:rFonts w:ascii="Times New Roman" w:hAnsi="Times New Roman"/>
                <w:sz w:val="24"/>
                <w:szCs w:val="24"/>
                <w:lang w:val="ru-RU"/>
              </w:rPr>
            </w:pPr>
            <w:r>
              <w:rPr>
                <w:rFonts w:ascii="Times New Roman" w:hAnsi="Times New Roman"/>
                <w:sz w:val="24"/>
                <w:szCs w:val="24"/>
                <w:lang w:val="ru-RU"/>
              </w:rPr>
              <w:t>Директор ООО «</w:t>
            </w:r>
            <w:r>
              <w:rPr>
                <w:rFonts w:ascii="Times New Roman" w:hAnsi="Times New Roman"/>
                <w:sz w:val="24"/>
                <w:szCs w:val="24"/>
              </w:rPr>
              <w:t>ххх</w:t>
            </w:r>
            <w:r>
              <w:rPr>
                <w:rFonts w:ascii="Times New Roman" w:hAnsi="Times New Roman"/>
                <w:sz w:val="24"/>
                <w:szCs w:val="24"/>
                <w:lang w:val="ru-RU"/>
              </w:rPr>
              <w:t>»</w:t>
            </w:r>
          </w:p>
          <w:p>
            <w:pPr>
              <w:pStyle w:val="Style15"/>
              <w:widowControl w:val="false"/>
              <w:spacing w:lineRule="auto" w:line="240" w:before="0" w:after="0"/>
              <w:rPr>
                <w:rFonts w:ascii="Times New Roman" w:hAnsi="Times New Roman"/>
                <w:sz w:val="24"/>
                <w:szCs w:val="24"/>
                <w:lang w:val="ru-RU"/>
              </w:rPr>
            </w:pPr>
            <w:r>
              <w:rPr>
                <w:rFonts w:ascii="Times New Roman" w:hAnsi="Times New Roman"/>
                <w:sz w:val="24"/>
                <w:szCs w:val="24"/>
                <w:lang w:val="ru-RU"/>
              </w:rPr>
            </w:r>
          </w:p>
          <w:p>
            <w:pPr>
              <w:pStyle w:val="Style15"/>
              <w:widowControl w:val="false"/>
              <w:spacing w:lineRule="auto" w:line="240" w:before="0" w:after="0"/>
              <w:rPr>
                <w:rFonts w:ascii="Times New Roman" w:hAnsi="Times New Roman"/>
                <w:sz w:val="24"/>
                <w:szCs w:val="24"/>
                <w:lang w:val="ru-RU"/>
              </w:rPr>
            </w:pPr>
            <w:r>
              <w:rPr>
                <w:rFonts w:ascii="Times New Roman" w:hAnsi="Times New Roman"/>
                <w:sz w:val="24"/>
                <w:szCs w:val="24"/>
                <w:lang w:val="ru-RU"/>
              </w:rPr>
            </w:r>
          </w:p>
          <w:p>
            <w:pPr>
              <w:pStyle w:val="Normal"/>
              <w:widowControl w:val="false"/>
              <w:spacing w:lineRule="auto" w:line="240" w:before="0" w:after="0"/>
              <w:jc w:val="both"/>
              <w:rPr>
                <w:rFonts w:ascii="Times New Roman" w:hAnsi="Times New Roman" w:eastAsia="Times New Roman"/>
                <w:sz w:val="24"/>
                <w:szCs w:val="24"/>
                <w:lang w:val="en-US" w:eastAsia="ru-RU"/>
              </w:rPr>
            </w:pPr>
            <w:r>
              <w:rPr>
                <w:rFonts w:ascii="Times New Roman" w:hAnsi="Times New Roman"/>
                <w:sz w:val="24"/>
                <w:szCs w:val="24"/>
              </w:rPr>
              <w:t>____________________ /</w:t>
            </w:r>
            <w:r>
              <w:rPr>
                <w:rFonts w:ascii="Times New Roman" w:hAnsi="Times New Roman"/>
                <w:sz w:val="24"/>
                <w:szCs w:val="24"/>
                <w:lang w:val="en-US"/>
              </w:rPr>
              <w:t>ххх</w:t>
            </w:r>
          </w:p>
        </w:tc>
      </w:tr>
    </w:tbl>
    <w:p>
      <w:pPr>
        <w:pStyle w:val="Normal"/>
        <w:ind w:left="-426"/>
        <w:rPr/>
      </w:pPr>
      <w:r>
        <w:rPr/>
      </w:r>
    </w:p>
    <w:p>
      <w:pPr>
        <w:pStyle w:val="Normal"/>
        <w:widowControl/>
        <w:suppressAutoHyphens w:val="true"/>
        <w:bidi w:val="0"/>
        <w:spacing w:lineRule="auto" w:line="276" w:before="0" w:after="200"/>
        <w:jc w:val="left"/>
        <w:rPr/>
      </w:pPr>
      <w:r>
        <w:rPr/>
      </w:r>
    </w:p>
    <w:sectPr>
      <w:footerReference w:type="default" r:id="rId3"/>
      <w:footerReference w:type="first" r:id="rId4"/>
      <w:type w:val="nextPage"/>
      <w:pgSz w:w="11906" w:h="16838"/>
      <w:pgMar w:left="1701" w:right="850" w:gutter="0" w:header="0" w:top="1134" w:footer="708"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Segoe UI">
    <w:charset w:val="01"/>
    <w:family w:val="roman"/>
    <w:pitch w:val="variable"/>
  </w:font>
  <w:font w:name="PT Sans">
    <w:charset w:val="01"/>
    <w:family w:val="swiss"/>
    <w:pitch w:val="variable"/>
  </w:font>
  <w:font w:name="Liberation Sans">
    <w:altName w:val="Arial"/>
    <w:charset w:val="01"/>
    <w:family w:val="roman"/>
    <w:pitch w:val="variable"/>
  </w:font>
  <w:font w:name="Verdan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42403090"/>
    </w:sdtPr>
    <w:sdtContent>
      <w:p>
        <w:pPr>
          <w:pStyle w:val="Footer"/>
          <w:jc w:val="center"/>
          <w:rPr/>
        </w:pPr>
        <w:r>
          <w:rPr/>
          <w:fldChar w:fldCharType="begin"/>
        </w:r>
        <w:r>
          <w:rPr/>
          <w:instrText xml:space="preserve"> PAGE </w:instrText>
        </w:r>
        <w:r>
          <w:rPr/>
          <w:fldChar w:fldCharType="separate"/>
        </w:r>
        <w:r>
          <w:rPr/>
          <w:t>11</w:t>
        </w:r>
        <w:r>
          <w:rPr/>
          <w:fldChar w:fldCharType="end"/>
        </w:r>
      </w:p>
      <w:p>
        <w:pPr>
          <w:pStyle w:val="Footer"/>
          <w:rPr/>
        </w:pPr>
        <w:r>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12147794"/>
    </w:sdtPr>
    <w:sdtContent>
      <w:p>
        <w:pPr>
          <w:pStyle w:val="Footer"/>
          <w:jc w:val="center"/>
          <w:rPr/>
        </w:pPr>
        <w:r>
          <w:rPr/>
          <w:fldChar w:fldCharType="begin"/>
        </w:r>
        <w:r>
          <w:rPr/>
          <w:instrText xml:space="preserve"> PAGE </w:instrText>
        </w:r>
        <w:r>
          <w:rPr/>
          <w:fldChar w:fldCharType="separate"/>
        </w:r>
        <w:r>
          <w:rPr/>
          <w:t>12</w:t>
        </w:r>
        <w:r>
          <w:rPr/>
          <w:fldChar w:fldCharType="end"/>
        </w:r>
      </w:p>
      <w:p>
        <w:pPr>
          <w:pStyle w:val="Footer"/>
          <w:rPr/>
        </w:pPr>
        <w:r>
          <w:rPr/>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142"/>
        </w:tabs>
        <w:ind w:left="1142" w:hanging="432"/>
      </w:pPr>
      <w:rPr>
        <w:sz w:val="24"/>
        <w:szCs w:val="24"/>
      </w:rPr>
    </w:lvl>
    <w:lvl w:ilvl="2">
      <w:start w:val="1"/>
      <w:numFmt w:val="decimal"/>
      <w:lvlText w:val="%1.%2.%3."/>
      <w:lvlJc w:val="left"/>
      <w:pPr>
        <w:tabs>
          <w:tab w:val="num" w:pos="1571"/>
        </w:tabs>
        <w:ind w:left="1355"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8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0566e"/>
    <w:pPr>
      <w:widowControl/>
      <w:suppressAutoHyphens w:val="true"/>
      <w:bidi w:val="0"/>
      <w:spacing w:lineRule="auto" w:line="276" w:before="0" w:after="200"/>
      <w:jc w:val="left"/>
    </w:pPr>
    <w:rPr>
      <w:rFonts w:cs="Times New Roman" w:ascii="Calibri" w:hAnsi="Calibri" w:eastAsia="Calibri" w:asciiTheme="minorHAnsi" w:eastAsiaTheme="minorHAnsi" w:hAnsiTheme="minorHAnsi"/>
      <w:color w:val="auto"/>
      <w:kern w:val="0"/>
      <w:sz w:val="22"/>
      <w:szCs w:val="22"/>
      <w:lang w:val="ru-RU" w:eastAsia="en-US" w:bidi="ar-SA"/>
    </w:rPr>
  </w:style>
  <w:style w:type="paragraph" w:styleId="Heading1">
    <w:name w:val="Heading 1"/>
    <w:basedOn w:val="Normal"/>
    <w:link w:val="1"/>
    <w:uiPriority w:val="9"/>
    <w:qFormat/>
    <w:rsid w:val="00fc02e8"/>
    <w:pPr>
      <w:spacing w:lineRule="auto" w:line="240" w:beforeAutospacing="1" w:afterAutospacing="1"/>
      <w:outlineLvl w:val="0"/>
    </w:pPr>
    <w:rPr>
      <w:rFonts w:ascii="Times New Roman" w:hAnsi="Times New Roman" w:eastAsia="Times New Roman"/>
      <w:b/>
      <w:bCs/>
      <w:kern w:val="2"/>
      <w:sz w:val="48"/>
      <w:szCs w:val="48"/>
      <w:lang w:eastAsia="ru-RU"/>
    </w:rPr>
  </w:style>
  <w:style w:type="character" w:styleId="DefaultParagraphFont" w:default="1">
    <w:name w:val="Default Paragraph Font"/>
    <w:uiPriority w:val="1"/>
    <w:semiHidden/>
    <w:unhideWhenUsed/>
    <w:qFormat/>
    <w:rPr/>
  </w:style>
  <w:style w:type="character" w:styleId="Style8" w:customStyle="1">
    <w:name w:val="Верхний колонтитул Знак"/>
    <w:basedOn w:val="DefaultParagraphFont"/>
    <w:qFormat/>
    <w:rsid w:val="0010566e"/>
    <w:rPr>
      <w:rFonts w:ascii="Times New Roman" w:hAnsi="Times New Roman" w:eastAsia="Times New Roman" w:cs="Times New Roman"/>
      <w:sz w:val="20"/>
      <w:szCs w:val="20"/>
      <w:lang w:val="x-none" w:eastAsia="ru-RU"/>
    </w:rPr>
  </w:style>
  <w:style w:type="character" w:styleId="Style9" w:customStyle="1">
    <w:name w:val="Основной текст Знак"/>
    <w:basedOn w:val="DefaultParagraphFont"/>
    <w:qFormat/>
    <w:rsid w:val="0010566e"/>
    <w:rPr>
      <w:rFonts w:ascii="Times New Roman" w:hAnsi="Times New Roman" w:eastAsia="Times New Roman" w:cs="Times New Roman"/>
      <w:sz w:val="20"/>
      <w:szCs w:val="20"/>
      <w:lang w:val="x-none" w:eastAsia="ru-RU"/>
    </w:rPr>
  </w:style>
  <w:style w:type="character" w:styleId="Style10" w:customStyle="1">
    <w:name w:val="Нижний колонтитул Знак"/>
    <w:basedOn w:val="DefaultParagraphFont"/>
    <w:uiPriority w:val="99"/>
    <w:qFormat/>
    <w:rsid w:val="0010566e"/>
    <w:rPr>
      <w:rFonts w:ascii="Calibri" w:hAnsi="Calibri" w:eastAsia="Calibri" w:cs="Times New Roman"/>
    </w:rPr>
  </w:style>
  <w:style w:type="character" w:styleId="Style11" w:customStyle="1">
    <w:name w:val="Текст выноски Знак"/>
    <w:basedOn w:val="DefaultParagraphFont"/>
    <w:link w:val="BalloonText"/>
    <w:uiPriority w:val="99"/>
    <w:semiHidden/>
    <w:qFormat/>
    <w:rsid w:val="00d66197"/>
    <w:rPr>
      <w:rFonts w:ascii="Segoe UI" w:hAnsi="Segoe UI" w:eastAsia="Calibri" w:cs="Segoe UI"/>
      <w:sz w:val="18"/>
      <w:szCs w:val="18"/>
    </w:rPr>
  </w:style>
  <w:style w:type="character" w:styleId="1" w:customStyle="1">
    <w:name w:val="Заголовок 1 Знак"/>
    <w:basedOn w:val="DefaultParagraphFont"/>
    <w:uiPriority w:val="9"/>
    <w:qFormat/>
    <w:rsid w:val="00fc02e8"/>
    <w:rPr>
      <w:rFonts w:ascii="Times New Roman" w:hAnsi="Times New Roman" w:eastAsia="Times New Roman" w:cs="Times New Roman"/>
      <w:b/>
      <w:bCs/>
      <w:kern w:val="2"/>
      <w:sz w:val="48"/>
      <w:szCs w:val="48"/>
      <w:lang w:eastAsia="ru-RU"/>
    </w:rPr>
  </w:style>
  <w:style w:type="character" w:styleId="FontStyle20" w:customStyle="1">
    <w:name w:val="Font Style20"/>
    <w:qFormat/>
    <w:rsid w:val="009f5c74"/>
    <w:rPr>
      <w:rFonts w:ascii="Times New Roman" w:hAnsi="Times New Roman" w:cs="Times New Roman"/>
      <w:sz w:val="18"/>
      <w:szCs w:val="18"/>
    </w:rPr>
  </w:style>
  <w:style w:type="paragraph" w:styleId="Style12">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9"/>
    <w:rsid w:val="0010566e"/>
    <w:pPr>
      <w:spacing w:lineRule="auto" w:line="240" w:before="0" w:after="0"/>
      <w:jc w:val="both"/>
    </w:pPr>
    <w:rPr>
      <w:rFonts w:ascii="Times New Roman" w:hAnsi="Times New Roman" w:eastAsia="Times New Roman"/>
      <w:sz w:val="20"/>
      <w:szCs w:val="20"/>
      <w:lang w:val="x-none" w:eastAsia="ru-RU"/>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3">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14" w:customStyle="1">
    <w:name w:val="Колонтитул"/>
    <w:basedOn w:val="Normal"/>
    <w:qFormat/>
    <w:pPr/>
    <w:rPr/>
  </w:style>
  <w:style w:type="paragraph" w:styleId="Header">
    <w:name w:val="Header"/>
    <w:basedOn w:val="Normal"/>
    <w:link w:val="Style8"/>
    <w:rsid w:val="0010566e"/>
    <w:pPr>
      <w:widowControl w:val="false"/>
      <w:tabs>
        <w:tab w:val="clear" w:pos="708"/>
        <w:tab w:val="center" w:pos="4677" w:leader="none"/>
        <w:tab w:val="right" w:pos="9355" w:leader="none"/>
      </w:tabs>
      <w:spacing w:lineRule="auto" w:line="240" w:before="0" w:after="0"/>
    </w:pPr>
    <w:rPr>
      <w:rFonts w:ascii="Times New Roman" w:hAnsi="Times New Roman" w:eastAsia="Times New Roman"/>
      <w:sz w:val="20"/>
      <w:szCs w:val="20"/>
      <w:lang w:val="x-none" w:eastAsia="ru-RU"/>
    </w:rPr>
  </w:style>
  <w:style w:type="paragraph" w:styleId="Footer">
    <w:name w:val="Footer"/>
    <w:basedOn w:val="Normal"/>
    <w:link w:val="Style10"/>
    <w:uiPriority w:val="99"/>
    <w:unhideWhenUsed/>
    <w:rsid w:val="0010566e"/>
    <w:pPr>
      <w:tabs>
        <w:tab w:val="clear" w:pos="708"/>
        <w:tab w:val="center" w:pos="4677" w:leader="none"/>
        <w:tab w:val="right" w:pos="9355" w:leader="none"/>
      </w:tabs>
      <w:spacing w:lineRule="auto" w:line="240" w:before="0" w:after="0"/>
    </w:pPr>
    <w:rPr/>
  </w:style>
  <w:style w:type="paragraph" w:styleId="ListParagraph">
    <w:name w:val="List Paragraph"/>
    <w:basedOn w:val="Normal"/>
    <w:uiPriority w:val="34"/>
    <w:qFormat/>
    <w:rsid w:val="0010566e"/>
    <w:pPr>
      <w:spacing w:before="0" w:after="200"/>
      <w:ind w:left="720"/>
      <w:contextualSpacing/>
    </w:pPr>
    <w:rPr/>
  </w:style>
  <w:style w:type="paragraph" w:styleId="ParagraphStyle" w:customStyle="1">
    <w:name w:val="Paragraph Style"/>
    <w:qFormat/>
    <w:rsid w:val="003d6d3e"/>
    <w:pPr>
      <w:widowControl w:val="false"/>
      <w:suppressAutoHyphens w:val="true"/>
      <w:bidi w:val="0"/>
      <w:spacing w:before="0" w:after="0"/>
      <w:jc w:val="left"/>
    </w:pPr>
    <w:rPr>
      <w:rFonts w:ascii="Times New Roman" w:hAnsi="Times New Roman" w:eastAsia="" w:cs="Times New Roman" w:eastAsiaTheme="minorEastAsia"/>
      <w:color w:val="auto"/>
      <w:kern w:val="0"/>
      <w:sz w:val="24"/>
      <w:szCs w:val="24"/>
      <w:lang w:eastAsia="ru-RU" w:val="ru-RU" w:bidi="ar-SA"/>
    </w:rPr>
  </w:style>
  <w:style w:type="paragraph" w:styleId="Style15" w:customStyle="1">
    <w:name w:val="Знак Знак Знак Знак Знак Знак Знак Знак Знак"/>
    <w:basedOn w:val="Normal"/>
    <w:qFormat/>
    <w:rsid w:val="00880c05"/>
    <w:pPr>
      <w:spacing w:lineRule="exact" w:line="240" w:before="0" w:after="160"/>
      <w:jc w:val="both"/>
    </w:pPr>
    <w:rPr>
      <w:rFonts w:ascii="Verdana" w:hAnsi="Verdana" w:eastAsia="Times New Roman"/>
      <w:szCs w:val="20"/>
      <w:lang w:val="en-US"/>
    </w:rPr>
  </w:style>
  <w:style w:type="paragraph" w:styleId="BalloonText">
    <w:name w:val="Balloon Text"/>
    <w:basedOn w:val="Normal"/>
    <w:link w:val="Style11"/>
    <w:uiPriority w:val="99"/>
    <w:semiHidden/>
    <w:unhideWhenUsed/>
    <w:qFormat/>
    <w:rsid w:val="00d66197"/>
    <w:pPr>
      <w:spacing w:lineRule="auto" w:line="240" w:before="0" w:after="0"/>
    </w:pPr>
    <w:rPr>
      <w:rFonts w:ascii="Segoe UI" w:hAnsi="Segoe UI" w:cs="Segoe UI"/>
      <w:sz w:val="18"/>
      <w:szCs w:val="18"/>
    </w:rPr>
  </w:style>
  <w:style w:type="paragraph" w:styleId="Style91" w:customStyle="1">
    <w:name w:val="Style9"/>
    <w:basedOn w:val="Normal"/>
    <w:qFormat/>
    <w:rsid w:val="00a6350f"/>
    <w:pPr>
      <w:widowControl w:val="false"/>
      <w:spacing w:lineRule="exact" w:line="269" w:before="0" w:after="0"/>
      <w:jc w:val="both"/>
    </w:pPr>
    <w:rPr>
      <w:rFonts w:ascii="Times New Roman" w:hAnsi="Times New Roman" w:eastAsia="Times New Roman"/>
      <w:sz w:val="24"/>
      <w:szCs w:val="24"/>
      <w:lang w:eastAsia="ar-SA"/>
    </w:rPr>
  </w:style>
  <w:style w:type="paragraph" w:styleId="NoSpacing">
    <w:name w:val="No Spacing"/>
    <w:qFormat/>
    <w:rsid w:val="00a6350f"/>
    <w:pPr>
      <w:widowControl w:val="false"/>
      <w:suppressAutoHyphens w:val="true"/>
      <w:bidi w:val="0"/>
      <w:spacing w:before="0" w:after="0"/>
      <w:jc w:val="left"/>
    </w:pPr>
    <w:rPr>
      <w:rFonts w:ascii="Times New Roman" w:hAnsi="Times New Roman" w:eastAsia="Times New Roman" w:cs="Times New Roman"/>
      <w:color w:val="auto"/>
      <w:kern w:val="0"/>
      <w:sz w:val="24"/>
      <w:szCs w:val="24"/>
      <w:lang w:eastAsia="ar-SA" w:val="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3C15B-5A45-4475-BCB0-ABB34B622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Application>AlterOffice/2026.2.0.0$Linux_X86_64 LibreOffice_project/bc4ef1adf80b36c7a6365f8ed6cbf29021361edd</Application>
  <AppVersion>15.0000</AppVersion>
  <Pages>12</Pages>
  <Words>3860</Words>
  <Characters>27129</Characters>
  <CharactersWithSpaces>30757</CharactersWithSpaces>
  <Paragraphs>204</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2026-04-15T08:49:00Z</dcterms:created>
  <dc:creator>Махмудов Амиргаджи Магомедович</dc:creator>
  <dc:description/>
  <dc:language>ru-RU</dc:language>
  <cp:lastModifiedBy>mahmudovam@corp.gidroogk.com</cp:lastModifiedBy>
  <dcterms:modified xsi:type="dcterms:W3CDTF">2026-10-22T13:43:44Z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