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color w:val="000000"/>
        </w:rPr>
      </w:pPr>
      <w:r>
        <w:rPr>
          <w:color w:val="000000"/>
        </w:rPr>
        <w:t xml:space="preserve">Приложение </w:t>
      </w:r>
    </w:p>
    <w:p>
      <w:pPr>
        <w:pStyle w:val="Normal"/>
        <w:jc w:val="right"/>
        <w:rPr>
          <w:color w:val="000000"/>
          <w:lang w:val="en-US"/>
        </w:rPr>
      </w:pPr>
      <w:r>
        <w:rPr>
          <w:color w:val="000000"/>
        </w:rPr>
        <w:t>к с</w:t>
      </w:r>
      <w:r>
        <w:rPr>
          <w:color w:val="000000"/>
          <w:lang w:val="en-US"/>
        </w:rPr>
        <w:t>пецификации</w:t>
      </w:r>
      <w:bookmarkStart w:id="0" w:name="_GoBack"/>
      <w:bookmarkEnd w:id="0"/>
    </w:p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  <w:t>ТЕХНИЧЕСКИЕ ТРЕБОВАНИЯ</w:t>
      </w:r>
    </w:p>
    <w:p>
      <w:pPr>
        <w:pStyle w:val="BlockText"/>
        <w:ind w:left="426" w:right="-2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на поставку ИРП для обновления запасов ГО </w:t>
      </w:r>
    </w:p>
    <w:p>
      <w:pPr>
        <w:pStyle w:val="Normal"/>
        <w:ind w:left="426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Филиала ПАО «РусГидро» - «Дагестанский филиал»</w:t>
      </w:r>
    </w:p>
    <w:p>
      <w:pPr>
        <w:pStyle w:val="Normal"/>
        <w:ind w:left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Наименование закупаемой продукции (услуг)</w:t>
      </w:r>
    </w:p>
    <w:p>
      <w:pPr>
        <w:pStyle w:val="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Поставка индивидуального рациона питания для обновления запасов ЗС ГО </w:t>
      </w:r>
      <w:r>
        <w:rPr>
          <w:color w:val="000000"/>
          <w:sz w:val="28"/>
          <w:szCs w:val="28"/>
        </w:rPr>
        <w:t>Филиала ПАО «РусГидро» - «Дагестанский филиал» (далее Филиал)</w:t>
      </w:r>
      <w:r>
        <w:rPr>
          <w:rFonts w:eastAsia="Calibri"/>
          <w:sz w:val="28"/>
          <w:szCs w:val="28"/>
        </w:rPr>
        <w:t xml:space="preserve">. </w:t>
      </w:r>
    </w:p>
    <w:p>
      <w:pPr>
        <w:pStyle w:val="Normal"/>
        <w:ind w:firstLine="709"/>
        <w:jc w:val="both"/>
        <w:rPr>
          <w:b/>
          <w:i/>
          <w:i/>
          <w:sz w:val="28"/>
          <w:szCs w:val="28"/>
          <w:highlight w:val="yellow"/>
        </w:rPr>
      </w:pPr>
      <w:r>
        <w:rPr>
          <w:rFonts w:eastAsia="Calibri"/>
          <w:sz w:val="28"/>
          <w:szCs w:val="28"/>
        </w:rPr>
        <w:t xml:space="preserve">Краткое наименование – Поставка ИРП для ЗС ГО. </w:t>
      </w:r>
    </w:p>
    <w:p>
      <w:pPr>
        <w:pStyle w:val="Normal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Заказчик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Публичное акционерное общество «Федеральная гидрогенерирующая компания - РусГидро» (ПАО «РусГидро»)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660049, Красноярский край, г. Красноярск, ул. Перенсона, зд. 2а,  помещ. 1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ПАО «РусГидро» - «Дагестанский филиал»,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адрес: 368300, РД, г. Каспийск, ул. Халилова, 5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Подразделения: ОП «Чиркейская ГЭС»</w:t>
      </w:r>
    </w:p>
    <w:p>
      <w:pPr>
        <w:pStyle w:val="Normal"/>
        <w:ind w:firstLine="709" w:right="-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Цели и задачи. Существующее положение </w:t>
      </w:r>
    </w:p>
    <w:p>
      <w:pPr>
        <w:pStyle w:val="Normal"/>
        <w:ind w:left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3.1. Цель:</w:t>
      </w:r>
    </w:p>
    <w:p>
      <w:pPr>
        <w:pStyle w:val="BodyText"/>
        <w:spacing w:before="0" w:after="0"/>
        <w:ind w:firstLine="709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требований НПА:</w:t>
      </w:r>
    </w:p>
    <w:p>
      <w:pPr>
        <w:pStyle w:val="BodyText"/>
        <w:numPr>
          <w:ilvl w:val="0"/>
          <w:numId w:val="4"/>
        </w:numPr>
        <w:spacing w:before="0" w:after="0"/>
        <w:ind w:firstLine="709" w:left="0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Российской Федерации от 12.02.1998 №28-ФЗ «О гражданской обороне»;</w:t>
      </w:r>
    </w:p>
    <w:p>
      <w:pPr>
        <w:pStyle w:val="BodyText"/>
        <w:numPr>
          <w:ilvl w:val="0"/>
          <w:numId w:val="4"/>
        </w:numPr>
        <w:spacing w:before="0" w:after="0"/>
        <w:ind w:firstLine="709" w:left="0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Российской Федерации от 21.12.1994 №68-ФЗ «О защите населения и территорий от ЧС природного техногенного характера»</w:t>
      </w:r>
    </w:p>
    <w:p>
      <w:pPr>
        <w:pStyle w:val="BodyText"/>
        <w:numPr>
          <w:ilvl w:val="0"/>
          <w:numId w:val="4"/>
        </w:numPr>
        <w:spacing w:before="0" w:after="0"/>
        <w:ind w:firstLine="709" w:left="0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Правительства РФ от 27.04.2000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средств»;</w:t>
      </w:r>
    </w:p>
    <w:p>
      <w:pPr>
        <w:pStyle w:val="BodyText"/>
        <w:numPr>
          <w:ilvl w:val="0"/>
          <w:numId w:val="4"/>
        </w:numPr>
        <w:spacing w:before="0" w:after="0"/>
        <w:ind w:firstLine="709" w:left="0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Правилах эксплуатации защитных сооружений гражданской обороны, утвержденных приказом МЧС России от 15.12.2002 № 583;</w:t>
      </w:r>
    </w:p>
    <w:p>
      <w:pPr>
        <w:pStyle w:val="BodyText"/>
        <w:numPr>
          <w:ilvl w:val="0"/>
          <w:numId w:val="4"/>
        </w:numPr>
        <w:spacing w:before="0" w:after="0"/>
        <w:ind w:firstLine="709" w:left="0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Методических рекомендаций по определению номенклатуры и объемов создаваемых в целях гражданской обороны запасов материально-технических, продовольственных, медицинских и иных средств, накапливаемых федеральными органами исполнительной власти, органами исполнительной власти субъектов Российской Федерации, органами местного самоуправления и организациями, от 23.05.2017 № 2-4-71-24-11, утвержденных заместителем Министра Российской Федерации по делам гражданской обороны, чрезвычайным ситуациям и ликвидации последствий стихийных бедствий П.Ф. Барышевым;</w:t>
      </w:r>
    </w:p>
    <w:p>
      <w:pPr>
        <w:pStyle w:val="BodyText"/>
        <w:numPr>
          <w:ilvl w:val="0"/>
          <w:numId w:val="4"/>
        </w:numPr>
        <w:tabs>
          <w:tab w:val="clear" w:pos="708"/>
          <w:tab w:val="left" w:pos="722" w:leader="none"/>
        </w:tabs>
        <w:spacing w:lineRule="exact" w:line="292" w:before="0" w:after="0"/>
        <w:ind w:firstLine="709" w:left="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Положения об управлении запасом материальных средств, создаваемым в интересах гражданской обороны и ликвидации чрезвычайных ситуаций, утвержденным приказом ПАО «РусГидро» от 28.12.2015 №1156, и во исполнение приказа ПАО «РусГидро» от 17.08.2017 №542 «О внесении изменений в локальные нормативные документы в области гражданской обороны» и с целью содержания защитного сооружения гражданской обороны (ЗС ГО) Филиала </w:t>
      </w:r>
      <w:r>
        <w:rPr>
          <w:color w:val="000000"/>
          <w:sz w:val="28"/>
          <w:szCs w:val="28"/>
        </w:rPr>
        <w:t>в соответствии требованиям указанных НПА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3.2. Задачи: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накопление, хранение и использование в целях ГО запасов материально-технических, продовольственных, медицинских и иных запасов, созданных Филиалом в обособленных подразделениях, а также резервов ГО и ЧС согласно номенклатуре и объемам запасов, созданных для НАСФ и НФГО Филиала, утвержденных приказом Филиала от 27.10.2017 № ДФ/81-507.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3.4. Существующее положение</w:t>
      </w:r>
    </w:p>
    <w:p>
      <w:pPr>
        <w:pStyle w:val="Normal"/>
        <w:ind w:firstLine="709" w:right="-2"/>
        <w:jc w:val="both"/>
        <w:rPr>
          <w:sz w:val="28"/>
          <w:szCs w:val="28"/>
        </w:rPr>
      </w:pPr>
      <w:r>
        <w:rPr>
          <w:sz w:val="28"/>
          <w:szCs w:val="28"/>
        </w:rPr>
        <w:t>С целью обеспечения работников Филиала от поражающих факторов, возникающих при военных конфликтах или вследствие этих конфликтов, а также при возникновении ЧС, обеспечения их коллективной защитой в ЗС ГО, в том числе предметами первой необходимости (продуктами питания) создается соответствующий запас продовольствия. В виду того, что мясные, рыбные и др. скоропортящиеся продукты нецелесообразно заложить на длительное хранение в их заменен предусмотрена закладка продуктов питания в виде сухого пайка – индивидуальный рацион питания (ИРП). Исходя из того, что в сооружение коллективной защиты – ЗС ГО по норме рассчитано количество укрываемых 300 чел. и с учетом на двое суток – предусматривается приобретение 600 штук ИРП. Что и составляет потребное количество для обеспечения постоянной готовности данного объекта.</w:t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widowControl w:val="false"/>
        <w:numPr>
          <w:ilvl w:val="0"/>
          <w:numId w:val="3"/>
        </w:numPr>
        <w:shd w:val="clear" w:color="auto" w:fill="FFFFFF"/>
        <w:tabs>
          <w:tab w:val="clear" w:pos="708"/>
          <w:tab w:val="left" w:pos="428" w:leader="none"/>
        </w:tabs>
        <w:spacing w:before="0" w:after="0"/>
        <w:contextualSpacing w:val="false"/>
        <w:jc w:val="both"/>
        <w:rPr>
          <w:rFonts w:ascii="Times New Roman" w:hAnsi="Times New Roman"/>
          <w:vanish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vanish/>
          <w:spacing w:val="-4"/>
          <w:sz w:val="28"/>
          <w:szCs w:val="28"/>
          <w:lang w:eastAsia="ru-RU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 к закупаемой продукции (технические и иные характеристики):</w:t>
      </w:r>
    </w:p>
    <w:p>
      <w:pPr>
        <w:pStyle w:val="Normal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Поставщик должен: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Предоставить Заказчику оборудование в полном соответствии с перечнем - спецификацией, представленным в приложении к договору.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Предоставить Заказчику пользовательские инструкции на русском языке.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Все поставляемое оборудование предоставить в заводских упаковках производителя.</w:t>
      </w:r>
    </w:p>
    <w:tbl>
      <w:tblPr>
        <w:tblW w:w="966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1"/>
        <w:gridCol w:w="4114"/>
        <w:gridCol w:w="709"/>
        <w:gridCol w:w="567"/>
        <w:gridCol w:w="1135"/>
        <w:gridCol w:w="1277"/>
        <w:gridCol w:w="1276"/>
      </w:tblGrid>
      <w:tr>
        <w:trPr>
          <w:trHeight w:val="510" w:hRule="atLeast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Един. 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Цена за единицу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Стоимость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 т.ч. НДС</w:t>
            </w:r>
          </w:p>
        </w:tc>
      </w:tr>
      <w:tr>
        <w:trPr>
          <w:trHeight w:val="523" w:hRule="atLeast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</w:rPr>
              <w:t>Индивидуальный рацион питания (типа) ИРП-МЧС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523" w:hRule="atLeast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Индивидуальный рацион питания (типа) ИРП-Ус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8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стоимость: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8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 НДС: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</w:tbl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color w:val="000000"/>
          <w:sz w:val="28"/>
          <w:szCs w:val="28"/>
        </w:rPr>
        <w:t>Сроки проведения работ</w:t>
      </w:r>
    </w:p>
    <w:p>
      <w:pPr>
        <w:pStyle w:val="ListParagraph"/>
        <w:spacing w:before="0" w:after="0"/>
        <w:ind w:firstLine="709" w:left="0" w:right="-2"/>
        <w:contextualSpacing w:val="false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Срок выполнения поставки (работ, услуг):</w:t>
      </w:r>
    </w:p>
    <w:p>
      <w:pPr>
        <w:pStyle w:val="ListParagraph"/>
        <w:spacing w:before="0" w:after="0"/>
        <w:ind w:firstLine="709" w:left="0" w:right="-2"/>
        <w:contextualSpacing w:val="false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Начало -  с даты заключения договора; </w:t>
      </w:r>
    </w:p>
    <w:p>
      <w:pPr>
        <w:pStyle w:val="ListParagraph"/>
        <w:spacing w:before="0" w:after="0"/>
        <w:ind w:firstLine="709" w:left="0" w:right="-2"/>
        <w:contextualSpacing w:val="false"/>
        <w:jc w:val="both"/>
        <w:rPr>
          <w:rFonts w:ascii="Times New Roman" w:hAnsi="Times New Roman"/>
          <w:sz w:val="28"/>
          <w:szCs w:val="28"/>
          <w:lang w:val="en-US"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Окончание до 31.12.202</w:t>
      </w:r>
      <w:r>
        <w:rPr>
          <w:rFonts w:ascii="Times New Roman" w:hAnsi="Times New Roman"/>
          <w:sz w:val="28"/>
          <w:szCs w:val="28"/>
          <w:lang w:val="en-US" w:eastAsia="ru-RU"/>
        </w:rPr>
        <w:t>6</w:t>
      </w:r>
    </w:p>
    <w:p>
      <w:pPr>
        <w:pStyle w:val="Normal"/>
        <w:ind w:firstLine="709" w:right="-2"/>
        <w:jc w:val="both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Иные условия оказания услуг по поставке</w:t>
      </w:r>
    </w:p>
    <w:p>
      <w:pPr>
        <w:pStyle w:val="Heading4"/>
        <w:keepLines w:val="false"/>
        <w:numPr>
          <w:ilvl w:val="0"/>
          <w:numId w:val="0"/>
        </w:numPr>
        <w:suppressAutoHyphens w:val="true"/>
        <w:spacing w:before="120" w:after="60"/>
        <w:ind w:firstLine="709" w:left="0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olor w:val="000000"/>
          <w:sz w:val="28"/>
          <w:szCs w:val="28"/>
        </w:rPr>
        <w:t xml:space="preserve">Поставка индивидуальных рационов питания для ЗС ГО Филиала производится в соответствии с Спецификацией, т.е. поставляется в такой готовности, которая позволяет использовать и начать использование без приобретения дополнительных приборов, при этом срок годности и комплектности должны соответствовать ГОСТу или ОСТу. </w:t>
      </w:r>
    </w:p>
    <w:p>
      <w:pPr>
        <w:pStyle w:val="Normal"/>
        <w:ind w:left="644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Требования к поставщику (подрядчику, исполнителю)</w:t>
      </w:r>
    </w:p>
    <w:p>
      <w:pPr>
        <w:pStyle w:val="Normal"/>
        <w:ind w:left="644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 Организации - Поставщики, обладающие гражданской правоспособностью для заключения договора.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 Организации - Поставщики, не являющиеся банкротом, не находящиеся в процессе ликвидации, на имущество в части касающейся существенной для исполнения договора не должен быть наложен арест, его экономическая деятельность не должна быть приостановлена.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 Организации – Поставщики, не имеющие задолженности и претензий перед Заказчиком (по поставкам в срок, не допоставки, пересортицы), по предыдущим поставкам и договорам.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 Организации – Поставщики, имеющие опыт работы по поставке аналогичной продукции.</w:t>
      </w:r>
    </w:p>
    <w:p>
      <w:pPr>
        <w:pStyle w:val="Normal"/>
        <w:ind w:left="6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Требования к договорным условиям </w:t>
      </w:r>
    </w:p>
    <w:p>
      <w:pPr>
        <w:pStyle w:val="Normal"/>
        <w:ind w:left="644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Требования к документации по ценообразованию</w:t>
      </w:r>
    </w:p>
    <w:p>
      <w:pPr>
        <w:pStyle w:val="Normal"/>
        <w:ind w:left="644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Иные требования и условия </w:t>
      </w:r>
    </w:p>
    <w:p>
      <w:pPr>
        <w:pStyle w:val="Heading4"/>
        <w:keepLines w:val="false"/>
        <w:numPr>
          <w:ilvl w:val="0"/>
          <w:numId w:val="0"/>
        </w:numPr>
        <w:suppressAutoHyphens w:val="true"/>
        <w:spacing w:before="120" w:after="60"/>
        <w:ind w:firstLine="709" w:left="0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olor w:val="000000"/>
          <w:sz w:val="28"/>
          <w:szCs w:val="28"/>
        </w:rPr>
        <w:t>Исполнителю допускается предусмотреть включение до 3% от общей стоимости затраты на непредвиденные расходы. На основании вышеуказанного Заказчик исключает при исполнении контракта заключение дополнительных соглашений на увеличение объёмов поставки.</w:t>
      </w:r>
      <w:r>
        <w:rPr>
          <w:rFonts w:cs="Times New Roman" w:ascii="Times New Roman" w:hAnsi="Times New Roman"/>
          <w:b w:val="false"/>
          <w:color w:val="000000"/>
          <w:sz w:val="28"/>
          <w:szCs w:val="28"/>
        </w:rPr>
        <w:t xml:space="preserve"> </w:t>
      </w:r>
    </w:p>
    <w:p>
      <w:pPr>
        <w:pStyle w:val="12"/>
        <w:tabs>
          <w:tab w:val="clear" w:pos="2160"/>
        </w:tabs>
        <w:ind w:hanging="0" w:left="0"/>
        <w:rPr/>
      </w:pPr>
      <w:r>
        <w:rPr/>
        <w:t>Предоставить подробную смету затрат с детальной разбивкой:</w:t>
      </w:r>
    </w:p>
    <w:p>
      <w:pPr>
        <w:pStyle w:val="12"/>
        <w:tabs>
          <w:tab w:val="clear" w:pos="2160"/>
        </w:tabs>
        <w:ind w:hanging="0" w:left="1140"/>
        <w:rPr/>
      </w:pPr>
      <w:r>
        <w:rPr/>
        <w:t>-  Стоимость оборудования СИЗ по каждому виду;</w:t>
      </w:r>
    </w:p>
    <w:p>
      <w:pPr>
        <w:pStyle w:val="12"/>
        <w:tabs>
          <w:tab w:val="clear" w:pos="2160"/>
        </w:tabs>
        <w:ind w:hanging="0" w:left="1140"/>
        <w:rPr/>
      </w:pPr>
      <w:r>
        <w:rPr/>
        <w:t>-  Стоимость транспортировки;</w:t>
      </w:r>
    </w:p>
    <w:p>
      <w:pPr>
        <w:pStyle w:val="12"/>
        <w:tabs>
          <w:tab w:val="clear" w:pos="2160"/>
        </w:tabs>
        <w:ind w:hanging="0" w:left="1140"/>
        <w:rPr/>
      </w:pPr>
      <w:r>
        <w:rPr/>
        <w:t>-  Стоимость непредвиденных расходов.</w:t>
      </w:r>
    </w:p>
    <w:p>
      <w:pPr>
        <w:pStyle w:val="Heading4"/>
        <w:keepLines w:val="false"/>
        <w:numPr>
          <w:ilvl w:val="0"/>
          <w:numId w:val="0"/>
        </w:numPr>
        <w:suppressAutoHyphens w:val="true"/>
        <w:spacing w:beforeAutospacing="1" w:afterAutospacing="1"/>
        <w:ind w:firstLine="709" w:left="0"/>
        <w:contextualSpacing/>
        <w:jc w:val="both"/>
        <w:rPr/>
      </w:pPr>
      <w:r>
        <w:rPr>
          <w:rFonts w:cs="Times New Roman" w:ascii="Times New Roman" w:hAnsi="Times New Roman"/>
          <w:b w:val="false"/>
          <w:i w:val="false"/>
          <w:color w:val="000000"/>
          <w:sz w:val="28"/>
          <w:szCs w:val="28"/>
        </w:rPr>
        <w:t xml:space="preserve">Авансовый платеж в размере не более 30% от Цены Договора. Оплата Общей стоимости производится Покупателем с учетом авансового платежа в течение 30 (Тридцати) календарных дней с даты подписания акта сдачи-приемки товара, товарной накладной унифицированной формы ТОРГ-12 на поставленную Продукцию на основании счета, </w:t>
      </w:r>
      <w:r>
        <w:rPr>
          <w:rFonts w:cs="Times New Roman" w:ascii="Times New Roman" w:hAnsi="Times New Roman"/>
          <w:b w:val="false"/>
          <w:i w:val="false"/>
          <w:color w:val="auto"/>
          <w:sz w:val="28"/>
          <w:szCs w:val="28"/>
        </w:rPr>
        <w:t>выставленного</w:t>
      </w:r>
      <w:r>
        <w:rPr>
          <w:color w:val="auto"/>
        </w:rPr>
        <w:t xml:space="preserve"> </w:t>
      </w:r>
      <w:r>
        <w:rPr>
          <w:rFonts w:cs="Times New Roman" w:ascii="Times New Roman" w:hAnsi="Times New Roman"/>
          <w:b w:val="false"/>
          <w:i w:val="false"/>
          <w:color w:val="auto"/>
          <w:sz w:val="28"/>
          <w:szCs w:val="28"/>
        </w:rPr>
        <w:t>Поставщиком.</w:t>
      </w:r>
    </w:p>
    <w:p>
      <w:pPr>
        <w:pStyle w:val="12"/>
        <w:tabs>
          <w:tab w:val="clear" w:pos="2160"/>
        </w:tabs>
        <w:ind w:firstLine="709" w:left="0"/>
        <w:rPr/>
      </w:pPr>
      <w:r>
        <w:rPr/>
        <w:t xml:space="preserve"> </w:t>
      </w:r>
      <w:r>
        <w:rPr>
          <w:bCs/>
        </w:rPr>
        <w:t>Вед. инженер по ГО ЧС                                                    А.М. Махмудов</w:t>
      </w:r>
    </w:p>
    <w:p>
      <w:pPr>
        <w:pStyle w:val="Normal"/>
        <w:spacing w:before="0" w:after="0"/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sectPr>
      <w:type w:val="nextPage"/>
      <w:pgSz w:w="11906" w:h="16838"/>
      <w:pgMar w:left="1701" w:right="926" w:gutter="0" w:header="0" w:top="1135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PT Sans">
    <w:charset w:val="01"/>
    <w:family w:val="swiss"/>
    <w:pitch w:val="variable"/>
  </w:font>
  <w:font w:name="Garamond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140" w:hanging="420"/>
      </w:pPr>
      <w:rPr>
        <w:b w:val="fals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b w:val="fals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b w:val="fals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b w:val="fals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b w:val="fals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b w:val="fals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b w:val="fals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  <w:rPr>
        <w:b w:val="false"/>
      </w:rPr>
    </w:lvl>
  </w:abstractNum>
  <w:abstractNum w:abstractNumId="2">
    <w:lvl w:ilvl="0">
      <w:start w:val="5"/>
      <w:numFmt w:val="decimal"/>
      <w:lvlText w:val="%1."/>
      <w:lvlJc w:val="left"/>
      <w:pPr>
        <w:tabs>
          <w:tab w:val="num" w:pos="0"/>
        </w:tabs>
        <w:ind w:left="644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0" w:hanging="420"/>
      </w:pPr>
      <w:rPr>
        <w:sz w:val="24"/>
        <w:b w:val="false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b w:val="fals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b w:val="fals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b w:val="fals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b w:val="fals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b w:val="fals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b w:val="fals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  <w:rPr>
        <w:b w:val="false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b3d0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1"/>
    <w:uiPriority w:val="9"/>
    <w:qFormat/>
    <w:rsid w:val="00dc13ae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30d7a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090063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4"/>
    <w:unhideWhenUsed/>
    <w:qFormat/>
    <w:rsid w:val="00090063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dc13ae"/>
    <w:pPr>
      <w:keepNext w:val="true"/>
      <w:keepLines/>
      <w:spacing w:before="200" w:after="0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Стиль1 Знак"/>
    <w:link w:val="12"/>
    <w:uiPriority w:val="99"/>
    <w:qFormat/>
    <w:locked/>
    <w:rsid w:val="00eb3d0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Annotationreference">
    <w:name w:val="annotation reference"/>
    <w:qFormat/>
    <w:rsid w:val="00eb3d09"/>
    <w:rPr>
      <w:sz w:val="16"/>
      <w:szCs w:val="16"/>
    </w:rPr>
  </w:style>
  <w:style w:type="character" w:styleId="Style4" w:customStyle="1">
    <w:name w:val="Текст примечания Знак"/>
    <w:basedOn w:val="DefaultParagraphFont"/>
    <w:link w:val="Annotationtext"/>
    <w:qFormat/>
    <w:rsid w:val="00eb3d0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5" w:customStyle="1">
    <w:name w:val="Текст выноски Знак"/>
    <w:basedOn w:val="DefaultParagraphFont"/>
    <w:link w:val="BalloonText"/>
    <w:uiPriority w:val="99"/>
    <w:semiHidden/>
    <w:qFormat/>
    <w:rsid w:val="009146c3"/>
    <w:rPr>
      <w:rFonts w:ascii="Tahoma" w:hAnsi="Tahoma" w:eastAsia="Times New Roman" w:cs="Tahoma"/>
      <w:sz w:val="16"/>
      <w:szCs w:val="16"/>
      <w:lang w:eastAsia="ru-RU"/>
    </w:rPr>
  </w:style>
  <w:style w:type="character" w:styleId="Style6" w:customStyle="1">
    <w:name w:val="Основной текст Знак"/>
    <w:basedOn w:val="DefaultParagraphFont"/>
    <w:qFormat/>
    <w:rsid w:val="00c742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090063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4"/>
      <w:szCs w:val="24"/>
      <w:lang w:eastAsia="ru-RU"/>
    </w:rPr>
  </w:style>
  <w:style w:type="character" w:styleId="4" w:customStyle="1">
    <w:name w:val="Заголовок 4 Знак"/>
    <w:basedOn w:val="DefaultParagraphFont"/>
    <w:qFormat/>
    <w:rsid w:val="00090063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sz w:val="24"/>
      <w:szCs w:val="24"/>
      <w:lang w:eastAsia="ru-RU"/>
    </w:rPr>
  </w:style>
  <w:style w:type="character" w:styleId="Style7" w:customStyle="1">
    <w:name w:val="Текст сноски Знак"/>
    <w:basedOn w:val="DefaultParagraphFont"/>
    <w:uiPriority w:val="99"/>
    <w:semiHidden/>
    <w:qFormat/>
    <w:rsid w:val="00e614ff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8">
    <w:name w:val="Символ сноски"/>
    <w:uiPriority w:val="99"/>
    <w:semiHidden/>
    <w:unhideWhenUsed/>
    <w:qFormat/>
    <w:rsid w:val="00e614ff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2" w:customStyle="1">
    <w:name w:val="Заголовок 2 Знак"/>
    <w:basedOn w:val="DefaultParagraphFont"/>
    <w:semiHidden/>
    <w:qFormat/>
    <w:rsid w:val="00830d7a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05ab9"/>
    <w:rPr>
      <w:color w:val="0000FF"/>
      <w:u w:val="single"/>
    </w:rPr>
  </w:style>
  <w:style w:type="character" w:styleId="11" w:customStyle="1">
    <w:name w:val="Заголовок 1 Знак"/>
    <w:basedOn w:val="DefaultParagraphFont"/>
    <w:uiPriority w:val="9"/>
    <w:qFormat/>
    <w:rsid w:val="00dc13ae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9" w:customStyle="1">
    <w:name w:val="Заголовок 9 Знак"/>
    <w:basedOn w:val="DefaultParagraphFont"/>
    <w:uiPriority w:val="9"/>
    <w:semiHidden/>
    <w:qFormat/>
    <w:rsid w:val="00dc13ae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ed36b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ed36b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1" w:customStyle="1">
    <w:name w:val="Тема примечания Знак"/>
    <w:basedOn w:val="Style4"/>
    <w:link w:val="Annotationsubject"/>
    <w:uiPriority w:val="99"/>
    <w:semiHidden/>
    <w:qFormat/>
    <w:rsid w:val="00961cbb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Contentnews" w:customStyle="1">
    <w:name w:val="contentnews"/>
    <w:basedOn w:val="DefaultParagraphFont"/>
    <w:qFormat/>
    <w:rsid w:val="00d76e31"/>
    <w:rPr/>
  </w:style>
  <w:style w:type="character" w:styleId="FontStyle14" w:customStyle="1">
    <w:name w:val="Font Style14"/>
    <w:uiPriority w:val="99"/>
    <w:qFormat/>
    <w:rsid w:val="009c0596"/>
    <w:rPr>
      <w:rFonts w:ascii="Times New Roman" w:hAnsi="Times New Roman" w:cs="Times New Roman"/>
      <w:sz w:val="24"/>
      <w:szCs w:val="24"/>
    </w:rPr>
  </w:style>
  <w:style w:type="character" w:styleId="Style12" w:customStyle="1">
    <w:name w:val="Основной текст с отступом Знак"/>
    <w:basedOn w:val="DefaultParagraphFont"/>
    <w:uiPriority w:val="99"/>
    <w:semiHidden/>
    <w:qFormat/>
    <w:rsid w:val="0079169b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c74245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eb3d09"/>
    <w:pPr>
      <w:spacing w:before="0" w:after="0"/>
      <w:ind w:left="720"/>
      <w:contextualSpacing/>
    </w:pPr>
    <w:rPr>
      <w:rFonts w:ascii="Garamond" w:hAnsi="Garamond"/>
      <w:sz w:val="22"/>
      <w:szCs w:val="20"/>
      <w:lang w:eastAsia="en-US"/>
    </w:rPr>
  </w:style>
  <w:style w:type="paragraph" w:styleId="12" w:customStyle="1">
    <w:name w:val="Стиль1"/>
    <w:link w:val="1"/>
    <w:uiPriority w:val="99"/>
    <w:qFormat/>
    <w:rsid w:val="00eb3d09"/>
    <w:pPr>
      <w:widowControl/>
      <w:tabs>
        <w:tab w:val="clear" w:pos="708"/>
        <w:tab w:val="left" w:pos="2160" w:leader="none"/>
      </w:tabs>
      <w:bidi w:val="0"/>
      <w:spacing w:lineRule="auto" w:line="240" w:before="120" w:after="0"/>
      <w:ind w:hanging="360" w:left="216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paragraph" w:styleId="Annotationtext">
    <w:name w:val="annotation text"/>
    <w:basedOn w:val="Normal"/>
    <w:link w:val="Style4"/>
    <w:qFormat/>
    <w:rsid w:val="00eb3d09"/>
    <w:pPr/>
    <w:rPr>
      <w:sz w:val="20"/>
      <w:szCs w:val="20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9146c3"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Style7"/>
    <w:uiPriority w:val="99"/>
    <w:semiHidden/>
    <w:unhideWhenUsed/>
    <w:rsid w:val="00e614ff"/>
    <w:pPr/>
    <w:rPr>
      <w:rFonts w:eastAsia="Calibri"/>
      <w:sz w:val="20"/>
      <w:szCs w:val="20"/>
    </w:rPr>
  </w:style>
  <w:style w:type="paragraph" w:styleId="BlockText">
    <w:name w:val="Block Text"/>
    <w:basedOn w:val="Normal"/>
    <w:semiHidden/>
    <w:unhideWhenUsed/>
    <w:qFormat/>
    <w:rsid w:val="00b85a4e"/>
    <w:pPr>
      <w:ind w:left="-567" w:right="-766"/>
      <w:jc w:val="center"/>
    </w:pPr>
    <w:rPr>
      <w:b/>
      <w:bCs/>
      <w:szCs w:val="20"/>
    </w:rPr>
  </w:style>
  <w:style w:type="paragraph" w:styleId="ListBullet">
    <w:name w:val="List Bullet"/>
    <w:basedOn w:val="Normal"/>
    <w:autoRedefine/>
    <w:unhideWhenUsed/>
    <w:qFormat/>
    <w:rsid w:val="00ce6bba"/>
    <w:pPr>
      <w:snapToGrid w:val="false"/>
      <w:ind w:left="426"/>
      <w:jc w:val="both"/>
    </w:pPr>
    <w:rPr>
      <w:color w:val="000000"/>
      <w:spacing w:val="-2"/>
      <w:lang w:eastAsia="ar-SA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ed36b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ed36b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subject">
    <w:name w:val="annotation subject"/>
    <w:basedOn w:val="Annotationtext"/>
    <w:next w:val="Annotationtext"/>
    <w:link w:val="Style11"/>
    <w:uiPriority w:val="99"/>
    <w:semiHidden/>
    <w:unhideWhenUsed/>
    <w:qFormat/>
    <w:rsid w:val="00961cbb"/>
    <w:pPr/>
    <w:rPr>
      <w:b/>
      <w:bCs/>
    </w:rPr>
  </w:style>
  <w:style w:type="paragraph" w:styleId="ConsPlusNormal" w:customStyle="1">
    <w:name w:val="ConsPlusNormal"/>
    <w:qFormat/>
    <w:rsid w:val="00ab3c73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uiPriority w:val="99"/>
    <w:qFormat/>
    <w:rsid w:val="00ab3c73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paragraph" w:styleId="NormalWeb">
    <w:name w:val="Normal (Web)"/>
    <w:basedOn w:val="Normal"/>
    <w:uiPriority w:val="99"/>
    <w:unhideWhenUsed/>
    <w:qFormat/>
    <w:rsid w:val="00d76e31"/>
    <w:pPr>
      <w:spacing w:before="0" w:after="240"/>
    </w:pPr>
    <w:rPr/>
  </w:style>
  <w:style w:type="paragraph" w:styleId="Style31" w:customStyle="1">
    <w:name w:val="Style3"/>
    <w:basedOn w:val="Normal"/>
    <w:uiPriority w:val="99"/>
    <w:qFormat/>
    <w:rsid w:val="009c0596"/>
    <w:pPr>
      <w:widowControl w:val="false"/>
      <w:spacing w:lineRule="exact" w:line="312"/>
      <w:jc w:val="center"/>
    </w:pPr>
    <w:rPr/>
  </w:style>
  <w:style w:type="paragraph" w:styleId="BodyTextIndent">
    <w:name w:val="Body Text Indent"/>
    <w:basedOn w:val="Normal"/>
    <w:link w:val="Style12"/>
    <w:uiPriority w:val="99"/>
    <w:semiHidden/>
    <w:unhideWhenUsed/>
    <w:rsid w:val="0079169b"/>
    <w:pPr>
      <w:spacing w:before="0" w:after="120"/>
      <w:ind w:left="283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uiPriority w:val="59"/>
    <w:rsid w:val="00791003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af1">
    <w:name w:val="Table Grid"/>
    <w:basedOn w:val="a1"/>
    <w:uiPriority w:val="59"/>
    <w:rsid w:val="0079100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B706C-0AED-4F84-AD58-2D7B116B8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AlterOffice/2026.2.0.0$Linux_X86_64 LibreOffice_project/bc4ef1adf80b36c7a6365f8ed6cbf29021361edd</Application>
  <AppVersion>15.0000</AppVersion>
  <Pages>4</Pages>
  <Words>778</Words>
  <Characters>5390</Characters>
  <CharactersWithSpaces>6165</CharactersWithSpaces>
  <Paragraphs>71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2026-04-15T13:33:00Z</dcterms:created>
  <dc:creator>Магомедова Касират Гаджиевна</dc:creator>
  <dc:description/>
  <dc:language>ru-RU</dc:language>
  <cp:lastModifiedBy>mahmudovam@corp.gidroogk.com</cp:lastModifiedBy>
  <cp:lastPrinted>2015-07-07T13:28:00Z</cp:lastPrinted>
  <dcterms:modified xsi:type="dcterms:W3CDTF">2026-10-22T13:38:39Z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