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hd w:val="clear" w:color="auto" w:fill="FFFFFF"/>
        <w:tabs>
          <w:tab w:val="clear" w:pos="708"/>
          <w:tab w:val="left" w:pos="6926" w:leader="none"/>
        </w:tabs>
        <w:spacing w:lineRule="auto" w:line="240" w:before="0" w:after="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shd w:val="clear" w:color="auto" w:fill="FFFFFF"/>
        <w:tabs>
          <w:tab w:val="clear" w:pos="708"/>
          <w:tab w:val="left" w:pos="6926" w:leader="none"/>
        </w:tabs>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bCs/>
          <w:color w:val="000000"/>
          <w:sz w:val="24"/>
          <w:szCs w:val="24"/>
          <w:lang w:eastAsia="ru-RU"/>
        </w:rPr>
        <w:t>Договор поставки № 70-ЭКСП-БПД-2026-ДФ</w:t>
      </w:r>
    </w:p>
    <w:p>
      <w:pPr>
        <w:pStyle w:val="Normal"/>
        <w:widowControl w:val="false"/>
        <w:shd w:val="clear" w:color="auto" w:fill="FFFFFF"/>
        <w:spacing w:lineRule="auto" w:line="240" w:before="0" w:after="0"/>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shd w:val="clear" w:color="auto" w:fill="FFFFFF"/>
        <w:spacing w:lineRule="auto" w:line="240" w:before="0" w:after="0"/>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г. Каспийск</w:t>
        <w:tab/>
        <w:tab/>
        <w:t xml:space="preserve"> </w:t>
        <w:tab/>
        <w:tab/>
        <w:tab/>
        <w:tab/>
        <w:tab/>
        <w:t xml:space="preserve">            «____» _________ 2026 г.</w:t>
      </w:r>
    </w:p>
    <w:p>
      <w:pPr>
        <w:pStyle w:val="Normal"/>
        <w:widowControl w:val="false"/>
        <w:shd w:val="clear" w:color="auto" w:fill="FFFFFF"/>
        <w:tabs>
          <w:tab w:val="clear" w:pos="708"/>
          <w:tab w:val="right" w:pos="9639" w:leader="none"/>
        </w:tabs>
        <w:spacing w:lineRule="auto" w:line="240" w:before="0" w:after="0"/>
        <w:jc w:val="right"/>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r>
    </w:p>
    <w:p>
      <w:pPr>
        <w:pStyle w:val="Normal"/>
        <w:widowControl w:val="false"/>
        <w:shd w:val="clear" w:color="auto" w:fill="FFFFFF"/>
        <w:tabs>
          <w:tab w:val="clear" w:pos="708"/>
          <w:tab w:val="right" w:pos="9639" w:leader="none"/>
        </w:tabs>
        <w:spacing w:lineRule="auto" w:line="240" w:before="0" w:after="0"/>
        <w:ind w:firstLine="709"/>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r>
    </w:p>
    <w:p>
      <w:pPr>
        <w:pStyle w:val="Normal"/>
        <w:widowControl w:val="false"/>
        <w:spacing w:lineRule="auto" w:line="240" w:before="0" w:after="0"/>
        <w:ind w:firstLine="709"/>
        <w:jc w:val="both"/>
        <w:rPr>
          <w:rFonts w:ascii="Times New Roman" w:hAnsi="Times New Roman" w:eastAsia="Times New Roman"/>
          <w:sz w:val="24"/>
          <w:szCs w:val="24"/>
          <w:lang w:val="x-none" w:eastAsia="x-none"/>
        </w:rPr>
      </w:pPr>
      <w:r>
        <w:rPr>
          <w:rFonts w:eastAsia="Times New Roman" w:ascii="Times New Roman" w:hAnsi="Times New Roman"/>
          <w:b/>
          <w:spacing w:val="-1"/>
          <w:sz w:val="24"/>
          <w:szCs w:val="24"/>
          <w:lang w:eastAsia="x-none"/>
        </w:rPr>
        <w:t>Публичное</w:t>
      </w:r>
      <w:r>
        <w:rPr>
          <w:rFonts w:eastAsia="Times New Roman" w:ascii="Times New Roman" w:hAnsi="Times New Roman"/>
          <w:b/>
          <w:spacing w:val="-1"/>
          <w:sz w:val="24"/>
          <w:szCs w:val="24"/>
          <w:lang w:val="x-none" w:eastAsia="x-none"/>
        </w:rPr>
        <w:t xml:space="preserve"> акционерное общество «Федеральная гидрогенерирующая компания</w:t>
      </w:r>
      <w:r>
        <w:rPr>
          <w:rFonts w:eastAsia="Times New Roman" w:ascii="Times New Roman" w:hAnsi="Times New Roman"/>
          <w:b/>
          <w:spacing w:val="-1"/>
          <w:sz w:val="24"/>
          <w:szCs w:val="24"/>
          <w:lang w:eastAsia="x-none"/>
        </w:rPr>
        <w:t xml:space="preserve"> - РусГидро</w:t>
      </w:r>
      <w:r>
        <w:rPr>
          <w:rFonts w:eastAsia="Times New Roman" w:ascii="Times New Roman" w:hAnsi="Times New Roman"/>
          <w:b/>
          <w:spacing w:val="-1"/>
          <w:sz w:val="24"/>
          <w:szCs w:val="24"/>
          <w:lang w:val="x-none" w:eastAsia="x-none"/>
        </w:rPr>
        <w:t xml:space="preserve">» </w:t>
      </w:r>
      <w:r>
        <w:rPr>
          <w:rFonts w:eastAsia="Times New Roman" w:ascii="Times New Roman" w:hAnsi="Times New Roman"/>
          <w:spacing w:val="-1"/>
          <w:sz w:val="24"/>
          <w:szCs w:val="24"/>
          <w:lang w:val="x-none" w:eastAsia="x-none"/>
        </w:rPr>
        <w:t>(</w:t>
      </w:r>
      <w:r>
        <w:rPr>
          <w:rFonts w:eastAsia="Times New Roman" w:ascii="Times New Roman" w:hAnsi="Times New Roman"/>
          <w:spacing w:val="-1"/>
          <w:sz w:val="24"/>
          <w:szCs w:val="24"/>
          <w:lang w:eastAsia="x-none"/>
        </w:rPr>
        <w:t>П</w:t>
      </w:r>
      <w:r>
        <w:rPr>
          <w:rFonts w:eastAsia="Times New Roman" w:ascii="Times New Roman" w:hAnsi="Times New Roman"/>
          <w:spacing w:val="-1"/>
          <w:sz w:val="24"/>
          <w:szCs w:val="24"/>
          <w:lang w:val="x-none" w:eastAsia="x-none"/>
        </w:rPr>
        <w:t>АО «РусГидро»)</w:t>
      </w:r>
      <w:r>
        <w:rPr>
          <w:rFonts w:eastAsia="Times New Roman" w:ascii="Times New Roman" w:hAnsi="Times New Roman"/>
          <w:sz w:val="24"/>
          <w:szCs w:val="24"/>
          <w:lang w:val="x-none" w:eastAsia="x-none"/>
        </w:rPr>
        <w:t xml:space="preserve"> (далее – «</w:t>
      </w:r>
      <w:r>
        <w:rPr>
          <w:rFonts w:eastAsia="Times New Roman" w:ascii="Times New Roman" w:hAnsi="Times New Roman"/>
          <w:sz w:val="24"/>
          <w:szCs w:val="24"/>
          <w:lang w:eastAsia="x-none"/>
        </w:rPr>
        <w:t>Покупатель</w:t>
      </w:r>
      <w:r>
        <w:rPr>
          <w:rFonts w:eastAsia="Times New Roman" w:ascii="Times New Roman" w:hAnsi="Times New Roman"/>
          <w:sz w:val="24"/>
          <w:szCs w:val="24"/>
          <w:lang w:val="x-none" w:eastAsia="x-none"/>
        </w:rPr>
        <w:t>»)</w:t>
      </w:r>
      <w:r>
        <w:rPr>
          <w:rFonts w:eastAsia="Times New Roman" w:ascii="Times New Roman" w:hAnsi="Times New Roman"/>
          <w:sz w:val="24"/>
          <w:szCs w:val="24"/>
          <w:lang w:eastAsia="x-none"/>
        </w:rPr>
        <w:t>,</w:t>
      </w:r>
      <w:r>
        <w:rPr>
          <w:rFonts w:eastAsia="Times New Roman" w:ascii="Times New Roman" w:hAnsi="Times New Roman"/>
          <w:sz w:val="24"/>
          <w:szCs w:val="24"/>
          <w:lang w:val="x-none" w:eastAsia="x-none"/>
        </w:rPr>
        <w:t xml:space="preserve"> </w:t>
      </w:r>
      <w:r>
        <w:rPr>
          <w:rFonts w:eastAsia="Times New Roman" w:ascii="Times New Roman" w:hAnsi="Times New Roman"/>
          <w:sz w:val="24"/>
          <w:szCs w:val="24"/>
          <w:lang w:eastAsia="ru-RU"/>
        </w:rPr>
        <w:t xml:space="preserve">в лице директора филиала ПАО «РусГидро» - «Дагестанский филиал» Гамзатова Тимура Гамзатовича, действующего на основании доверенности 841cda82-f0cd-4a5e-bec1-c88020f9010b от 19.08.2024,, </w:t>
      </w:r>
      <w:r>
        <w:rPr>
          <w:rFonts w:eastAsia="Times New Roman" w:ascii="Times New Roman" w:hAnsi="Times New Roman"/>
          <w:sz w:val="24"/>
          <w:szCs w:val="24"/>
          <w:lang w:val="x-none" w:eastAsia="x-none"/>
        </w:rPr>
        <w:t xml:space="preserve">с одной стороны, </w:t>
      </w:r>
      <w:r>
        <w:rPr>
          <w:rFonts w:eastAsia="Times New Roman" w:ascii="Times New Roman" w:hAnsi="Times New Roman"/>
          <w:sz w:val="24"/>
          <w:szCs w:val="24"/>
          <w:lang w:eastAsia="ru-RU"/>
        </w:rPr>
        <w:t xml:space="preserve">и </w:t>
      </w:r>
      <w:r>
        <w:rPr>
          <w:rFonts w:eastAsia="Times New Roman" w:ascii="Times New Roman" w:hAnsi="Times New Roman"/>
          <w:b/>
          <w:sz w:val="24"/>
          <w:szCs w:val="24"/>
          <w:lang w:eastAsia="ru-RU"/>
        </w:rPr>
        <w:t>ХХХ «ххх» (ООО «ххх»)</w:t>
      </w:r>
      <w:r>
        <w:rPr>
          <w:rFonts w:eastAsia="Times New Roman" w:ascii="Times New Roman" w:hAnsi="Times New Roman"/>
          <w:sz w:val="24"/>
          <w:szCs w:val="24"/>
          <w:lang w:eastAsia="ru-RU"/>
        </w:rPr>
        <w:t>, именуемое в дальнейшем «Поставщик», в лице Генерального ааа, действующего на основании Устава</w:t>
      </w:r>
      <w:r>
        <w:rPr>
          <w:rFonts w:eastAsia="Times New Roman" w:ascii="Times New Roman" w:hAnsi="Times New Roman"/>
          <w:sz w:val="24"/>
          <w:szCs w:val="24"/>
          <w:lang w:val="x-none" w:eastAsia="x-none"/>
        </w:rPr>
        <w:t xml:space="preserve">, с другой стороны, совместно в дальнейшем именуемые «Стороны», а по отдельности – «Сторона», заключили настоящий договор (далее – </w:t>
      </w:r>
      <w:r>
        <w:rPr>
          <w:rFonts w:eastAsia="Times New Roman" w:ascii="Times New Roman" w:hAnsi="Times New Roman"/>
          <w:sz w:val="24"/>
          <w:szCs w:val="24"/>
          <w:lang w:eastAsia="x-none"/>
        </w:rPr>
        <w:t>«</w:t>
      </w:r>
      <w:r>
        <w:rPr>
          <w:rFonts w:eastAsia="Times New Roman" w:ascii="Times New Roman" w:hAnsi="Times New Roman"/>
          <w:sz w:val="24"/>
          <w:szCs w:val="24"/>
          <w:lang w:val="x-none" w:eastAsia="x-none"/>
        </w:rPr>
        <w:t>Договор</w:t>
      </w:r>
      <w:r>
        <w:rPr>
          <w:rFonts w:eastAsia="Times New Roman" w:ascii="Times New Roman" w:hAnsi="Times New Roman"/>
          <w:sz w:val="24"/>
          <w:szCs w:val="24"/>
          <w:lang w:eastAsia="x-none"/>
        </w:rPr>
        <w:t>»</w:t>
      </w:r>
      <w:r>
        <w:rPr>
          <w:rFonts w:eastAsia="Times New Roman" w:ascii="Times New Roman" w:hAnsi="Times New Roman"/>
          <w:sz w:val="24"/>
          <w:szCs w:val="24"/>
          <w:lang w:val="x-none" w:eastAsia="x-none"/>
        </w:rPr>
        <w:t>) о нижеследующем:</w:t>
      </w:r>
    </w:p>
    <w:p>
      <w:pPr>
        <w:pStyle w:val="Normal"/>
        <w:widowControl w:val="false"/>
        <w:shd w:val="clear" w:color="auto" w:fill="FFFFFF"/>
        <w:spacing w:lineRule="auto" w:line="240" w:before="0" w:after="0"/>
        <w:ind w:firstLine="709"/>
        <w:rPr>
          <w:rFonts w:ascii="Times New Roman" w:hAnsi="Times New Roman" w:eastAsia="Times New Roman"/>
          <w:bCs/>
          <w:color w:val="000000"/>
          <w:sz w:val="24"/>
          <w:szCs w:val="24"/>
          <w:lang w:val="x-none" w:eastAsia="ru-RU"/>
        </w:rPr>
      </w:pPr>
      <w:r>
        <w:rPr>
          <w:rFonts w:eastAsia="Times New Roman" w:ascii="Times New Roman" w:hAnsi="Times New Roman"/>
          <w:bCs/>
          <w:color w:val="000000"/>
          <w:sz w:val="24"/>
          <w:szCs w:val="24"/>
          <w:lang w:val="x-none"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Предмет Договора</w:t>
      </w:r>
    </w:p>
    <w:p>
      <w:pPr>
        <w:pStyle w:val="Normal"/>
        <w:widowControl w:val="false"/>
        <w:shd w:val="clear" w:color="auto" w:fill="FFFFFF"/>
        <w:spacing w:lineRule="auto" w:line="240" w:before="0" w:after="0"/>
        <w:ind w:firstLine="709"/>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numPr>
          <w:ilvl w:val="1"/>
          <w:numId w:val="2"/>
        </w:numPr>
        <w:shd w:val="clear" w:color="auto" w:fill="FFFFFF"/>
        <w:tabs>
          <w:tab w:val="clear" w:pos="708"/>
        </w:tabs>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Поставщик обязуется в порядке и в сроки, установленные Договором, передать Покупателю, а Покупатель обязуется принять и оплатить </w:t>
      </w:r>
      <w:r>
        <w:rPr>
          <w:rFonts w:eastAsia="Times New Roman" w:ascii="Times New Roman" w:hAnsi="Times New Roman"/>
          <w:b/>
          <w:bCs/>
          <w:color w:val="000000"/>
          <w:sz w:val="24"/>
          <w:szCs w:val="24"/>
          <w:lang w:eastAsia="ru-RU"/>
        </w:rPr>
        <w:t xml:space="preserve">поставку </w:t>
      </w:r>
      <w:r>
        <w:rPr>
          <w:rFonts w:eastAsia="Times New Roman" w:ascii="Times New Roman" w:hAnsi="Times New Roman"/>
          <w:bCs/>
          <w:color w:val="000000"/>
          <w:sz w:val="24"/>
          <w:szCs w:val="24"/>
          <w:lang w:eastAsia="ru-RU"/>
        </w:rPr>
        <w:t>материалов, оборудования и запчастей ГО и ЧС для ликвидации аварийного разлива нефти и нефтепродуктов на территории объектов</w:t>
      </w:r>
      <w:r>
        <w:rPr>
          <w:rFonts w:eastAsia="Times New Roman" w:ascii="Times New Roman" w:hAnsi="Times New Roman"/>
          <w:b/>
          <w:bCs/>
          <w:color w:val="000000"/>
          <w:sz w:val="24"/>
          <w:szCs w:val="24"/>
          <w:lang w:eastAsia="ru-RU"/>
        </w:rPr>
        <w:t xml:space="preserve"> Ф</w:t>
      </w:r>
      <w:r>
        <w:rPr>
          <w:rFonts w:eastAsia="Times New Roman" w:ascii="Times New Roman" w:hAnsi="Times New Roman"/>
          <w:bCs/>
          <w:color w:val="000000"/>
          <w:sz w:val="24"/>
          <w:szCs w:val="24"/>
          <w:lang w:eastAsia="ru-RU"/>
        </w:rPr>
        <w:t>илиала ПАО «РусГидро»-</w:t>
      </w:r>
      <w:r>
        <w:rPr>
          <w:rFonts w:eastAsia="Times New Roman" w:ascii="Times New Roman" w:hAnsi="Times New Roman"/>
          <w:bCs/>
          <w:sz w:val="24"/>
          <w:szCs w:val="24"/>
          <w:lang w:eastAsia="ru-RU"/>
        </w:rPr>
        <w:t>«Дагестанский филиал»</w:t>
      </w:r>
      <w:r>
        <w:rPr>
          <w:rFonts w:eastAsia="Times New Roman" w:ascii="Times New Roman" w:hAnsi="Times New Roman"/>
          <w:bCs/>
          <w:color w:val="000000"/>
          <w:sz w:val="24"/>
          <w:szCs w:val="24"/>
          <w:lang w:eastAsia="ru-RU"/>
        </w:rPr>
        <w:t xml:space="preserve"> в соответствии со Спецификацией (Приложение №1) (далее – «Товар»).</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Поставка Товара выполняется для нужд </w:t>
      </w:r>
      <w:r>
        <w:rPr>
          <w:rFonts w:eastAsia="Times New Roman" w:ascii="Times New Roman" w:hAnsi="Times New Roman"/>
          <w:bCs/>
          <w:sz w:val="24"/>
          <w:szCs w:val="24"/>
          <w:lang w:eastAsia="ru-RU"/>
        </w:rPr>
        <w:t>филиала ПАО «РусГидро» - «Дагестанский филиал».</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Место поставки: 368300 </w:t>
      </w:r>
      <w:r>
        <w:rPr>
          <w:rFonts w:eastAsia="Times New Roman" w:ascii="Times New Roman" w:hAnsi="Times New Roman"/>
          <w:sz w:val="24"/>
          <w:szCs w:val="16"/>
          <w:lang w:eastAsia="ru-RU"/>
        </w:rPr>
        <w:t xml:space="preserve">РД, г. Каспийск, ул. Халилова, д 5 </w:t>
      </w:r>
      <w:r>
        <w:rPr>
          <w:rFonts w:eastAsia="Times New Roman" w:ascii="Times New Roman" w:hAnsi="Times New Roman"/>
          <w:bCs/>
          <w:color w:val="000000"/>
          <w:sz w:val="24"/>
          <w:szCs w:val="24"/>
          <w:lang w:eastAsia="ru-RU"/>
        </w:rPr>
        <w:t>(далее – «Место поставки»).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Срок поставки: </w:t>
      </w:r>
      <w:r>
        <w:rPr>
          <w:rFonts w:eastAsia="Times New Roman" w:ascii="Times New Roman" w:hAnsi="Times New Roman"/>
          <w:sz w:val="24"/>
          <w:szCs w:val="24"/>
          <w:lang w:eastAsia="ru-RU"/>
        </w:rPr>
        <w:t xml:space="preserve">с даты подписания Договора </w:t>
      </w:r>
      <w:r>
        <w:rPr>
          <w:rFonts w:eastAsia="Times New Roman" w:ascii="Times New Roman" w:hAnsi="Times New Roman"/>
          <w:bCs/>
          <w:color w:val="000000"/>
          <w:sz w:val="24"/>
          <w:szCs w:val="24"/>
          <w:lang w:eastAsia="ru-RU"/>
        </w:rPr>
        <w:t>в течение 60 календарных дней с момента получения авансового платежа от Покупателя</w:t>
      </w:r>
      <w:r>
        <w:rPr>
          <w:rFonts w:eastAsia="Times New Roman" w:ascii="Times New Roman" w:hAnsi="Times New Roman"/>
          <w:sz w:val="24"/>
          <w:szCs w:val="24"/>
          <w:lang w:eastAsia="ru-RU"/>
        </w:rPr>
        <w:t>.</w:t>
      </w:r>
    </w:p>
    <w:p>
      <w:pPr>
        <w:pStyle w:val="Normal"/>
        <w:widowControl w:val="false"/>
        <w:shd w:val="clear" w:color="auto" w:fill="FFFFFF"/>
        <w:tabs>
          <w:tab w:val="clear" w:pos="708"/>
          <w:tab w:val="left" w:pos="540" w:leader="none"/>
        </w:tabs>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Цена Договора и порядок оплаты</w:t>
      </w:r>
    </w:p>
    <w:p>
      <w:pPr>
        <w:pStyle w:val="Normal"/>
        <w:widowControl w:val="false"/>
        <w:shd w:val="clear" w:color="auto" w:fill="FFFFFF"/>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tabs>
          <w:tab w:val="clear" w:pos="708"/>
        </w:tabs>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 </w:t>
      </w:r>
      <w:r>
        <w:rPr>
          <w:rFonts w:eastAsia="Times New Roman" w:ascii="Times New Roman" w:hAnsi="Times New Roman"/>
          <w:bCs/>
          <w:color w:val="000000"/>
          <w:sz w:val="24"/>
          <w:szCs w:val="24"/>
          <w:lang w:eastAsia="ru-RU"/>
        </w:rPr>
        <w:t xml:space="preserve">Общая стоимость Товара (далее – «Цена Договора») составляет   00,00 (аааа рублей 00 копеек, в соответствии с Приложением №1 в Спецификации. В </w:t>
      </w:r>
      <w:r>
        <w:rPr>
          <w:rFonts w:eastAsia="Times New Roman" w:ascii="Times New Roman" w:hAnsi="Times New Roman"/>
          <w:bCs/>
          <w:color w:val="000000"/>
          <w:sz w:val="24"/>
          <w:szCs w:val="24"/>
          <w:lang w:val="en-US" w:eastAsia="ru-RU"/>
        </w:rPr>
        <w:t>том числе</w:t>
      </w:r>
      <w:r>
        <w:rPr>
          <w:rFonts w:eastAsia="Times New Roman" w:ascii="Times New Roman" w:hAnsi="Times New Roman"/>
          <w:bCs/>
          <w:color w:val="000000"/>
          <w:sz w:val="24"/>
          <w:szCs w:val="24"/>
          <w:lang w:eastAsia="ru-RU"/>
        </w:rPr>
        <w:t xml:space="preserve"> НДС </w:t>
      </w:r>
      <w:r>
        <w:rPr>
          <w:rFonts w:eastAsia="Times New Roman" w:ascii="Times New Roman" w:hAnsi="Times New Roman"/>
          <w:bCs/>
          <w:color w:val="000000"/>
          <w:sz w:val="24"/>
          <w:szCs w:val="24"/>
          <w:lang w:val="en-US" w:eastAsia="ru-RU"/>
        </w:rPr>
        <w:t xml:space="preserve">(22%)  </w:t>
      </w:r>
      <w:r>
        <w:rPr>
          <w:rFonts w:eastAsia="Times New Roman" w:ascii="Times New Roman" w:hAnsi="Times New Roman"/>
          <w:bCs/>
          <w:color w:val="000000"/>
          <w:sz w:val="24"/>
          <w:szCs w:val="24"/>
          <w:lang w:eastAsia="ru-RU"/>
        </w:rPr>
        <w:t>00,00 (аааа рублей 00 копеек.</w:t>
      </w:r>
    </w:p>
    <w:p>
      <w:pPr>
        <w:pStyle w:val="Normal"/>
        <w:widowControl w:val="false"/>
        <w:shd w:val="clear" w:color="auto" w:fill="FFFFFF"/>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bCs/>
          <w:sz w:val="24"/>
          <w:szCs w:val="24"/>
          <w:lang w:eastAsia="ru-RU"/>
        </w:rPr>
        <w:t xml:space="preserve">Цена Договора включает в себя прибыль Поставщика, а также расходы Поставщика на производство или приобретение, 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r>
        <w:rPr>
          <w:rFonts w:eastAsia="Times New Roman" w:ascii="Times New Roman" w:hAnsi="Times New Roman"/>
          <w:sz w:val="24"/>
          <w:szCs w:val="24"/>
          <w:lang w:eastAsia="ru-RU"/>
        </w:rPr>
        <w:t xml:space="preserve">подлежащие уплате налоги, сборы и пошлины (в т. ч. по таможенному оформлению, если применимо), </w:t>
      </w:r>
      <w:r>
        <w:rPr>
          <w:rFonts w:eastAsia="Times New Roman" w:ascii="Times New Roman" w:hAnsi="Times New Roman"/>
          <w:bCs/>
          <w:sz w:val="24"/>
          <w:szCs w:val="24"/>
          <w:lang w:eastAsia="ru-RU"/>
        </w:rPr>
        <w:t xml:space="preserve">а также </w:t>
      </w:r>
      <w:r>
        <w:rPr>
          <w:rFonts w:eastAsia="Times New Roman" w:ascii="Times New Roman" w:hAnsi="Times New Roman"/>
          <w:sz w:val="24"/>
          <w:szCs w:val="24"/>
          <w:lang w:eastAsia="ru-RU"/>
        </w:rPr>
        <w:t xml:space="preserve">все прочие затраты и расходы Поставщика, связанные с поставкой Товара и исполнением иных обязательств по Договору.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Стоимость Товара является фиксированной и не подлежит изменению.</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Стоимость отдельных единиц Товара определяется Спецификацией (Приложение №1).</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Оплата по Договору осуществляется Покупателем в следующем порядке:</w:t>
      </w:r>
    </w:p>
    <w:p>
      <w:pPr>
        <w:pStyle w:val="Normal"/>
        <w:widowControl w:val="false"/>
        <w:numPr>
          <w:ilvl w:val="2"/>
          <w:numId w:val="2"/>
        </w:numPr>
        <w:shd w:val="clear" w:color="auto" w:fill="FFFFFF"/>
        <w:tabs>
          <w:tab w:val="clear" w:pos="708"/>
        </w:tabs>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Покупатель уплачивает Поставщику авансовый платеж в размере 100% </w:t>
      </w:r>
      <w:r>
        <w:rPr>
          <w:rFonts w:eastAsia="Times New Roman" w:ascii="Times New Roman" w:hAnsi="Times New Roman"/>
          <w:sz w:val="24"/>
          <w:szCs w:val="24"/>
          <w:lang w:eastAsia="ru-RU"/>
        </w:rPr>
        <w:t>(ста процентов) от</w:t>
      </w:r>
      <w:r>
        <w:rPr>
          <w:rFonts w:eastAsia="Times New Roman" w:ascii="Times New Roman" w:hAnsi="Times New Roman"/>
          <w:bCs/>
          <w:color w:val="000000"/>
          <w:sz w:val="24"/>
          <w:szCs w:val="24"/>
          <w:lang w:eastAsia="ru-RU"/>
        </w:rPr>
        <w:t xml:space="preserve"> Цены Договора</w:t>
      </w:r>
      <w:r>
        <w:rPr>
          <w:rFonts w:eastAsia="Times New Roman" w:ascii="Times New Roman" w:hAnsi="Times New Roman"/>
          <w:sz w:val="24"/>
          <w:szCs w:val="24"/>
          <w:lang w:eastAsia="ru-RU"/>
        </w:rPr>
        <w:t>. Оплата производится в течение 14 (четырнадцати) календарных дней с даты подписания Договора и получения Покупателем счета, выставленного Поставщиком.</w:t>
      </w:r>
    </w:p>
    <w:p>
      <w:pPr>
        <w:pStyle w:val="Normal"/>
        <w:widowControl w:val="false"/>
        <w:numPr>
          <w:ilvl w:val="2"/>
          <w:numId w:val="2"/>
        </w:numPr>
        <w:shd w:val="clear" w:color="auto" w:fill="FFFFFF"/>
        <w:tabs>
          <w:tab w:val="clear" w:pos="708"/>
        </w:tabs>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Покупатель </w:t>
      </w:r>
      <w:r>
        <w:rPr>
          <w:rFonts w:eastAsia="Times New Roman" w:ascii="Times New Roman" w:hAnsi="Times New Roman"/>
          <w:bCs/>
          <w:color w:val="000000" w:themeColor="text1"/>
          <w:sz w:val="24"/>
          <w:szCs w:val="24"/>
          <w:lang w:eastAsia="ru-RU"/>
        </w:rPr>
        <w:t>принимает товар в течение 5 (пяти) календарных</w:t>
      </w:r>
      <w:r>
        <w:rPr>
          <w:rFonts w:eastAsia="Times New Roman" w:ascii="Times New Roman" w:hAnsi="Times New Roman"/>
          <w:bCs/>
          <w:color w:val="70AD47" w:themeColor="accent6"/>
          <w:sz w:val="24"/>
          <w:szCs w:val="24"/>
          <w:lang w:eastAsia="ru-RU"/>
        </w:rPr>
        <w:t xml:space="preserve"> </w:t>
      </w:r>
      <w:r>
        <w:rPr>
          <w:rFonts w:eastAsia="Times New Roman" w:ascii="Times New Roman" w:hAnsi="Times New Roman"/>
          <w:bCs/>
          <w:color w:val="000000"/>
          <w:sz w:val="24"/>
          <w:szCs w:val="24"/>
          <w:lang w:eastAsia="ru-RU"/>
        </w:rPr>
        <w:t>дней в соответствии с Товарной накладной унифицированной формы ТОРГ-12.</w:t>
      </w:r>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Поставщик обязан представить Покупателю счет-фактуру, выставленный в сроки и оформленный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Покупатель принимает товар в течение 5 (пяти) календарных дней в соответствии с Товарной накладной унифицированной формы ТОРГ-12.</w:t>
      </w:r>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bookmarkStart w:id="0" w:name="_Ref372549497"/>
      <w:r>
        <w:rPr>
          <w:rFonts w:eastAsia="Times New Roman" w:ascii="Times New Roman" w:hAnsi="Times New Roman"/>
          <w:sz w:val="24"/>
          <w:szCs w:val="24"/>
          <w:lang w:eastAsia="ru-RU"/>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bookmarkEnd w:id="0"/>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shd w:val="clear" w:color="auto" w:fill="FFFFFF"/>
        <w:spacing w:lineRule="auto" w:line="240" w:before="0" w:after="0"/>
        <w:ind w:firstLine="851"/>
        <w:jc w:val="both"/>
        <w:rPr>
          <w:rFonts w:ascii="Times New Roman" w:hAnsi="Times New Roman" w:eastAsia="Times New Roman"/>
          <w:strike/>
          <w:sz w:val="24"/>
          <w:szCs w:val="24"/>
          <w:lang w:eastAsia="ru-RU"/>
        </w:rPr>
      </w:pPr>
      <w:r>
        <w:rPr>
          <w:rFonts w:eastAsia="Times New Roman" w:ascii="Times New Roman" w:hAnsi="Times New Roman"/>
          <w:sz w:val="24"/>
          <w:szCs w:val="24"/>
          <w:lang w:eastAsia="ru-RU"/>
        </w:rPr>
        <w:t>2.9. По соглашению Сторон допускаются иные формы расчетов, не запрещенные законодательством Российской Федерации.</w:t>
      </w:r>
    </w:p>
    <w:p>
      <w:pPr>
        <w:pStyle w:val="Normal"/>
        <w:widowControl w:val="false"/>
        <w:shd w:val="clear" w:color="auto" w:fill="FFFFFF"/>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Качество, количество и комплектность</w:t>
      </w:r>
    </w:p>
    <w:p>
      <w:pPr>
        <w:pStyle w:val="Normal"/>
        <w:widowControl w:val="false"/>
        <w:shd w:val="clear" w:color="auto" w:fill="FFFFFF"/>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правами третьих лиц не обременен.</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Качество, комплектность, количество и ассортимент поставляемого Товара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 применимым к товарам данного вида.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Одновременно с передачей Товара Поставщик обязан передать Покупателю оригиналы следующих относящихся к нему документов: </w:t>
      </w:r>
    </w:p>
    <w:p>
      <w:pPr>
        <w:pStyle w:val="Normal"/>
        <w:widowControl w:val="false"/>
        <w:numPr>
          <w:ilvl w:val="0"/>
          <w:numId w:val="4"/>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Декларация о соответствии;</w:t>
      </w:r>
    </w:p>
    <w:p>
      <w:pPr>
        <w:pStyle w:val="Normal"/>
        <w:widowControl w:val="false"/>
        <w:numPr>
          <w:ilvl w:val="0"/>
          <w:numId w:val="4"/>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Инструкция по эксплуатации на русском языке в одном экз.;</w:t>
      </w:r>
    </w:p>
    <w:p>
      <w:pPr>
        <w:pStyle w:val="Normal"/>
        <w:widowControl w:val="false"/>
        <w:numPr>
          <w:ilvl w:val="0"/>
          <w:numId w:val="4"/>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Упаковочный лист в одном экз.;</w:t>
      </w:r>
    </w:p>
    <w:p>
      <w:pPr>
        <w:pStyle w:val="Normal"/>
        <w:widowControl w:val="false"/>
        <w:numPr>
          <w:ilvl w:val="0"/>
          <w:numId w:val="3"/>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поставляемого Товара;</w:t>
      </w:r>
    </w:p>
    <w:p>
      <w:pPr>
        <w:pStyle w:val="Normal"/>
        <w:widowControl w:val="false"/>
        <w:numPr>
          <w:ilvl w:val="0"/>
          <w:numId w:val="3"/>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товарно-транспортная накладная формы №1-Т (для учета товарно-материальных ценностей и расчетов за их перевозки) или железнодорожная накладная (форма № ГУ-27) в двух экз.;</w:t>
      </w:r>
    </w:p>
    <w:p>
      <w:pPr>
        <w:pStyle w:val="Normal"/>
        <w:widowControl w:val="false"/>
        <w:numPr>
          <w:ilvl w:val="0"/>
          <w:numId w:val="3"/>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товарная накладная унифицированной формы ТОРГ-12 в двух экз.;</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rFonts w:eastAsia="Times New Roman" w:ascii="Times New Roman" w:hAnsi="Times New Roman"/>
          <w:color w:val="000000"/>
          <w:sz w:val="24"/>
          <w:szCs w:val="24"/>
          <w:lang w:eastAsia="ru-RU"/>
        </w:rPr>
        <w:t>товарно-транспортную накладную формы №1-Т</w:t>
      </w:r>
      <w:r>
        <w:rPr>
          <w:rFonts w:eastAsia="Times New Roman" w:ascii="Times New Roman" w:hAnsi="Times New Roman"/>
          <w:sz w:val="24"/>
          <w:szCs w:val="24"/>
          <w:lang w:eastAsia="ru-RU"/>
        </w:rPr>
        <w:t xml:space="preserve">.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 некомплектности, недопоставке, отсутствии необходимых принадлежностей или документов,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w:t>
      </w:r>
      <w:r>
        <w:rPr>
          <w:rFonts w:eastAsia="Times New Roman" w:ascii="Times New Roman" w:hAnsi="Times New Roman"/>
          <w:color w:val="000000" w:themeColor="text1"/>
          <w:sz w:val="24"/>
          <w:szCs w:val="24"/>
          <w:lang w:eastAsia="ru-RU"/>
        </w:rPr>
        <w:t xml:space="preserve">15 (пятнадцати) </w:t>
      </w:r>
      <w:r>
        <w:rPr>
          <w:rFonts w:eastAsia="Times New Roman" w:ascii="Times New Roman" w:hAnsi="Times New Roman"/>
          <w:sz w:val="24"/>
          <w:szCs w:val="24"/>
          <w:lang w:eastAsia="ru-RU"/>
        </w:rPr>
        <w:t xml:space="preserve">календарных дней с указанной даты представить необходимые комплектующие, документы или принадлежности, что не освобождает Поставщика от ответственности за убытки, причиненные нарушением срока поставки.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Приемка Товара со вскрытием упаковки производится Покупателем в течение </w:t>
      </w:r>
      <w:r>
        <w:rPr>
          <w:rFonts w:eastAsia="Times New Roman" w:ascii="Times New Roman" w:hAnsi="Times New Roman"/>
          <w:color w:val="000000" w:themeColor="text1"/>
          <w:sz w:val="24"/>
          <w:szCs w:val="24"/>
          <w:lang w:eastAsia="ru-RU"/>
        </w:rPr>
        <w:t>5 (пяти) рабочих дней</w:t>
      </w:r>
      <w:r>
        <w:rPr>
          <w:rFonts w:eastAsia="Times New Roman" w:ascii="Times New Roman" w:hAnsi="Times New Roman"/>
          <w:color w:val="70AD47" w:themeColor="accent6"/>
          <w:sz w:val="24"/>
          <w:szCs w:val="24"/>
          <w:lang w:eastAsia="ru-RU"/>
        </w:rPr>
        <w:t xml:space="preserve"> </w:t>
      </w:r>
      <w:r>
        <w:rPr>
          <w:rFonts w:eastAsia="Times New Roman" w:ascii="Times New Roman" w:hAnsi="Times New Roman"/>
          <w:sz w:val="24"/>
          <w:szCs w:val="24"/>
          <w:lang w:eastAsia="ru-RU"/>
        </w:rPr>
        <w:t xml:space="preserve">с даты подписания </w:t>
      </w:r>
      <w:r>
        <w:rPr>
          <w:rFonts w:eastAsia="Times New Roman" w:ascii="Times New Roman" w:hAnsi="Times New Roman"/>
          <w:color w:val="000000"/>
          <w:sz w:val="24"/>
          <w:szCs w:val="24"/>
          <w:lang w:eastAsia="ru-RU"/>
        </w:rPr>
        <w:t>товарно-транспортной накладной по форме №1-Т</w:t>
      </w:r>
      <w:r>
        <w:rPr>
          <w:rFonts w:eastAsia="Times New Roman" w:ascii="Times New Roman" w:hAnsi="Times New Roman"/>
          <w:sz w:val="24"/>
          <w:szCs w:val="24"/>
          <w:lang w:eastAsia="ru-RU"/>
        </w:rPr>
        <w:t xml:space="preserve">. В случае отсутствия замечаний Покупатель подписывает </w:t>
      </w:r>
      <w:r>
        <w:rPr>
          <w:rFonts w:eastAsia="Times New Roman" w:ascii="Times New Roman" w:hAnsi="Times New Roman"/>
          <w:color w:val="000000"/>
          <w:sz w:val="24"/>
          <w:szCs w:val="24"/>
          <w:lang w:eastAsia="ru-RU"/>
        </w:rPr>
        <w:t>товарную накладную унифицированной формы ТОРГ-12</w:t>
      </w:r>
      <w:r>
        <w:rPr>
          <w:rFonts w:eastAsia="Times New Roman" w:ascii="Times New Roman" w:hAnsi="Times New Roman"/>
          <w:sz w:val="24"/>
          <w:szCs w:val="24"/>
          <w:lang w:eastAsia="ru-RU"/>
        </w:rPr>
        <w:t>.</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Товара,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приемки. В акте о выявленных недостатках указываются сроки и способ их устранения (возврат, замена или ремонт Товара).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 невыполнении Поставщиком требований пункта 3.7.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неисполнения Поставщиком обязательств по устранению выявленных недостатков в порядке, предусмотренном п. п. 3.5., 3.7. Договора, Покупатель вправе отказаться от приемки (возвратить) всего или части Товара соответствующей партии, направив письменное уведомление Поставщику. </w:t>
      </w:r>
      <w:r>
        <w:rPr>
          <w:rFonts w:eastAsia="Times New Roman" w:ascii="Times New Roman" w:hAnsi="Times New Roman"/>
          <w:color w:val="000000" w:themeColor="text1"/>
          <w:sz w:val="24"/>
          <w:szCs w:val="24"/>
          <w:lang w:eastAsia="ru-RU"/>
        </w:rPr>
        <w:t>Поставщик не позднее 10 (десяти) рабочих дней с даты уведомления обязан обеспечить вывоз Товара</w:t>
      </w:r>
      <w:r>
        <w:rPr>
          <w:rFonts w:eastAsia="Times New Roman" w:ascii="Times New Roman" w:hAnsi="Times New Roman"/>
          <w:sz w:val="24"/>
          <w:szCs w:val="24"/>
          <w:lang w:eastAsia="ru-RU"/>
        </w:rPr>
        <w:t xml:space="preserve">, от которого отказался Покупатель, возвратить авансовый платеж, а также возместить убытки, причиненные Покупателю ненадлежащим исполнением Договора, в том числе расходы на хранение Товара.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 всем иным вопросам, касающимся приемки Товара,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На Товар устанавливается гарантийный срок, который подлежит исчислению с даты ввода Товара в эксплуатацию, но не более 12 (двенадцати) месяцев с даты подписания Сторонами товарной накладной по форме ТОРГ-12 (далее – «Гарантийный срок»).</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течение Гарантийного срока Поставщик гарантирует соответствие качества Товара требованиям, указанным в Договоре, техническом паспорте Товара, нормативно-технической документации, возможность эксплуатации Товара в соответствии с его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указанных в инструкциях и иных документах, переданных Покупателю.</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 обнаружении в течение Гарантийного срока недостатков Товара Покупатель направляет Поставщику соответствующее письменное уведомление, в котором указывает перечень выявленных недостатков и срок на их устранение.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rFonts w:eastAsia="Times New Roman" w:ascii="Times New Roman" w:hAnsi="Times New Roman"/>
          <w:sz w:val="24"/>
          <w:szCs w:val="24"/>
          <w:lang w:eastAsia="ru-RU"/>
        </w:rPr>
        <w:t>Покупателем в соответствии с п. 3.13. Договора</w:t>
      </w:r>
      <w:bookmarkEnd w:id="1"/>
      <w:bookmarkEnd w:id="2"/>
      <w:r>
        <w:rPr>
          <w:rFonts w:eastAsia="Times New Roman" w:ascii="Times New Roman" w:hAnsi="Times New Roman"/>
          <w:sz w:val="24"/>
          <w:szCs w:val="24"/>
          <w:lang w:eastAsia="ru-RU"/>
        </w:rPr>
        <w:t xml:space="preserve">, путем замены или ремонта Товара. Устранение недостатков путем ремонта Товара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Товара возвратить Покупателю его стоимость в соответствии со Спецификацией (Приложение №1). Вывоз Товара для целей устранения недостатков или утилизации осуществляется Поставщиком.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Если Поставщик не устранит недостатки в срок, установленный согласно п. 3.13.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Гарантийный срок на Товар увеличивается на тот период времени, в течение которого Покупатель не мог эксплуатировать Товар (его часть) вследствие указанных в настоящем разделе недостатков. Гарантийный срок на замененную или отремонтированную единицу Товара устанавливается продолжительностью, указанной в п. 3.11.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Покупатель вправе отказаться от Товара, поставка которого просрочена, и расторгнуть договор, досрочно уведомив Поставщика, при этом потребовав возмещения понесенных убытков.</w:t>
      </w:r>
    </w:p>
    <w:p>
      <w:pPr>
        <w:pStyle w:val="Normal"/>
        <w:widowControl w:val="false"/>
        <w:shd w:val="clear" w:color="auto" w:fill="FFFFFF"/>
        <w:spacing w:lineRule="auto" w:line="240" w:before="0" w:after="0"/>
        <w:ind w:left="709"/>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Тара, упаковка, маркировка</w:t>
      </w:r>
    </w:p>
    <w:p>
      <w:pPr>
        <w:pStyle w:val="Normal"/>
        <w:widowControl w:val="false"/>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Товар должен отгружаться Поставщиком в таре и упаковке, обеспечивающих его полную сохранность от всякого рода повреждений и порчи, с учетом возможных перегрузок и длительного хранения.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Отдельные требования к упаковке и маркировке негабаритных товаров, а также любые другие специальные требования, помимо установленных в п. 4.1. Договора, указываются Сторонами в Спецификации (Приложение № 1).</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Стоимость тары и упаковки включена в Цену Договора. Тара и упаковка возврату не подлежат.</w:t>
      </w:r>
    </w:p>
    <w:p>
      <w:pPr>
        <w:pStyle w:val="Normal"/>
        <w:widowControl w:val="false"/>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Порядок и условия поставки, переход права собственности</w:t>
      </w:r>
    </w:p>
    <w:p>
      <w:pPr>
        <w:pStyle w:val="Normal"/>
        <w:widowControl w:val="false"/>
        <w:shd w:val="clear" w:color="auto" w:fill="FFFFFF"/>
        <w:tabs>
          <w:tab w:val="clear" w:pos="708"/>
          <w:tab w:val="left" w:pos="1190" w:leader="none"/>
        </w:tabs>
        <w:spacing w:lineRule="auto" w:line="240" w:before="0" w:after="0"/>
        <w:ind w:firstLine="709"/>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ListParagraph"/>
        <w:widowControl w:val="false"/>
        <w:numPr>
          <w:ilvl w:val="1"/>
          <w:numId w:val="2"/>
        </w:numPr>
        <w:shd w:val="clear" w:color="auto" w:fill="FFFFFF"/>
        <w:tabs>
          <w:tab w:val="clear" w:pos="708"/>
        </w:tabs>
        <w:spacing w:lineRule="auto" w:line="240" w:before="0" w:after="0"/>
        <w:ind w:firstLine="709" w:left="0"/>
        <w:contextualSpacing/>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Поставка Товара осуществляется в Месте поставки, указанном в п. 1.3.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Досрочная поставка Товара допускается только по предварительному письменному согласию Покупателя.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bookmarkStart w:id="3" w:name="_Ref361396594"/>
      <w:r>
        <w:rPr>
          <w:rFonts w:eastAsia="Times New Roman" w:ascii="Times New Roman" w:hAnsi="Times New Roman"/>
          <w:sz w:val="24"/>
          <w:szCs w:val="24"/>
          <w:lang w:eastAsia="ru-RU"/>
        </w:rPr>
        <w:t>Датой поставки Товара является дата подписания Сторонами Товарной накладной по форме ТОРГ-12.</w:t>
      </w:r>
      <w:bookmarkEnd w:id="3"/>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pPr>
        <w:pStyle w:val="Normal"/>
        <w:widowControl w:val="false"/>
        <w:shd w:val="clear" w:color="auto" w:fill="FFFFFF"/>
        <w:tabs>
          <w:tab w:val="clear" w:pos="708"/>
          <w:tab w:val="left" w:pos="1190" w:leader="none"/>
        </w:tabs>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Ответственность по Договору</w:t>
      </w:r>
    </w:p>
    <w:p>
      <w:pPr>
        <w:pStyle w:val="Normal"/>
        <w:widowControl w:val="false"/>
        <w:shd w:val="clear" w:color="auto" w:fill="FFFFFF"/>
        <w:tabs>
          <w:tab w:val="clear" w:pos="708"/>
          <w:tab w:val="left" w:pos="1190" w:leader="none"/>
        </w:tabs>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нарушения Поставщиком обязательств по поставке Товара, а также в случае несвоевременного устранения его недостатков согласно п. 3.14 Договора, Покупатель вправе потребовать уплаты Поставщиком неустойки в размере 0,1% от Цены Договора за каждый день просрочки.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нарушения Поставщиком обязательств по поставке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не бывший в употреблении Товар, ранее принятый по Договору, и потребовать возврата уплаченных денежных средств.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имеет право требовать от Покупателя уплаты исключительной неустойки в размере 0,1% от несвоевременно оплаченной суммы за каждый день просрочки, но, несмотря на любые иные условия, не более 5 (пяти) % от несвоевременно оплаченной суммы. Неустойка и/или иные штрафные санкции за ненадлежащее исполнение Покупателем обязательств по внесению предварительной оплаты (аванса) не устанавливаются.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нарушения Покупателем сроков оплаты авансовых платежей Поставщик имеет право приостановить выполнение своих обязательств по Договору при условии предварительного письменного уведомления Покупателя о таком приостановлении.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Несмотря на любые иные условия Договора, ответственность Покупателя за причиненные Поставщику убытки ограничивается реальным ущербом, но не более Цены Договора, указанной в п. 2.1.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Уплата неустойки (штрафа, пени) не освобождает Стороны от исполнения обязательств, обязанности по устранению нарушений или их последствий.</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предусмотренных п. 2.4. п 2.5, Покупатель также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tabs>
          <w:tab w:val="clear" w:pos="708"/>
          <w:tab w:val="left" w:pos="1283" w:leader="none"/>
        </w:tabs>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color w:val="000000"/>
          <w:sz w:val="24"/>
          <w:szCs w:val="24"/>
          <w:lang w:eastAsia="ru-RU"/>
        </w:rPr>
        <w:t>Форс</w:t>
      </w:r>
      <w:r>
        <w:rPr>
          <w:rFonts w:eastAsia="Times New Roman" w:ascii="Times New Roman" w:hAnsi="Times New Roman"/>
          <w:b/>
          <w:bCs/>
          <w:color w:val="000000"/>
          <w:sz w:val="24"/>
          <w:szCs w:val="24"/>
          <w:lang w:eastAsia="ru-RU"/>
        </w:rPr>
        <w:t>-мажор</w:t>
      </w:r>
    </w:p>
    <w:p>
      <w:pPr>
        <w:pStyle w:val="Normal"/>
        <w:widowControl w:val="false"/>
        <w:shd w:val="clear" w:color="auto" w:fill="FFFFFF"/>
        <w:spacing w:lineRule="auto" w:line="240" w:before="0" w:after="0"/>
        <w:ind w:firstLine="709"/>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Стороны освобождаются от ответственности за неисполнение или ненадлежащее исполнение обязательств по Договору, возникшее вследствие обстоятельств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shd w:val="clear" w:color="auto" w:fill="FFFFFF"/>
        <w:spacing w:lineRule="auto" w:line="240" w:before="0" w:after="0"/>
        <w:ind w:firstLine="709"/>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Конфиденциальность</w:t>
      </w:r>
    </w:p>
    <w:p>
      <w:pPr>
        <w:pStyle w:val="Normal"/>
        <w:widowControl w:val="false"/>
        <w:spacing w:lineRule="auto" w:line="240" w:before="0" w:after="0"/>
        <w:ind w:firstLine="709"/>
        <w:contextualSpacing/>
        <w:jc w:val="both"/>
        <w:rPr>
          <w:rFonts w:ascii="Times New Roman" w:hAnsi="Times New Roman" w:eastAsia="Times New Roman"/>
          <w:b/>
          <w:sz w:val="20"/>
          <w:szCs w:val="20"/>
          <w:lang w:eastAsia="ru-RU"/>
        </w:rPr>
      </w:pPr>
      <w:r>
        <w:rPr>
          <w:rFonts w:eastAsia="Times New Roman" w:ascii="Times New Roman" w:hAnsi="Times New Roman"/>
          <w:b/>
          <w:sz w:val="20"/>
          <w:szCs w:val="20"/>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Информация, подлежащая сохранению в тайне и неразглашению, может включать в себя, без ограничения приведенным перечнем:</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финансовую отчетность;</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учетные регистры бухгалтерского учета;</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бизнес-планы;</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 финансовых, правовых, организационных и других взаимоотношениях между Покупателем и третьими лицами;</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 подрядчиках, поставщиках оборудования, сырья и материалов, а также о покупателях продукции и их аффилированных лицах;</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об объемах производства и/или реализации продукции и услуг Покупателя или его аффилированных лиц;</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использовать Информацию исключительно для целей, для которых она была предоставлена;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не разглашать третьим лицам факта передачи или получения Информации.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Поставщик обязуется в договорах с субподрядчиками обеспечить повторение условий Договора в части соблюдения режима конфиденциальности.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Разрешение споров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Споры, указанные в п. 9.1. Договора, которые не были урегулированы Сторонами путем переговоров с соблюдением претензионного порядка, подлежат разрешению в Арбитражном суде Республики Дагестан в соответствии с законодательством Российской Федерации.</w:t>
      </w:r>
    </w:p>
    <w:p>
      <w:pPr>
        <w:pStyle w:val="Normal"/>
        <w:widowControl w:val="false"/>
        <w:numPr>
          <w:ilvl w:val="0"/>
          <w:numId w:val="6"/>
        </w:numPr>
        <w:shd w:val="clear" w:color="auto" w:fill="FFFFFF"/>
        <w:tabs>
          <w:tab w:val="clear" w:pos="708"/>
          <w:tab w:val="left" w:pos="426" w:leader="none"/>
        </w:tabs>
        <w:suppressAutoHyphens w:val="true"/>
        <w:spacing w:lineRule="auto" w:line="240" w:before="0" w:after="0"/>
        <w:jc w:val="center"/>
        <w:rPr>
          <w:rFonts w:ascii="Times New Roman" w:hAnsi="Times New Roman" w:eastAsia="Times New Roman"/>
          <w:b/>
          <w:color w:val="000000"/>
          <w:sz w:val="24"/>
          <w:szCs w:val="24"/>
          <w:lang w:eastAsia="ru-RU"/>
        </w:rPr>
      </w:pPr>
      <w:bookmarkStart w:id="4" w:name="_GoBack"/>
      <w:bookmarkEnd w:id="4"/>
      <w:r>
        <w:rPr>
          <w:rFonts w:eastAsia="Times New Roman" w:ascii="Times New Roman" w:hAnsi="Times New Roman"/>
          <w:b/>
          <w:color w:val="000000"/>
          <w:sz w:val="24"/>
          <w:szCs w:val="24"/>
          <w:lang w:eastAsia="ru-RU"/>
        </w:rPr>
        <w:t>Заключительные положения</w:t>
      </w:r>
    </w:p>
    <w:p>
      <w:pPr>
        <w:pStyle w:val="Normal"/>
        <w:widowControl w:val="false"/>
        <w:shd w:val="clear" w:color="auto" w:fill="FFFFFF"/>
        <w:tabs>
          <w:tab w:val="clear" w:pos="708"/>
          <w:tab w:val="left" w:pos="1283" w:leader="none"/>
        </w:tabs>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изменений, предусмотренных п. 11.6. Договора.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Стороны обязуются уведомлять друг друга об изменении реквизитов, указанных в разделе 13 Договора, не позднее 3 (трех) рабочих дней после такого изменения в порядке, установленном п. 10.7 Договора.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Письма, уведомления и / или сообщения направляются Стороне-получателю по адресу ее места нахождения, указанному в разделе 12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Уступка прав (требований) в пользу финансово-кредитных учреждений (факторинг), допускается только с предварительного письменного согласия Покупателя.</w:t>
      </w:r>
    </w:p>
    <w:p>
      <w:pPr>
        <w:pStyle w:val="Normal"/>
        <w:widowControl w:val="false"/>
        <w:shd w:val="clear" w:color="auto" w:fill="FFFFFF"/>
        <w:spacing w:lineRule="auto" w:line="240" w:before="0" w:after="0"/>
        <w:ind w:left="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6"/>
        </w:numPr>
        <w:shd w:val="clear" w:color="auto" w:fill="FFFFFF"/>
        <w:tabs>
          <w:tab w:val="clear" w:pos="708"/>
          <w:tab w:val="left" w:pos="426" w:leader="none"/>
        </w:tabs>
        <w:suppressAutoHyphens w:val="true"/>
        <w:spacing w:lineRule="auto" w:line="240" w:before="0" w:after="0"/>
        <w:ind w:hanging="0"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Антикоррупционная оговорка</w:t>
      </w:r>
    </w:p>
    <w:p>
      <w:pPr>
        <w:pStyle w:val="Normal"/>
        <w:widowControl w:val="false"/>
        <w:shd w:val="clear" w:color="auto" w:fill="FFFFFF"/>
        <w:spacing w:lineRule="auto" w:line="240" w:before="0" w:after="0"/>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Стороны принимают на себя обязательство обеспечить, чтобы при исполнении обязательств по Договору их аффилированные лица, работники или представители не выплачивали, не предлагали выплатить и не разрешали выплату каких-либо денежных средств или ценностей, прямо или косвенно,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получить какие-либо неправомерные преимущества или иные выгоды.</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 xml:space="preserve">При исполнении своих обязательств по настоящему Договору, Стороны, их аффилированные лица, работники или посредники также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любые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возникновения у Стороны обоснованных предположений, что произошло или может произойти нарушение каких-либо положений пунктов 11.9. и 11.10. настоящего Договора, соответствующая Сторона обязуется уведомить другую Сторону о таких предположениях в письменной форме. В соответствующем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каких-либо положений пунктов 11.9. и 11.10. настоящего Договора.</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shd w:val="clear" w:color="auto" w:fill="FFFFFF"/>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Каналы связи «Линия доверия» ПАО «РусГидро»: Телефон автоответчика: +7 (495) 710 54 63 и форма обратной связи на сайте http://www.rushydro.ru/.</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Каналы связи Линия доверия Группы РусГидро: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Электронная почта: ld@rushydro.ru.</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Во всем, что не урегулировано Договором, Стороны руководствуются законодательством Российской Федерации. </w:t>
      </w:r>
    </w:p>
    <w:p>
      <w:pPr>
        <w:pStyle w:val="Normal"/>
        <w:widowControl w:val="false"/>
        <w:numPr>
          <w:ilvl w:val="1"/>
          <w:numId w:val="6"/>
        </w:numPr>
        <w:shd w:val="clear" w:color="auto" w:fill="FFFFFF"/>
        <w:suppressAutoHyphens w:val="true"/>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Договор заключается в электронной форме с использованием программно 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val="false"/>
        <w:shd w:val="clear" w:color="auto" w:fill="FFFFFF"/>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color="auto" w:fill="FFFFFF"/>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6"/>
        </w:numPr>
        <w:shd w:val="clear" w:color="auto" w:fill="FFFFFF"/>
        <w:tabs>
          <w:tab w:val="clear" w:pos="708"/>
          <w:tab w:val="left" w:pos="426" w:leader="none"/>
        </w:tabs>
        <w:suppressAutoHyphens w:val="true"/>
        <w:spacing w:lineRule="auto" w:line="240" w:before="0" w:after="0"/>
        <w:ind w:hanging="0"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Приложения к Договору</w:t>
      </w:r>
    </w:p>
    <w:p>
      <w:pPr>
        <w:pStyle w:val="Normal"/>
        <w:widowControl w:val="false"/>
        <w:numPr>
          <w:ilvl w:val="0"/>
          <w:numId w:val="0"/>
        </w:numPr>
        <w:spacing w:lineRule="auto" w:line="240" w:before="0" w:after="0"/>
        <w:ind w:firstLine="709" w:left="0"/>
        <w:jc w:val="both"/>
        <w:textAlignment w:val="baseline"/>
        <w:outlineLvl w:val="2"/>
        <w:rPr>
          <w:rFonts w:ascii="Times New Roman" w:hAnsi="Times New Roman" w:eastAsia="Times New Roman"/>
          <w:bCs/>
          <w:sz w:val="24"/>
          <w:szCs w:val="24"/>
          <w:lang w:eastAsia="x-none"/>
        </w:rPr>
      </w:pPr>
      <w:r>
        <w:rPr>
          <w:rFonts w:eastAsia="Times New Roman" w:ascii="Times New Roman" w:hAnsi="Times New Roman"/>
          <w:bCs/>
          <w:sz w:val="24"/>
          <w:szCs w:val="24"/>
          <w:lang w:eastAsia="x-none"/>
        </w:rPr>
      </w:r>
      <w:bookmarkStart w:id="5" w:name="sub_1"/>
      <w:bookmarkStart w:id="6" w:name="sub_1"/>
    </w:p>
    <w:p>
      <w:pPr>
        <w:pStyle w:val="Normal"/>
        <w:widowControl w:val="false"/>
        <w:numPr>
          <w:ilvl w:val="0"/>
          <w:numId w:val="0"/>
        </w:numPr>
        <w:spacing w:lineRule="auto" w:line="240" w:before="0" w:after="0"/>
        <w:ind w:firstLine="709" w:left="0"/>
        <w:jc w:val="both"/>
        <w:textAlignment w:val="baseline"/>
        <w:outlineLvl w:val="2"/>
        <w:rPr>
          <w:rFonts w:ascii="Times New Roman" w:hAnsi="Times New Roman" w:eastAsia="Times New Roman"/>
          <w:bCs/>
          <w:sz w:val="24"/>
          <w:szCs w:val="24"/>
          <w:lang w:eastAsia="x-none"/>
        </w:rPr>
      </w:pPr>
      <w:r>
        <w:rPr>
          <w:rFonts w:eastAsia="Times New Roman" w:ascii="Times New Roman" w:hAnsi="Times New Roman"/>
          <w:bCs/>
          <w:sz w:val="24"/>
          <w:szCs w:val="24"/>
          <w:lang w:val="x-none" w:eastAsia="x-none"/>
        </w:rPr>
        <w:t>Приложение №1 – Спецификация</w:t>
      </w:r>
      <w:r>
        <w:rPr>
          <w:rFonts w:eastAsia="Times New Roman" w:ascii="Times New Roman" w:hAnsi="Times New Roman"/>
          <w:bCs/>
          <w:sz w:val="24"/>
          <w:szCs w:val="24"/>
          <w:lang w:eastAsia="x-none"/>
        </w:rPr>
        <w:t>;</w:t>
      </w:r>
      <w:bookmarkEnd w:id="6"/>
    </w:p>
    <w:p>
      <w:pPr>
        <w:pStyle w:val="Normal"/>
        <w:widowControl w:val="false"/>
        <w:shd w:val="clear" w:color="auto" w:fill="FFFFFF"/>
        <w:spacing w:lineRule="auto" w:line="240" w:before="0" w:after="0"/>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shd w:val="clear" w:color="auto" w:fill="FFFFFF"/>
        <w:spacing w:lineRule="auto" w:line="240" w:before="0" w:after="0"/>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6"/>
        </w:numPr>
        <w:shd w:val="clear" w:color="auto" w:fill="FFFFFF"/>
        <w:tabs>
          <w:tab w:val="clear" w:pos="708"/>
          <w:tab w:val="left" w:pos="426" w:leader="none"/>
        </w:tabs>
        <w:suppressAutoHyphens w:val="true"/>
        <w:spacing w:lineRule="auto" w:line="240" w:before="0" w:after="0"/>
        <w:ind w:hanging="0"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Адреса и платежные реквизиты Сторон</w:t>
      </w:r>
    </w:p>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r>
    </w:p>
    <w:tbl>
      <w:tblPr>
        <w:tblW w:w="9498"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6"/>
        <w:gridCol w:w="4821"/>
      </w:tblGrid>
      <w:tr>
        <w:trPr/>
        <w:tc>
          <w:tcPr>
            <w:tcW w:w="4676" w:type="dxa"/>
            <w:tcBorders/>
          </w:tcPr>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t>ПОКУПАТЕЛЬ:</w:t>
            </w:r>
          </w:p>
        </w:tc>
        <w:tc>
          <w:tcPr>
            <w:tcW w:w="4821" w:type="dxa"/>
            <w:tcBorders/>
          </w:tcPr>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ПОСТАВЩИК:</w:t>
            </w:r>
          </w:p>
        </w:tc>
      </w:tr>
      <w:tr>
        <w:trPr/>
        <w:tc>
          <w:tcPr>
            <w:tcW w:w="4676" w:type="dxa"/>
            <w:tcBorders/>
          </w:tcPr>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Место нахождения: 660049, </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Красноярский край, г. Красноярск, </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ул. Перенсона, зд. 2а,  помещ. 1.</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Филиал ПАО «РусГидро»-«Дагестанский филиал»</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Место нахождения и почтовый адрес: </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368300, РД, г. Каспийск, ул. М. Халилова, 5</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ИНН 2460066195 КПП 055443001</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р/с № 40702810100000037903</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в БАНКЕ ГПБ (АО)</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к/с № 30101810200000000823</w:t>
            </w:r>
          </w:p>
          <w:p>
            <w:pPr>
              <w:pStyle w:val="Normal"/>
              <w:widowControl w:val="false"/>
              <w:spacing w:lineRule="auto" w:line="240" w:before="0" w:after="0"/>
              <w:ind w:left="30"/>
              <w:rPr>
                <w:rFonts w:ascii="Times New Roman" w:hAnsi="Times New Roman" w:eastAsia="Times New Roman"/>
                <w:sz w:val="24"/>
                <w:szCs w:val="24"/>
                <w:lang w:eastAsia="ru-RU"/>
              </w:rPr>
            </w:pPr>
            <w:r>
              <w:rPr>
                <w:rFonts w:eastAsia="Times New Roman" w:ascii="Times New Roman" w:hAnsi="Times New Roman"/>
                <w:sz w:val="24"/>
                <w:szCs w:val="24"/>
                <w:lang w:eastAsia="ru-RU"/>
              </w:rPr>
              <w:t>БИК: 044525823</w:t>
            </w:r>
          </w:p>
        </w:tc>
        <w:tc>
          <w:tcPr>
            <w:tcW w:w="4821" w:type="dxa"/>
            <w:tcBorders/>
          </w:tcPr>
          <w:p>
            <w:pPr>
              <w:pStyle w:val="Normal"/>
              <w:widowControl w:val="false"/>
              <w:spacing w:lineRule="auto" w:line="240" w:before="0" w:after="0"/>
              <w:ind w:left="709"/>
              <w:rPr>
                <w:rFonts w:ascii="Times New Roman" w:hAnsi="Times New Roman" w:eastAsia="Times New Roman"/>
                <w:b/>
                <w:sz w:val="24"/>
                <w:szCs w:val="24"/>
                <w:lang w:eastAsia="ru-RU"/>
              </w:rPr>
            </w:pPr>
            <w:r>
              <w:rPr>
                <w:rFonts w:eastAsia="Times New Roman" w:ascii="Times New Roman" w:hAnsi="Times New Roman"/>
                <w:b/>
                <w:sz w:val="24"/>
                <w:szCs w:val="24"/>
                <w:lang w:eastAsia="ru-RU"/>
              </w:rPr>
            </w:r>
          </w:p>
          <w:p>
            <w:pPr>
              <w:pStyle w:val="Normal"/>
              <w:widowControl w:val="false"/>
              <w:spacing w:lineRule="auto" w:line="240" w:before="0" w:after="0"/>
              <w:ind w:left="178"/>
              <w:rPr>
                <w:rFonts w:ascii="Times New Roman" w:hAnsi="Times New Roman" w:eastAsia="Times New Roman"/>
                <w:b/>
                <w:sz w:val="24"/>
                <w:szCs w:val="24"/>
                <w:lang w:eastAsia="ru-RU"/>
              </w:rPr>
            </w:pPr>
            <w:r>
              <w:rPr>
                <w:rFonts w:eastAsia="Times New Roman" w:ascii="Times New Roman" w:hAnsi="Times New Roman"/>
                <w:b/>
                <w:sz w:val="24"/>
                <w:szCs w:val="24"/>
                <w:lang w:eastAsia="ru-RU"/>
              </w:rPr>
            </w:r>
          </w:p>
          <w:p>
            <w:pPr>
              <w:pStyle w:val="Normal"/>
              <w:widowControl w:val="false"/>
              <w:spacing w:lineRule="auto" w:line="240" w:before="0" w:after="0"/>
              <w:ind w:left="178"/>
              <w:rPr>
                <w:rFonts w:ascii="Times New Roman" w:hAnsi="Times New Roman" w:eastAsia="Times New Roman"/>
                <w:b/>
                <w:sz w:val="24"/>
                <w:szCs w:val="24"/>
                <w:lang w:eastAsia="ru-RU"/>
              </w:rPr>
            </w:pPr>
            <w:r>
              <w:rPr>
                <w:rFonts w:eastAsia="Times New Roman" w:ascii="Times New Roman" w:hAnsi="Times New Roman"/>
                <w:b/>
                <w:sz w:val="24"/>
                <w:szCs w:val="24"/>
                <w:lang w:eastAsia="ru-RU"/>
              </w:rPr>
              <w:t>Общество с ограниченной ответственностью «ххх»</w:t>
            </w:r>
          </w:p>
          <w:p>
            <w:pPr>
              <w:pStyle w:val="Normal"/>
              <w:widowControl w:val="false"/>
              <w:spacing w:lineRule="auto" w:line="240" w:before="0" w:after="0"/>
              <w:ind w:left="178"/>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ind w:left="178"/>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ind w:left="178"/>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Юридический адрес: </w:t>
            </w:r>
          </w:p>
          <w:p>
            <w:pPr>
              <w:pStyle w:val="Normal"/>
              <w:widowControl w:val="false"/>
              <w:spacing w:lineRule="auto" w:line="240" w:before="0" w:after="0"/>
              <w:ind w:left="178"/>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Почтовый адрес: </w:t>
            </w:r>
          </w:p>
          <w:p>
            <w:pPr>
              <w:pStyle w:val="BodyText"/>
              <w:widowControl w:val="false"/>
              <w:ind w:left="178"/>
              <w:rPr>
                <w:sz w:val="24"/>
                <w:szCs w:val="24"/>
                <w:lang w:val="ru-RU"/>
              </w:rPr>
            </w:pPr>
            <w:r>
              <w:rPr>
                <w:sz w:val="24"/>
                <w:szCs w:val="24"/>
                <w:lang w:val="ru-RU"/>
              </w:rPr>
              <w:t xml:space="preserve">ИНН: , КПП, </w:t>
            </w:r>
          </w:p>
          <w:p>
            <w:pPr>
              <w:pStyle w:val="BodyText"/>
              <w:widowControl w:val="false"/>
              <w:ind w:left="178"/>
              <w:rPr>
                <w:sz w:val="24"/>
                <w:szCs w:val="24"/>
                <w:lang w:val="ru-RU"/>
              </w:rPr>
            </w:pPr>
            <w:r>
              <w:rPr>
                <w:sz w:val="24"/>
                <w:szCs w:val="24"/>
                <w:lang w:val="ru-RU"/>
              </w:rPr>
              <w:t xml:space="preserve">ОГРН </w:t>
            </w:r>
          </w:p>
          <w:p>
            <w:pPr>
              <w:pStyle w:val="BodyText"/>
              <w:widowControl w:val="false"/>
              <w:ind w:left="178"/>
              <w:rPr>
                <w:sz w:val="24"/>
                <w:szCs w:val="24"/>
              </w:rPr>
            </w:pPr>
            <w:r>
              <w:rPr>
                <w:sz w:val="24"/>
                <w:szCs w:val="24"/>
              </w:rPr>
            </w:r>
          </w:p>
          <w:p>
            <w:pPr>
              <w:pStyle w:val="Normal"/>
              <w:widowControl w:val="false"/>
              <w:spacing w:lineRule="auto" w:line="240" w:before="0" w:after="0"/>
              <w:ind w:left="176"/>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r>
      <w:tr>
        <w:trPr/>
        <w:tc>
          <w:tcPr>
            <w:tcW w:w="4676" w:type="dxa"/>
            <w:tcBorders/>
          </w:tcPr>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Директор филиала ПАО «РусГидро» - </w:t>
            </w:r>
          </w:p>
          <w:p>
            <w:pPr>
              <w:pStyle w:val="Normal"/>
              <w:widowControl w:val="false"/>
              <w:spacing w:lineRule="auto" w:line="240" w:before="0" w:after="0"/>
              <w:jc w:val="both"/>
              <w:rPr>
                <w:rFonts w:ascii="Times New Roman" w:hAnsi="Times New Roman" w:eastAsia="Times New Roman"/>
                <w:sz w:val="24"/>
                <w:szCs w:val="20"/>
                <w:lang w:eastAsia="ru-RU"/>
              </w:rPr>
            </w:pPr>
            <w:r>
              <w:rPr>
                <w:rFonts w:eastAsia="Times New Roman" w:ascii="Times New Roman" w:hAnsi="Times New Roman"/>
                <w:sz w:val="24"/>
                <w:szCs w:val="20"/>
                <w:lang w:eastAsia="ru-RU"/>
              </w:rPr>
              <w:t>«Дагестанский филиал»</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 xml:space="preserve">_____________________ / </w:t>
            </w:r>
            <w:r>
              <w:rPr>
                <w:rFonts w:eastAsia="Times New Roman" w:ascii="Times New Roman" w:hAnsi="Times New Roman"/>
                <w:sz w:val="24"/>
                <w:szCs w:val="24"/>
                <w:lang w:eastAsia="ru-RU"/>
              </w:rPr>
              <w:t>Т.Г. Гамзатов</w:t>
            </w:r>
            <w:r>
              <w:rPr>
                <w:rFonts w:eastAsia="Times New Roman" w:ascii="Times New Roman" w:hAnsi="Times New Roman"/>
                <w:lang w:eastAsia="ru-RU"/>
              </w:rPr>
              <w:t xml:space="preserve"> /</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r>
          </w:p>
        </w:tc>
        <w:tc>
          <w:tcPr>
            <w:tcW w:w="4821" w:type="dxa"/>
            <w:tcBorders/>
          </w:tcPr>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 xml:space="preserve">Генеральный директор </w:t>
            </w:r>
          </w:p>
          <w:p>
            <w:pPr>
              <w:pStyle w:val="Normal"/>
              <w:widowControl w:val="false"/>
              <w:spacing w:lineRule="auto" w:line="240" w:before="0" w:after="0"/>
              <w:ind w:left="72"/>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ООО «ххх»</w:t>
            </w:r>
          </w:p>
          <w:p>
            <w:pPr>
              <w:pStyle w:val="Normal"/>
              <w:widowControl w:val="false"/>
              <w:spacing w:lineRule="auto" w:line="240" w:before="0" w:after="0"/>
              <w:ind w:right="-23"/>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ind w:firstLine="37"/>
              <w:rPr>
                <w:rFonts w:ascii="Times New Roman" w:hAnsi="Times New Roman" w:eastAsia="Times New Roman"/>
                <w:lang w:eastAsia="ru-RU"/>
              </w:rPr>
            </w:pPr>
            <w:r>
              <w:rPr>
                <w:rFonts w:eastAsia="Times New Roman" w:ascii="Times New Roman" w:hAnsi="Times New Roman"/>
                <w:lang w:eastAsia="ru-RU"/>
              </w:rPr>
              <w:t>____________________ /ххх/</w:t>
            </w:r>
          </w:p>
          <w:p>
            <w:pPr>
              <w:pStyle w:val="Normal"/>
              <w:widowControl w:val="false"/>
              <w:spacing w:lineRule="auto" w:line="240" w:before="0" w:after="0"/>
              <w:ind w:firstLine="37"/>
              <w:rPr>
                <w:sz w:val="24"/>
                <w:szCs w:val="24"/>
              </w:rPr>
            </w:pPr>
            <w:r>
              <w:rPr>
                <w:sz w:val="24"/>
                <w:szCs w:val="24"/>
              </w:rPr>
            </w:r>
          </w:p>
        </w:tc>
      </w:tr>
    </w:tbl>
    <w:p>
      <w:pPr>
        <w:sectPr>
          <w:footerReference w:type="default" r:id="rId2"/>
          <w:type w:val="nextPage"/>
          <w:pgSz w:w="11906" w:h="16838"/>
          <w:pgMar w:left="1701" w:right="851" w:gutter="0" w:header="0" w:top="851" w:footer="709" w:bottom="2836"/>
          <w:pgNumType w:fmt="decimal"/>
          <w:formProt w:val="false"/>
          <w:textDirection w:val="lrTb"/>
          <w:docGrid w:type="default" w:linePitch="360" w:charSpace="8192"/>
        </w:sectPr>
      </w:pPr>
    </w:p>
    <w:p>
      <w:pPr>
        <w:pStyle w:val="Normal"/>
        <w:widowControl w:val="false"/>
        <w:spacing w:lineRule="auto" w:line="240" w:before="0" w:after="0"/>
        <w:ind w:right="-284"/>
        <w:jc w:val="right"/>
        <w:rPr>
          <w:rFonts w:ascii="Times New Roman" w:hAnsi="Times New Roman" w:eastAsia="Times New Roman"/>
          <w:lang w:eastAsia="ru-RU"/>
        </w:rPr>
      </w:pPr>
      <w:r>
        <w:rPr>
          <w:rFonts w:eastAsia="Times New Roman" w:ascii="Times New Roman" w:hAnsi="Times New Roman"/>
          <w:lang w:eastAsia="ru-RU"/>
        </w:rPr>
        <w:t>Приложение № 1</w:t>
      </w:r>
    </w:p>
    <w:p>
      <w:pPr>
        <w:pStyle w:val="Normal"/>
        <w:widowControl w:val="false"/>
        <w:spacing w:lineRule="auto" w:line="240" w:before="0" w:after="0"/>
        <w:ind w:left="5103" w:right="-284"/>
        <w:jc w:val="right"/>
        <w:rPr>
          <w:rFonts w:ascii="Times New Roman" w:hAnsi="Times New Roman" w:eastAsia="Times New Roman"/>
          <w:lang w:eastAsia="ru-RU"/>
        </w:rPr>
      </w:pPr>
      <w:r>
        <w:rPr>
          <w:rFonts w:eastAsia="Times New Roman" w:ascii="Times New Roman" w:hAnsi="Times New Roman"/>
          <w:lang w:eastAsia="ru-RU"/>
        </w:rPr>
        <w:t>к Договору поставки</w:t>
      </w:r>
    </w:p>
    <w:p>
      <w:pPr>
        <w:pStyle w:val="Normal"/>
        <w:widowControl w:val="false"/>
        <w:spacing w:lineRule="auto" w:line="240" w:before="0" w:after="0"/>
        <w:ind w:left="5103" w:right="-284"/>
        <w:jc w:val="right"/>
        <w:rPr>
          <w:rFonts w:ascii="Times New Roman" w:hAnsi="Times New Roman" w:eastAsia="Times New Roman"/>
          <w:lang w:eastAsia="ru-RU"/>
        </w:rPr>
      </w:pPr>
      <w:r>
        <w:rPr>
          <w:rFonts w:eastAsia="Times New Roman" w:ascii="Times New Roman" w:hAnsi="Times New Roman"/>
          <w:lang w:eastAsia="ru-RU"/>
        </w:rPr>
        <w:t xml:space="preserve">от «___» ___ 2026 г. </w:t>
      </w:r>
      <w:r>
        <w:rPr>
          <w:rFonts w:eastAsia="Times New Roman" w:ascii="Times New Roman" w:hAnsi="Times New Roman"/>
          <w:sz w:val="20"/>
          <w:szCs w:val="20"/>
          <w:lang w:eastAsia="ru-RU"/>
        </w:rPr>
        <w:t>№ 70-ЭКСП-БПД-2026-ДФ</w:t>
      </w:r>
    </w:p>
    <w:p>
      <w:pPr>
        <w:pStyle w:val="Normal"/>
        <w:widowControl w:val="false"/>
        <w:spacing w:lineRule="auto" w:line="240" w:before="0" w:after="0"/>
        <w:jc w:val="right"/>
        <w:rPr>
          <w:rFonts w:ascii="Times New Roman" w:hAnsi="Times New Roman" w:eastAsia="Times New Roman"/>
          <w:b/>
          <w:bCs/>
          <w:sz w:val="24"/>
          <w:szCs w:val="24"/>
          <w:lang w:eastAsia="ru-RU"/>
        </w:rPr>
      </w:pPr>
      <w:r>
        <w:rPr>
          <w:rFonts w:eastAsia="Times New Roman" w:ascii="Times New Roman" w:hAnsi="Times New Roman"/>
          <w:b/>
          <w:bCs/>
          <w:sz w:val="24"/>
          <w:szCs w:val="24"/>
          <w:lang w:eastAsia="ru-RU"/>
        </w:rPr>
      </w:r>
    </w:p>
    <w:p>
      <w:pPr>
        <w:pStyle w:val="Normal"/>
        <w:widowControl w:val="false"/>
        <w:spacing w:lineRule="auto" w:line="240" w:before="0" w:after="0"/>
        <w:rPr>
          <w:rFonts w:ascii="Times New Roman" w:hAnsi="Times New Roman" w:eastAsia="Times New Roman"/>
          <w:b/>
          <w:bCs/>
          <w:sz w:val="24"/>
          <w:szCs w:val="24"/>
          <w:lang w:eastAsia="ru-RU"/>
        </w:rPr>
      </w:pPr>
      <w:r>
        <w:rPr>
          <w:rFonts w:eastAsia="Times New Roman" w:ascii="Times New Roman" w:hAnsi="Times New Roman"/>
          <w:b/>
          <w:bCs/>
          <w:sz w:val="24"/>
          <w:szCs w:val="24"/>
          <w:lang w:eastAsia="ru-RU"/>
        </w:rPr>
      </w:r>
    </w:p>
    <w:p>
      <w:pPr>
        <w:pStyle w:val="Normal"/>
        <w:widowControl w:val="false"/>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sz w:val="24"/>
          <w:szCs w:val="24"/>
          <w:lang w:eastAsia="ru-RU"/>
        </w:rPr>
        <w:t>СПЕЦИФИКАЦИЯ</w:t>
      </w:r>
    </w:p>
    <w:p>
      <w:pPr>
        <w:pStyle w:val="Normal"/>
        <w:widowControl w:val="false"/>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sz w:val="24"/>
          <w:szCs w:val="24"/>
          <w:lang w:eastAsia="ru-RU"/>
        </w:rPr>
      </w:r>
    </w:p>
    <w:tbl>
      <w:tblPr>
        <w:tblW w:w="11057" w:type="dxa"/>
        <w:jc w:val="left"/>
        <w:tblInd w:w="-1139" w:type="dxa"/>
        <w:tblLayout w:type="fixed"/>
        <w:tblCellMar>
          <w:top w:w="0" w:type="dxa"/>
          <w:left w:w="108" w:type="dxa"/>
          <w:bottom w:w="0" w:type="dxa"/>
          <w:right w:w="108" w:type="dxa"/>
        </w:tblCellMar>
        <w:tblLook w:val="04a0" w:noHBand="0" w:noVBand="1" w:firstColumn="1" w:lastRow="0" w:lastColumn="0" w:firstRow="1"/>
      </w:tblPr>
      <w:tblGrid>
        <w:gridCol w:w="567"/>
        <w:gridCol w:w="5811"/>
        <w:gridCol w:w="852"/>
        <w:gridCol w:w="707"/>
        <w:gridCol w:w="707"/>
        <w:gridCol w:w="1131"/>
        <w:gridCol w:w="7"/>
        <w:gridCol w:w="1274"/>
      </w:tblGrid>
      <w:tr>
        <w:trPr>
          <w:trHeight w:val="510"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Cs/>
                <w:color w:val="000000"/>
              </w:rPr>
            </w:pPr>
            <w:r>
              <w:rPr>
                <w:rFonts w:ascii="Times New Roman" w:hAnsi="Times New Roman"/>
                <w:bCs/>
                <w:color w:val="000000"/>
              </w:rPr>
              <w:t>№</w:t>
            </w:r>
          </w:p>
        </w:tc>
        <w:tc>
          <w:tcPr>
            <w:tcW w:w="58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Cs/>
                <w:color w:val="000000"/>
                <w:lang w:val="en-US"/>
              </w:rPr>
            </w:pPr>
            <w:r>
              <w:rPr>
                <w:rFonts w:ascii="Times New Roman" w:hAnsi="Times New Roman"/>
                <w:bCs/>
                <w:color w:val="000000"/>
              </w:rPr>
              <w:t>Наименование</w:t>
            </w:r>
            <w:r>
              <w:rPr>
                <w:rFonts w:ascii="Times New Roman" w:hAnsi="Times New Roman"/>
                <w:bCs/>
                <w:color w:val="000000"/>
                <w:lang w:val="en-US"/>
              </w:rPr>
              <w:t xml:space="preserve"> СИЗ</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Cs/>
                <w:color w:val="000000"/>
              </w:rPr>
            </w:pPr>
            <w:r>
              <w:rPr>
                <w:rFonts w:ascii="Times New Roman" w:hAnsi="Times New Roman"/>
                <w:bCs/>
                <w:color w:val="000000"/>
              </w:rPr>
              <w:t>Един. изм.</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bCs/>
                <w:color w:val="000000"/>
              </w:rPr>
            </w:pPr>
            <w:r>
              <w:rPr>
                <w:rFonts w:ascii="Times New Roman" w:hAnsi="Times New Roman"/>
                <w:bCs/>
                <w:color w:val="000000"/>
              </w:rPr>
              <w:t>Кол-во</w:t>
            </w:r>
          </w:p>
        </w:tc>
        <w:tc>
          <w:tcPr>
            <w:tcW w:w="70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240" w:after="0"/>
              <w:jc w:val="center"/>
              <w:rPr>
                <w:rFonts w:ascii="Times New Roman" w:hAnsi="Times New Roman"/>
                <w:bCs/>
                <w:color w:val="000000"/>
              </w:rPr>
            </w:pPr>
            <w:r>
              <w:rPr>
                <w:rFonts w:ascii="Times New Roman" w:hAnsi="Times New Roman"/>
                <w:bCs/>
                <w:color w:val="000000"/>
              </w:rPr>
              <w:t>НДС %</w:t>
            </w:r>
          </w:p>
        </w:tc>
        <w:tc>
          <w:tcPr>
            <w:tcW w:w="11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Cs/>
                <w:color w:val="000000"/>
              </w:rPr>
            </w:pPr>
            <w:r>
              <w:rPr>
                <w:rFonts w:ascii="Times New Roman" w:hAnsi="Times New Roman"/>
                <w:bCs/>
                <w:color w:val="000000"/>
              </w:rPr>
              <w:t>Цена за единицу</w:t>
            </w:r>
          </w:p>
        </w:tc>
        <w:tc>
          <w:tcPr>
            <w:tcW w:w="12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Cs/>
                <w:color w:val="000000"/>
              </w:rPr>
            </w:pPr>
            <w:r>
              <w:rPr>
                <w:rFonts w:ascii="Times New Roman" w:hAnsi="Times New Roman"/>
                <w:bCs/>
                <w:color w:val="000000"/>
              </w:rPr>
              <w:t>Стоимость</w:t>
            </w:r>
          </w:p>
        </w:tc>
      </w:tr>
      <w:tr>
        <w:trPr>
          <w:trHeight w:val="323"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lang w:eastAsia="ru-RU"/>
              </w:rPr>
            </w:pPr>
            <w:r>
              <w:rPr>
                <w:rFonts w:eastAsia="Times New Roman" w:ascii="Times New Roman" w:hAnsi="Times New Roman"/>
                <w:bCs/>
                <w:lang w:eastAsia="ru-RU"/>
              </w:rPr>
              <w:t>1</w:t>
            </w:r>
          </w:p>
        </w:tc>
        <w:tc>
          <w:tcPr>
            <w:tcW w:w="5811" w:type="dxa"/>
            <w:tcBorders>
              <w:top w:val="single" w:sz="4" w:space="0" w:color="000000"/>
              <w:left w:val="single" w:sz="4" w:space="0" w:color="000000"/>
              <w:bottom w:val="single" w:sz="4" w:space="0" w:color="000000"/>
              <w:right w:val="single" w:sz="4" w:space="0" w:color="000000"/>
            </w:tcBorders>
          </w:tcPr>
          <w:p>
            <w:pPr>
              <w:pStyle w:val="ParagraphStyle"/>
              <w:ind w:firstLine="324"/>
              <w:jc w:val="both"/>
              <w:rPr>
                <w:sz w:val="22"/>
                <w:szCs w:val="22"/>
              </w:rPr>
            </w:pPr>
            <w:r>
              <w:rPr/>
              <w:t>Боны заградительные БНп-20/600 в комплекте*</w:t>
            </w:r>
          </w:p>
        </w:tc>
        <w:tc>
          <w:tcPr>
            <w:tcW w:w="8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lang w:eastAsia="ru-RU"/>
              </w:rPr>
            </w:pPr>
            <w:r>
              <w:rPr>
                <w:rFonts w:ascii="Times New Roman" w:hAnsi="Times New Roman"/>
                <w:sz w:val="24"/>
                <w:szCs w:val="24"/>
              </w:rPr>
              <w:t>п.м.</w:t>
            </w:r>
          </w:p>
        </w:tc>
        <w:tc>
          <w:tcPr>
            <w:tcW w:w="707" w:type="dxa"/>
            <w:tcBorders>
              <w:top w:val="single" w:sz="4" w:space="0" w:color="000000"/>
              <w:left w:val="single" w:sz="4" w:space="0" w:color="000000"/>
              <w:bottom w:val="single" w:sz="4" w:space="0" w:color="000000"/>
              <w:right w:val="single" w:sz="4" w:space="0" w:color="000000"/>
            </w:tcBorders>
            <w:shd w:color="auto" w:fill="auto" w:val="clear"/>
          </w:tcPr>
          <w:p>
            <w:pPr>
              <w:pStyle w:val="ParagraphStyle"/>
              <w:jc w:val="center"/>
              <w:rPr>
                <w:sz w:val="22"/>
                <w:szCs w:val="22"/>
              </w:rPr>
            </w:pPr>
            <w:r>
              <w:rPr>
                <w:lang w:val="en-US"/>
              </w:rPr>
              <w:t>3</w:t>
            </w:r>
            <w:r>
              <w:rPr>
                <w:lang w:val="en-US"/>
              </w:rPr>
              <w:t>0</w:t>
            </w:r>
            <w:r>
              <w:rPr/>
              <w:t>0</w:t>
            </w:r>
          </w:p>
        </w:tc>
        <w:tc>
          <w:tcPr>
            <w:tcW w:w="707" w:type="dxa"/>
            <w:tcBorders>
              <w:top w:val="single" w:sz="4" w:space="0" w:color="000000"/>
              <w:left w:val="single" w:sz="4" w:space="0" w:color="000000"/>
              <w:bottom w:val="single" w:sz="4" w:space="0" w:color="000000"/>
              <w:right w:val="single" w:sz="4" w:space="0" w:color="000000"/>
            </w:tcBorders>
          </w:tcPr>
          <w:p>
            <w:pPr>
              <w:pStyle w:val="ParagraphStyle"/>
              <w:jc w:val="center"/>
              <w:rPr>
                <w:sz w:val="22"/>
                <w:szCs w:val="22"/>
              </w:rPr>
            </w:pPr>
            <w:r>
              <w:rPr>
                <w:sz w:val="22"/>
                <w:szCs w:val="22"/>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ParagraphStyle"/>
              <w:jc w:val="center"/>
              <w:rPr>
                <w:sz w:val="22"/>
                <w:szCs w:val="22"/>
              </w:rPr>
            </w:pPr>
            <w:r>
              <w:rPr>
                <w:sz w:val="22"/>
                <w:szCs w:val="22"/>
              </w:rPr>
            </w:r>
          </w:p>
        </w:tc>
        <w:tc>
          <w:tcPr>
            <w:tcW w:w="1281"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ParagraphStyle"/>
              <w:ind w:left="-109"/>
              <w:jc w:val="center"/>
              <w:rPr>
                <w:sz w:val="22"/>
                <w:szCs w:val="22"/>
              </w:rPr>
            </w:pPr>
            <w:r>
              <w:rPr>
                <w:sz w:val="22"/>
                <w:szCs w:val="22"/>
              </w:rPr>
            </w:r>
          </w:p>
        </w:tc>
      </w:tr>
      <w:tr>
        <w:trPr>
          <w:trHeight w:val="323"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lang w:eastAsia="ru-RU"/>
              </w:rPr>
            </w:pPr>
            <w:r>
              <w:rPr>
                <w:rFonts w:eastAsia="Times New Roman" w:ascii="Times New Roman" w:hAnsi="Times New Roman"/>
                <w:bCs/>
                <w:lang w:eastAsia="ru-RU"/>
              </w:rPr>
              <w:t>2</w:t>
            </w:r>
          </w:p>
        </w:tc>
        <w:tc>
          <w:tcPr>
            <w:tcW w:w="5811" w:type="dxa"/>
            <w:tcBorders>
              <w:top w:val="single" w:sz="4" w:space="0" w:color="000000"/>
              <w:left w:val="single" w:sz="4" w:space="0" w:color="000000"/>
              <w:bottom w:val="single" w:sz="4" w:space="0" w:color="000000"/>
              <w:right w:val="single" w:sz="4" w:space="0" w:color="000000"/>
            </w:tcBorders>
          </w:tcPr>
          <w:p>
            <w:pPr>
              <w:pStyle w:val="ParagraphStyle"/>
              <w:ind w:firstLine="324"/>
              <w:jc w:val="both"/>
              <w:rPr>
                <w:sz w:val="22"/>
                <w:szCs w:val="22"/>
              </w:rPr>
            </w:pPr>
            <w:r>
              <w:rPr/>
              <w:t>Салфетка, сорбирующая 80х50 см в рулоне</w:t>
            </w:r>
          </w:p>
        </w:tc>
        <w:tc>
          <w:tcPr>
            <w:tcW w:w="8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lang w:eastAsia="ru-RU"/>
              </w:rPr>
            </w:pPr>
            <w:r>
              <w:rPr>
                <w:rFonts w:ascii="Times New Roman" w:hAnsi="Times New Roman"/>
                <w:sz w:val="24"/>
                <w:szCs w:val="24"/>
              </w:rPr>
              <w:t>шт.</w:t>
            </w:r>
          </w:p>
        </w:tc>
        <w:tc>
          <w:tcPr>
            <w:tcW w:w="707" w:type="dxa"/>
            <w:tcBorders>
              <w:top w:val="single" w:sz="4" w:space="0" w:color="000000"/>
              <w:left w:val="single" w:sz="4" w:space="0" w:color="000000"/>
              <w:bottom w:val="single" w:sz="4" w:space="0" w:color="000000"/>
              <w:right w:val="single" w:sz="4" w:space="0" w:color="000000"/>
            </w:tcBorders>
            <w:shd w:color="auto" w:fill="auto" w:val="clear"/>
          </w:tcPr>
          <w:p>
            <w:pPr>
              <w:pStyle w:val="ParagraphStyle"/>
              <w:jc w:val="center"/>
              <w:rPr>
                <w:sz w:val="22"/>
                <w:szCs w:val="22"/>
              </w:rPr>
            </w:pPr>
            <w:r>
              <w:rPr>
                <w:lang w:val="en-US"/>
              </w:rPr>
              <w:t>3</w:t>
            </w:r>
            <w:r>
              <w:rPr>
                <w:lang w:val="en-US"/>
              </w:rPr>
              <w:t>0</w:t>
            </w:r>
            <w:r>
              <w:rPr/>
              <w:t>0</w:t>
            </w:r>
          </w:p>
        </w:tc>
        <w:tc>
          <w:tcPr>
            <w:tcW w:w="707" w:type="dxa"/>
            <w:tcBorders>
              <w:top w:val="single" w:sz="4" w:space="0" w:color="000000"/>
              <w:left w:val="single" w:sz="4" w:space="0" w:color="000000"/>
              <w:bottom w:val="single" w:sz="4" w:space="0" w:color="000000"/>
              <w:right w:val="single" w:sz="4" w:space="0" w:color="000000"/>
            </w:tcBorders>
          </w:tcPr>
          <w:p>
            <w:pPr>
              <w:pStyle w:val="ParagraphStyle"/>
              <w:jc w:val="center"/>
              <w:rPr>
                <w:sz w:val="22"/>
                <w:szCs w:val="22"/>
              </w:rPr>
            </w:pPr>
            <w:r>
              <w:rPr>
                <w:sz w:val="22"/>
                <w:szCs w:val="22"/>
              </w:rPr>
            </w:r>
          </w:p>
        </w:tc>
        <w:tc>
          <w:tcPr>
            <w:tcW w:w="1131" w:type="dxa"/>
            <w:tcBorders>
              <w:top w:val="single" w:sz="4" w:space="0" w:color="000000"/>
              <w:left w:val="single" w:sz="4" w:space="0" w:color="000000"/>
              <w:bottom w:val="single" w:sz="4" w:space="0" w:color="000000"/>
              <w:right w:val="single" w:sz="4" w:space="0" w:color="000000"/>
            </w:tcBorders>
            <w:shd w:color="auto" w:fill="auto" w:val="clear"/>
          </w:tcPr>
          <w:p>
            <w:pPr>
              <w:pStyle w:val="ParagraphStyle"/>
              <w:jc w:val="center"/>
              <w:rPr>
                <w:sz w:val="22"/>
                <w:szCs w:val="22"/>
              </w:rPr>
            </w:pPr>
            <w:r>
              <w:rPr>
                <w:sz w:val="22"/>
                <w:szCs w:val="22"/>
              </w:rPr>
            </w:r>
          </w:p>
        </w:tc>
        <w:tc>
          <w:tcPr>
            <w:tcW w:w="1281"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ParagraphStyle"/>
              <w:jc w:val="center"/>
              <w:rPr>
                <w:sz w:val="22"/>
                <w:szCs w:val="22"/>
              </w:rPr>
            </w:pPr>
            <w:r>
              <w:rPr>
                <w:sz w:val="22"/>
                <w:szCs w:val="22"/>
              </w:rPr>
            </w:r>
          </w:p>
        </w:tc>
      </w:tr>
      <w:tr>
        <w:trPr>
          <w:trHeight w:val="219" w:hRule="atLeast"/>
        </w:trPr>
        <w:tc>
          <w:tcPr>
            <w:tcW w:w="9775"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905" w:leader="none"/>
                <w:tab w:val="right" w:pos="9418" w:leader="none"/>
              </w:tabs>
              <w:spacing w:lineRule="auto" w:line="240" w:before="0" w:after="0"/>
              <w:jc w:val="right"/>
              <w:rPr>
                <w:rFonts w:ascii="Times New Roman" w:hAnsi="Times New Roman"/>
              </w:rPr>
            </w:pPr>
            <w:r>
              <w:rPr>
                <w:rFonts w:ascii="Times New Roman" w:hAnsi="Times New Roman"/>
              </w:rPr>
              <w:t>Итого стоимость:</w:t>
            </w:r>
          </w:p>
        </w:tc>
        <w:tc>
          <w:tcPr>
            <w:tcW w:w="12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6"/>
              <w:jc w:val="center"/>
              <w:rPr>
                <w:rFonts w:ascii="Times New Roman" w:hAnsi="Times New Roman"/>
              </w:rPr>
            </w:pPr>
            <w:r>
              <w:rPr>
                <w:rFonts w:ascii="Times New Roman" w:hAnsi="Times New Roman"/>
              </w:rPr>
            </w:r>
          </w:p>
        </w:tc>
      </w:tr>
      <w:tr>
        <w:trPr>
          <w:trHeight w:val="255" w:hRule="atLeast"/>
        </w:trPr>
        <w:tc>
          <w:tcPr>
            <w:tcW w:w="9782"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color w:val="000000"/>
              </w:rPr>
            </w:pPr>
            <w:r>
              <w:rPr>
                <w:rFonts w:ascii="Times New Roman" w:hAnsi="Times New Roman"/>
                <w:color w:val="000000"/>
              </w:rPr>
              <w:t>В том числе НДС:</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color w:val="000000"/>
                <w:sz w:val="20"/>
                <w:szCs w:val="20"/>
                <w:lang w:val="en-US"/>
              </w:rPr>
            </w:pPr>
            <w:r>
              <w:rPr>
                <w:rFonts w:ascii="Times New Roman" w:hAnsi="Times New Roman"/>
                <w:color w:val="000000"/>
                <w:sz w:val="20"/>
                <w:szCs w:val="20"/>
                <w:lang w:val="en-US"/>
              </w:rPr>
              <w:t xml:space="preserve">НДС </w:t>
            </w:r>
          </w:p>
        </w:tc>
      </w:tr>
    </w:tbl>
    <w:p>
      <w:pPr>
        <w:pStyle w:val="Normal"/>
        <w:widowControl w:val="false"/>
        <w:spacing w:lineRule="auto" w:line="240" w:before="0" w:after="0"/>
        <w:ind w:left="72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Транспортные расходы по доставке Товара до склада покупателя в г. Каспийск входят в стоимость Товара.</w:t>
      </w:r>
    </w:p>
    <w:p>
      <w:pPr>
        <w:pStyle w:val="Normal"/>
        <w:widowControl w:val="false"/>
        <w:spacing w:lineRule="auto" w:line="240" w:before="0" w:after="0"/>
        <w:rPr>
          <w:rFonts w:ascii="Times New Roman" w:hAnsi="Times New Roman" w:eastAsia="Times New Roman"/>
          <w:sz w:val="24"/>
          <w:szCs w:val="24"/>
          <w:highlight w:val="yellow"/>
          <w:lang w:eastAsia="ru-RU"/>
        </w:rPr>
      </w:pPr>
      <w:r>
        <w:rPr>
          <w:rFonts w:eastAsia="Times New Roman" w:ascii="Times New Roman" w:hAnsi="Times New Roman"/>
          <w:sz w:val="24"/>
          <w:szCs w:val="24"/>
          <w:highlight w:val="yellow"/>
          <w:lang w:eastAsia="ru-RU"/>
        </w:rPr>
      </w:r>
    </w:p>
    <w:p>
      <w:pPr>
        <w:pStyle w:val="Normal"/>
        <w:widowControl w:val="false"/>
        <w:spacing w:lineRule="auto" w:line="240" w:before="0" w:after="0"/>
        <w:rPr>
          <w:rFonts w:ascii="Times New Roman" w:hAnsi="Times New Roman" w:eastAsia="Times New Roman"/>
          <w:sz w:val="24"/>
          <w:szCs w:val="24"/>
          <w:highlight w:val="yellow"/>
          <w:lang w:eastAsia="ru-RU"/>
        </w:rPr>
      </w:pPr>
      <w:r>
        <w:rPr>
          <w:rFonts w:eastAsia="Times New Roman" w:ascii="Times New Roman" w:hAnsi="Times New Roman"/>
          <w:sz w:val="24"/>
          <w:szCs w:val="24"/>
          <w:highlight w:val="yellow"/>
          <w:lang w:eastAsia="ru-RU"/>
        </w:rPr>
      </w:r>
    </w:p>
    <w:tbl>
      <w:tblPr>
        <w:tblW w:w="935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75"/>
        <w:gridCol w:w="4679"/>
      </w:tblGrid>
      <w:tr>
        <w:trPr/>
        <w:tc>
          <w:tcPr>
            <w:tcW w:w="4675" w:type="dxa"/>
            <w:tcBorders/>
          </w:tcPr>
          <w:p>
            <w:pPr>
              <w:pStyle w:val="Normal"/>
              <w:widowControl w:val="false"/>
              <w:spacing w:lineRule="auto" w:line="240" w:before="0" w:after="0"/>
              <w:rPr>
                <w:rFonts w:ascii="Times New Roman" w:hAnsi="Times New Roman" w:eastAsia="Times New Roman"/>
                <w:b/>
                <w:sz w:val="24"/>
                <w:szCs w:val="20"/>
                <w:lang w:eastAsia="ru-RU"/>
              </w:rPr>
            </w:pPr>
            <w:r>
              <w:rPr>
                <w:rFonts w:eastAsia="Times New Roman" w:ascii="Times New Roman" w:hAnsi="Times New Roman"/>
                <w:b/>
                <w:sz w:val="24"/>
                <w:szCs w:val="20"/>
                <w:lang w:eastAsia="ru-RU"/>
              </w:rPr>
              <w:t>Покупатель:</w:t>
            </w:r>
          </w:p>
        </w:tc>
        <w:tc>
          <w:tcPr>
            <w:tcW w:w="4679" w:type="dxa"/>
            <w:tcBorders/>
          </w:tcPr>
          <w:p>
            <w:pPr>
              <w:pStyle w:val="Normal"/>
              <w:widowControl w:val="false"/>
              <w:spacing w:lineRule="auto" w:line="240" w:before="0" w:after="0"/>
              <w:rPr>
                <w:rFonts w:ascii="Times New Roman" w:hAnsi="Times New Roman" w:eastAsia="Times New Roman"/>
                <w:b/>
                <w:sz w:val="24"/>
                <w:szCs w:val="20"/>
                <w:lang w:eastAsia="ru-RU"/>
              </w:rPr>
            </w:pPr>
            <w:r>
              <w:rPr>
                <w:rFonts w:eastAsia="Times New Roman" w:ascii="Times New Roman" w:hAnsi="Times New Roman"/>
                <w:b/>
                <w:sz w:val="24"/>
                <w:szCs w:val="20"/>
                <w:lang w:eastAsia="ru-RU"/>
              </w:rPr>
              <w:t>Поставщик:</w:t>
            </w:r>
          </w:p>
          <w:p>
            <w:pPr>
              <w:pStyle w:val="Normal"/>
              <w:widowControl w:val="false"/>
              <w:spacing w:lineRule="auto" w:line="240" w:before="0" w:after="0"/>
              <w:rPr>
                <w:rFonts w:ascii="Times New Roman" w:hAnsi="Times New Roman" w:eastAsia="Times New Roman"/>
                <w:b/>
                <w:sz w:val="24"/>
                <w:szCs w:val="20"/>
                <w:highlight w:val="yellow"/>
                <w:lang w:eastAsia="ru-RU"/>
              </w:rPr>
            </w:pPr>
            <w:r>
              <w:rPr>
                <w:rFonts w:eastAsia="Times New Roman" w:ascii="Times New Roman" w:hAnsi="Times New Roman"/>
                <w:b/>
                <w:sz w:val="24"/>
                <w:szCs w:val="20"/>
                <w:highlight w:val="yellow"/>
                <w:lang w:eastAsia="ru-RU"/>
              </w:rPr>
            </w:r>
          </w:p>
        </w:tc>
      </w:tr>
      <w:tr>
        <w:trPr/>
        <w:tc>
          <w:tcPr>
            <w:tcW w:w="4675" w:type="dxa"/>
            <w:tcBorders/>
          </w:tcPr>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Директор филиала ПАО «РусГидро» - </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sz w:val="24"/>
                <w:szCs w:val="20"/>
                <w:lang w:eastAsia="ru-RU"/>
              </w:rPr>
              <w:t>«Дагестанский филиал»</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t xml:space="preserve">____________________ / Т.Г. Гамзатов </w:t>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t>м.п.</w:t>
            </w:r>
          </w:p>
        </w:tc>
        <w:tc>
          <w:tcPr>
            <w:tcW w:w="4679" w:type="dxa"/>
            <w:tcBorders/>
          </w:tcPr>
          <w:p>
            <w:pPr>
              <w:pStyle w:val="Style18"/>
              <w:spacing w:lineRule="auto" w:line="240" w:before="0" w:after="0"/>
              <w:rPr>
                <w:rFonts w:ascii="Times New Roman" w:hAnsi="Times New Roman"/>
                <w:szCs w:val="22"/>
                <w:lang w:val="ru-RU"/>
              </w:rPr>
            </w:pPr>
            <w:r>
              <w:rPr>
                <w:rFonts w:ascii="Times New Roman" w:hAnsi="Times New Roman"/>
                <w:szCs w:val="22"/>
                <w:lang w:val="ru-RU"/>
              </w:rPr>
              <w:t>Генеральный ООО «</w:t>
            </w:r>
            <w:r>
              <w:rPr>
                <w:rFonts w:ascii="Times New Roman" w:hAnsi="Times New Roman"/>
                <w:szCs w:val="22"/>
              </w:rPr>
              <w:t>ххх</w:t>
            </w:r>
            <w:r>
              <w:rPr>
                <w:rFonts w:ascii="Times New Roman" w:hAnsi="Times New Roman"/>
                <w:szCs w:val="22"/>
                <w:lang w:val="ru-RU"/>
              </w:rPr>
              <w:t>»</w:t>
            </w:r>
          </w:p>
          <w:p>
            <w:pPr>
              <w:pStyle w:val="Style18"/>
              <w:spacing w:lineRule="auto" w:line="240" w:before="0" w:after="0"/>
              <w:rPr>
                <w:rFonts w:ascii="Times New Roman" w:hAnsi="Times New Roman"/>
                <w:szCs w:val="22"/>
                <w:lang w:val="ru-RU"/>
              </w:rPr>
            </w:pPr>
            <w:r>
              <w:rPr>
                <w:rFonts w:ascii="Times New Roman" w:hAnsi="Times New Roman"/>
                <w:szCs w:val="22"/>
                <w:lang w:val="ru-RU"/>
              </w:rPr>
            </w:r>
          </w:p>
          <w:p>
            <w:pPr>
              <w:pStyle w:val="Style18"/>
              <w:spacing w:lineRule="auto" w:line="240" w:before="0" w:after="0"/>
              <w:rPr>
                <w:rFonts w:ascii="Times New Roman" w:hAnsi="Times New Roman"/>
                <w:szCs w:val="22"/>
                <w:lang w:val="ru-RU"/>
              </w:rPr>
            </w:pPr>
            <w:r>
              <w:rPr>
                <w:rFonts w:ascii="Times New Roman" w:hAnsi="Times New Roman"/>
                <w:szCs w:val="22"/>
                <w:lang w:val="ru-RU"/>
              </w:rPr>
            </w:r>
          </w:p>
          <w:p>
            <w:pPr>
              <w:pStyle w:val="Style18"/>
              <w:spacing w:lineRule="auto" w:line="240" w:before="0" w:after="0"/>
              <w:jc w:val="center"/>
              <w:rPr>
                <w:rFonts w:ascii="Times New Roman" w:hAnsi="Times New Roman"/>
                <w:szCs w:val="22"/>
                <w:lang w:val="ru-RU"/>
              </w:rPr>
            </w:pPr>
            <w:r>
              <w:rPr>
                <w:rFonts w:ascii="Times New Roman" w:hAnsi="Times New Roman"/>
                <w:szCs w:val="22"/>
                <w:lang w:val="ru-RU"/>
              </w:rPr>
            </w:r>
          </w:p>
          <w:p>
            <w:pPr>
              <w:pStyle w:val="Style18"/>
              <w:spacing w:lineRule="auto" w:line="240" w:before="0" w:after="0"/>
              <w:jc w:val="right"/>
              <w:rPr>
                <w:rFonts w:ascii="Times New Roman" w:hAnsi="Times New Roman"/>
                <w:szCs w:val="22"/>
                <w:lang w:val="ru-RU"/>
              </w:rPr>
            </w:pPr>
            <w:r>
              <w:rPr>
                <w:rFonts w:ascii="Times New Roman" w:hAnsi="Times New Roman"/>
                <w:szCs w:val="22"/>
                <w:lang w:val="ru-RU"/>
              </w:rPr>
              <w:t>___________________________</w:t>
            </w:r>
            <w:r>
              <w:rPr>
                <w:rFonts w:ascii="Times New Roman" w:hAnsi="Times New Roman"/>
                <w:sz w:val="24"/>
                <w:szCs w:val="24"/>
                <w:lang w:val="ru-RU"/>
              </w:rPr>
              <w:t xml:space="preserve"> /</w:t>
            </w:r>
            <w:r>
              <w:rPr>
                <w:rFonts w:ascii="Times New Roman" w:hAnsi="Times New Roman"/>
                <w:sz w:val="24"/>
                <w:szCs w:val="24"/>
              </w:rPr>
              <w:t>ххх</w:t>
            </w:r>
            <w:r>
              <w:rPr>
                <w:rFonts w:ascii="Times New Roman" w:hAnsi="Times New Roman"/>
                <w:sz w:val="24"/>
                <w:szCs w:val="24"/>
                <w:lang w:val="ru-RU"/>
              </w:rPr>
              <w:t>/</w:t>
            </w:r>
          </w:p>
          <w:p>
            <w:pPr>
              <w:pStyle w:val="Normal"/>
              <w:spacing w:lineRule="auto" w:line="240" w:before="0" w:after="0"/>
              <w:jc w:val="both"/>
              <w:rPr>
                <w:rFonts w:ascii="Times New Roman" w:hAnsi="Times New Roman" w:eastAsia="Times New Roman"/>
                <w:sz w:val="24"/>
                <w:szCs w:val="24"/>
                <w:lang w:eastAsia="ru-RU"/>
              </w:rPr>
            </w:pPr>
            <w:r>
              <w:rPr>
                <w:rFonts w:ascii="Times New Roman" w:hAnsi="Times New Roman"/>
                <w:sz w:val="16"/>
                <w:szCs w:val="16"/>
              </w:rPr>
              <w:t>М.П.</w:t>
            </w:r>
          </w:p>
        </w:tc>
      </w:tr>
    </w:tbl>
    <w:p>
      <w:pPr>
        <w:pStyle w:val="Normal"/>
        <w:ind w:left="-426"/>
        <w:rPr/>
      </w:pPr>
      <w:r>
        <w:rPr/>
      </w:r>
    </w:p>
    <w:p>
      <w:pPr>
        <w:pStyle w:val="Normal"/>
        <w:widowControl/>
        <w:bidi w:val="0"/>
        <w:spacing w:lineRule="auto" w:line="276" w:before="0" w:after="200"/>
        <w:jc w:val="left"/>
        <w:rPr/>
      </w:pPr>
      <w:r>
        <w:rPr/>
      </w:r>
    </w:p>
    <w:sectPr>
      <w:footerReference w:type="default" r:id="rId3"/>
      <w:footerReference w:type="first" r:id="rId4"/>
      <w:type w:val="nextPage"/>
      <w:pgSz w:w="11906" w:h="16838"/>
      <w:pgMar w:left="1701" w:right="850" w:gutter="0" w:header="0"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63448961"/>
    </w:sdtPr>
    <w:sdtContent>
      <w:p>
        <w:pPr>
          <w:pStyle w:val="Footer"/>
          <w:jc w:val="center"/>
          <w:rPr/>
        </w:pPr>
        <w:r>
          <w:rPr/>
          <w:fldChar w:fldCharType="begin"/>
        </w:r>
        <w:r>
          <w:rPr/>
          <w:instrText xml:space="preserve"> PAGE </w:instrText>
        </w:r>
        <w:r>
          <w:rPr/>
          <w:fldChar w:fldCharType="separate"/>
        </w:r>
        <w:r>
          <w:rPr/>
          <w:t>11</w:t>
        </w:r>
        <w:r>
          <w:rPr/>
          <w:fldChar w:fldCharType="end"/>
        </w:r>
      </w:p>
      <w:p>
        <w:pPr>
          <w:pStyle w:val="Footer"/>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44348512"/>
    </w:sdtPr>
    <w:sdtContent>
      <w:p>
        <w:pPr>
          <w:pStyle w:val="Footer"/>
          <w:jc w:val="cen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142"/>
        </w:tabs>
        <w:ind w:left="1142" w:hanging="432"/>
      </w:pPr>
      <w:rPr>
        <w:sz w:val="24"/>
        <w:szCs w:val="24"/>
      </w:rPr>
    </w:lvl>
    <w:lvl w:ilvl="2">
      <w:start w:val="1"/>
      <w:numFmt w:val="decimal"/>
      <w:lvlText w:val="%1.%2.%3."/>
      <w:lvlJc w:val="left"/>
      <w:pPr>
        <w:tabs>
          <w:tab w:val="num" w:pos="1854"/>
        </w:tabs>
        <w:ind w:left="1638"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0"/>
      <w:numFmt w:val="decimal"/>
      <w:lvlText w:val="%1."/>
      <w:lvlJc w:val="left"/>
      <w:pPr>
        <w:tabs>
          <w:tab w:val="num" w:pos="360"/>
        </w:tabs>
        <w:ind w:left="360" w:hanging="360"/>
      </w:pPr>
      <w:rPr/>
    </w:lvl>
    <w:lvl w:ilvl="1">
      <w:start w:val="1"/>
      <w:numFmt w:val="decimal"/>
      <w:lvlText w:val="%1.%2."/>
      <w:lvlJc w:val="left"/>
      <w:pPr>
        <w:tabs>
          <w:tab w:val="num" w:pos="1142"/>
        </w:tabs>
        <w:ind w:left="1142" w:hanging="432"/>
      </w:pPr>
      <w:rPr>
        <w:sz w:val="24"/>
        <w:szCs w:val="24"/>
      </w:rPr>
    </w:lvl>
    <w:lvl w:ilvl="2">
      <w:start w:val="1"/>
      <w:numFmt w:val="decimal"/>
      <w:lvlText w:val="%1.%2.%3."/>
      <w:lvlJc w:val="left"/>
      <w:pPr>
        <w:tabs>
          <w:tab w:val="num" w:pos="1571"/>
        </w:tabs>
        <w:ind w:left="1355"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0566e"/>
    <w:pPr>
      <w:widowControl/>
      <w:suppressAutoHyphens w:val="true"/>
      <w:bidi w:val="0"/>
      <w:spacing w:lineRule="auto" w:line="276" w:before="0" w:after="20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qFormat/>
    <w:rsid w:val="0010566e"/>
    <w:rPr>
      <w:rFonts w:ascii="Times New Roman" w:hAnsi="Times New Roman" w:eastAsia="Times New Roman" w:cs="Times New Roman"/>
      <w:sz w:val="20"/>
      <w:szCs w:val="20"/>
      <w:lang w:val="x-none" w:eastAsia="ru-RU"/>
    </w:rPr>
  </w:style>
  <w:style w:type="character" w:styleId="Style10" w:customStyle="1">
    <w:name w:val="Основной текст Знак"/>
    <w:basedOn w:val="DefaultParagraphFont"/>
    <w:qFormat/>
    <w:rsid w:val="0010566e"/>
    <w:rPr>
      <w:rFonts w:ascii="Times New Roman" w:hAnsi="Times New Roman" w:eastAsia="Times New Roman" w:cs="Times New Roman"/>
      <w:sz w:val="20"/>
      <w:szCs w:val="20"/>
      <w:lang w:val="x-none" w:eastAsia="ru-RU"/>
    </w:rPr>
  </w:style>
  <w:style w:type="character" w:styleId="Style11" w:customStyle="1">
    <w:name w:val="Нижний колонтитул Знак"/>
    <w:basedOn w:val="DefaultParagraphFont"/>
    <w:uiPriority w:val="99"/>
    <w:qFormat/>
    <w:rsid w:val="0010566e"/>
    <w:rPr>
      <w:rFonts w:ascii="Calibri" w:hAnsi="Calibri" w:eastAsia="Calibri" w:cs="Times New Roman"/>
    </w:rPr>
  </w:style>
  <w:style w:type="character" w:styleId="Annotationreference">
    <w:name w:val="annotation reference"/>
    <w:basedOn w:val="DefaultParagraphFont"/>
    <w:uiPriority w:val="99"/>
    <w:semiHidden/>
    <w:unhideWhenUsed/>
    <w:qFormat/>
    <w:rsid w:val="00044ced"/>
    <w:rPr>
      <w:sz w:val="16"/>
      <w:szCs w:val="16"/>
    </w:rPr>
  </w:style>
  <w:style w:type="character" w:styleId="Style12" w:customStyle="1">
    <w:name w:val="Текст примечания Знак"/>
    <w:basedOn w:val="DefaultParagraphFont"/>
    <w:link w:val="Annotationtext"/>
    <w:uiPriority w:val="99"/>
    <w:semiHidden/>
    <w:qFormat/>
    <w:rsid w:val="00044ced"/>
    <w:rPr>
      <w:rFonts w:ascii="Calibri" w:hAnsi="Calibri" w:eastAsia="Calibri" w:cs="Times New Roman"/>
      <w:sz w:val="20"/>
      <w:szCs w:val="20"/>
    </w:rPr>
  </w:style>
  <w:style w:type="character" w:styleId="Style13" w:customStyle="1">
    <w:name w:val="Тема примечания Знак"/>
    <w:basedOn w:val="Style12"/>
    <w:link w:val="Annotationsubject"/>
    <w:uiPriority w:val="99"/>
    <w:semiHidden/>
    <w:qFormat/>
    <w:rsid w:val="00044ced"/>
    <w:rPr>
      <w:rFonts w:ascii="Calibri" w:hAnsi="Calibri" w:eastAsia="Calibri" w:cs="Times New Roman"/>
      <w:b/>
      <w:bCs/>
      <w:sz w:val="20"/>
      <w:szCs w:val="20"/>
    </w:rPr>
  </w:style>
  <w:style w:type="character" w:styleId="Style14" w:customStyle="1">
    <w:name w:val="Текст выноски Знак"/>
    <w:basedOn w:val="DefaultParagraphFont"/>
    <w:link w:val="BalloonText"/>
    <w:uiPriority w:val="99"/>
    <w:semiHidden/>
    <w:qFormat/>
    <w:rsid w:val="00044ced"/>
    <w:rPr>
      <w:rFonts w:ascii="Segoe UI" w:hAnsi="Segoe UI" w:eastAsia="Calibri" w:cs="Segoe UI"/>
      <w:sz w:val="18"/>
      <w:szCs w:val="18"/>
    </w:rPr>
  </w:style>
  <w:style w:type="paragraph" w:styleId="Style15">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10"/>
    <w:rsid w:val="0010566e"/>
    <w:pPr>
      <w:spacing w:lineRule="auto" w:line="240" w:before="0" w:after="0"/>
      <w:jc w:val="both"/>
    </w:pPr>
    <w:rPr>
      <w:rFonts w:ascii="Times New Roman" w:hAnsi="Times New Roman" w:eastAsia="Times New Roman"/>
      <w:sz w:val="20"/>
      <w:szCs w:val="20"/>
      <w:lang w:val="x-none" w:eastAsia="ru-RU"/>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Style17">
    <w:name w:val="Колонтитул"/>
    <w:basedOn w:val="Normal"/>
    <w:qFormat/>
    <w:pPr/>
    <w:rPr/>
  </w:style>
  <w:style w:type="paragraph" w:styleId="Header">
    <w:name w:val="Header"/>
    <w:basedOn w:val="Normal"/>
    <w:link w:val="Style9"/>
    <w:rsid w:val="0010566e"/>
    <w:pPr>
      <w:widowControl w:val="false"/>
      <w:tabs>
        <w:tab w:val="clear" w:pos="708"/>
        <w:tab w:val="center" w:pos="4677" w:leader="none"/>
        <w:tab w:val="right" w:pos="9355" w:leader="none"/>
      </w:tabs>
      <w:spacing w:lineRule="auto" w:line="240" w:before="0" w:after="0"/>
    </w:pPr>
    <w:rPr>
      <w:rFonts w:ascii="Times New Roman" w:hAnsi="Times New Roman" w:eastAsia="Times New Roman"/>
      <w:sz w:val="20"/>
      <w:szCs w:val="20"/>
      <w:lang w:val="x-none" w:eastAsia="ru-RU"/>
    </w:rPr>
  </w:style>
  <w:style w:type="paragraph" w:styleId="Footer">
    <w:name w:val="Footer"/>
    <w:basedOn w:val="Normal"/>
    <w:link w:val="Style11"/>
    <w:uiPriority w:val="99"/>
    <w:unhideWhenUsed/>
    <w:rsid w:val="0010566e"/>
    <w:pPr>
      <w:tabs>
        <w:tab w:val="clear" w:pos="708"/>
        <w:tab w:val="center" w:pos="4677" w:leader="none"/>
        <w:tab w:val="right" w:pos="9355" w:leader="none"/>
      </w:tabs>
      <w:spacing w:lineRule="auto" w:line="240" w:before="0" w:after="0"/>
    </w:pPr>
    <w:rPr/>
  </w:style>
  <w:style w:type="paragraph" w:styleId="ListParagraph">
    <w:name w:val="List Paragraph"/>
    <w:basedOn w:val="Normal"/>
    <w:uiPriority w:val="34"/>
    <w:qFormat/>
    <w:rsid w:val="0010566e"/>
    <w:pPr>
      <w:spacing w:before="0" w:after="200"/>
      <w:ind w:left="720"/>
      <w:contextualSpacing/>
    </w:pPr>
    <w:rPr/>
  </w:style>
  <w:style w:type="paragraph" w:styleId="ParagraphStyle" w:customStyle="1">
    <w:name w:val="Paragraph Style"/>
    <w:qFormat/>
    <w:rsid w:val="003d6d3e"/>
    <w:pPr>
      <w:widowControl w:val="false"/>
      <w:suppressAutoHyphens w:val="true"/>
      <w:bidi w:val="0"/>
      <w:spacing w:lineRule="auto" w:line="240" w:before="0" w:after="0"/>
      <w:jc w:val="left"/>
    </w:pPr>
    <w:rPr>
      <w:rFonts w:ascii="Times New Roman" w:hAnsi="Times New Roman" w:eastAsia="" w:cs="Times New Roman" w:eastAsiaTheme="minorEastAsia"/>
      <w:color w:val="auto"/>
      <w:kern w:val="0"/>
      <w:sz w:val="24"/>
      <w:szCs w:val="24"/>
      <w:lang w:val="ru-RU" w:eastAsia="ru-RU" w:bidi="ar-SA"/>
    </w:rPr>
  </w:style>
  <w:style w:type="paragraph" w:styleId="Style18" w:customStyle="1">
    <w:name w:val="Знак Знак Знак Знак Знак Знак Знак Знак Знак"/>
    <w:basedOn w:val="Normal"/>
    <w:qFormat/>
    <w:rsid w:val="00880c05"/>
    <w:pPr>
      <w:spacing w:lineRule="exact" w:line="240" w:before="0" w:after="160"/>
      <w:jc w:val="both"/>
    </w:pPr>
    <w:rPr>
      <w:rFonts w:ascii="Verdana" w:hAnsi="Verdana" w:eastAsia="Times New Roman"/>
      <w:szCs w:val="20"/>
      <w:lang w:val="en-US"/>
    </w:rPr>
  </w:style>
  <w:style w:type="paragraph" w:styleId="Annotationtext">
    <w:name w:val="annotation text"/>
    <w:basedOn w:val="Normal"/>
    <w:link w:val="Style12"/>
    <w:uiPriority w:val="99"/>
    <w:semiHidden/>
    <w:unhideWhenUsed/>
    <w:qFormat/>
    <w:rsid w:val="00044ced"/>
    <w:pPr>
      <w:spacing w:lineRule="auto" w:line="240"/>
    </w:pPr>
    <w:rPr>
      <w:sz w:val="20"/>
      <w:szCs w:val="20"/>
    </w:rPr>
  </w:style>
  <w:style w:type="paragraph" w:styleId="Annotationsubject">
    <w:name w:val="annotation subject"/>
    <w:basedOn w:val="Annotationtext"/>
    <w:next w:val="Annotationtext"/>
    <w:link w:val="Style13"/>
    <w:uiPriority w:val="99"/>
    <w:semiHidden/>
    <w:unhideWhenUsed/>
    <w:qFormat/>
    <w:rsid w:val="00044ced"/>
    <w:pPr/>
    <w:rPr>
      <w:b/>
      <w:bCs/>
    </w:rPr>
  </w:style>
  <w:style w:type="paragraph" w:styleId="BalloonText">
    <w:name w:val="Balloon Text"/>
    <w:basedOn w:val="Normal"/>
    <w:link w:val="Style14"/>
    <w:uiPriority w:val="99"/>
    <w:semiHidden/>
    <w:unhideWhenUsed/>
    <w:qFormat/>
    <w:rsid w:val="00044ced"/>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7DCCD-E12A-4C66-B3AC-01F99A3B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AlterOffice/2026.2.0.0$Linux_X86_64 LibreOffice_project/bc4ef1adf80b36c7a6365f8ed6cbf29021361edd</Application>
  <AppVersion>15.0000</AppVersion>
  <Pages>12</Pages>
  <Words>3852</Words>
  <Characters>27143</Characters>
  <CharactersWithSpaces>30771</CharactersWithSpaces>
  <Paragraphs>192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2026-04-15T10:50:00Z</dcterms:created>
  <dc:creator>Махмудов Амиргаджи Магомедович</dc:creator>
  <dc:description/>
  <dc:language>ru-RU</dc:language>
  <cp:lastModifiedBy>mahmudovam@corp.gidroogk.com</cp:lastModifiedBy>
  <dcterms:modified xsi:type="dcterms:W3CDTF">2026-10-22T13:59:43Z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