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5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45"/>
        <w:gridCol w:w="426"/>
        <w:gridCol w:w="4679"/>
      </w:tblGrid>
      <w:tr>
        <w:trPr/>
        <w:tc>
          <w:tcPr>
            <w:tcW w:w="4645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  <w:t>УТВЕРЖДАЮ</w:t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snapToGrid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Первый заместитель директора-</w:t>
            </w:r>
          </w:p>
          <w:p>
            <w:pPr>
              <w:pStyle w:val="Normal"/>
              <w:snapToGrid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инженер Филиала</w:t>
            </w:r>
          </w:p>
          <w:p>
            <w:pPr>
              <w:pStyle w:val="Normal"/>
              <w:snapToGrid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ПАО «РусГидро» - «Дагестанский филиал»</w:t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 М.Ш. Магомедов</w:t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«____» ____________________ 202</w:t>
            </w:r>
            <w:r>
              <w:rPr>
                <w:lang w:val="en-US"/>
              </w:rPr>
              <w:t>6</w:t>
            </w:r>
            <w:r>
              <w:rPr/>
              <w:t xml:space="preserve"> г.</w:t>
            </w:r>
          </w:p>
        </w:tc>
      </w:tr>
    </w:tbl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tbl>
      <w:tblPr>
        <w:tblW w:w="975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45"/>
        <w:gridCol w:w="426"/>
        <w:gridCol w:w="4679"/>
      </w:tblGrid>
      <w:tr>
        <w:trPr/>
        <w:tc>
          <w:tcPr>
            <w:tcW w:w="4645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b/>
          <w:color w:val="000000"/>
        </w:rPr>
      </w:pPr>
      <w:r>
        <w:rPr>
          <w:b/>
          <w:color w:val="000000"/>
        </w:rPr>
        <w:t>ТЕХНИЧЕСКИЕ ТРЕБОВАНИЯ</w:t>
      </w:r>
    </w:p>
    <w:p>
      <w:pPr>
        <w:pStyle w:val="BlockText"/>
        <w:ind w:left="426" w:right="-2"/>
        <w:rPr>
          <w:b w:val="false"/>
          <w:sz w:val="28"/>
          <w:szCs w:val="28"/>
        </w:rPr>
      </w:pPr>
      <w:bookmarkStart w:id="0" w:name="OLE_LINK1"/>
      <w:bookmarkStart w:id="1" w:name="OLE_LINK2"/>
      <w:r>
        <w:rPr>
          <w:b w:val="false"/>
          <w:sz w:val="28"/>
          <w:szCs w:val="28"/>
        </w:rPr>
        <w:t xml:space="preserve">на поставку материалов, запчастей на содержание и эксплуатацию объектов ГО ЧС Филиала ПАО «РусГидро» - «Дагестанский филиал» </w:t>
      </w:r>
      <w:bookmarkEnd w:id="0"/>
      <w:bookmarkEnd w:id="1"/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>г. Каспийск  202</w:t>
      </w:r>
      <w:r>
        <w:rPr>
          <w:color w:val="000000"/>
          <w:lang w:val="en-US"/>
        </w:rPr>
        <w:t>6</w:t>
      </w:r>
      <w:r>
        <w:rPr>
          <w:color w:val="000000"/>
        </w:rPr>
        <w:t xml:space="preserve"> г.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304" w:right="926" w:gutter="0" w:header="0" w:top="993" w:footer="0" w:bottom="426"/>
          <w:pgNumType w:fmt="decimal"/>
          <w:formProt w:val="false"/>
          <w:textDirection w:val="lrTb"/>
          <w:docGrid w:type="default" w:linePitch="360" w:charSpace="0"/>
        </w:sectPr>
        <w:pStyle w:val="Normal"/>
        <w:ind w:left="6096"/>
        <w:rPr>
          <w:color w:val="000000"/>
        </w:rPr>
      </w:pPr>
      <w:r>
        <w:rPr>
          <w:color w:val="000000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Наименование закупаемой продукции (услуг)</w:t>
      </w:r>
    </w:p>
    <w:p>
      <w:pPr>
        <w:pStyle w:val="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Материалы, запчасти на содержание и эксплуатацию объектов ГО ЧС</w:t>
      </w:r>
      <w:r>
        <w:rPr>
          <w:color w:val="000000"/>
          <w:sz w:val="28"/>
          <w:szCs w:val="28"/>
        </w:rPr>
        <w:t xml:space="preserve"> для Филиала ПАО «РусГидро» - «Дагестанский филиал» (далее Филиал)</w:t>
      </w:r>
      <w:r>
        <w:rPr>
          <w:rFonts w:eastAsia="Calibri"/>
          <w:sz w:val="28"/>
          <w:szCs w:val="28"/>
        </w:rPr>
        <w:t xml:space="preserve">. </w:t>
      </w:r>
    </w:p>
    <w:p>
      <w:pPr>
        <w:pStyle w:val="Normal"/>
        <w:ind w:firstLine="709"/>
        <w:jc w:val="both"/>
        <w:rPr>
          <w:b/>
          <w:i/>
          <w:i/>
          <w:sz w:val="28"/>
          <w:szCs w:val="28"/>
          <w:highlight w:val="yellow"/>
        </w:rPr>
      </w:pPr>
      <w:r>
        <w:rPr>
          <w:rFonts w:eastAsia="Calibri"/>
          <w:sz w:val="28"/>
          <w:szCs w:val="28"/>
        </w:rPr>
        <w:t>Краткое наименование – Поставка м</w:t>
      </w:r>
      <w:r>
        <w:rPr>
          <w:sz w:val="28"/>
          <w:szCs w:val="28"/>
        </w:rPr>
        <w:t>атериалов, запчастей на содержание и эксплуатацию объектов ГО ЧС</w:t>
      </w:r>
      <w:r>
        <w:rPr>
          <w:rFonts w:eastAsia="Calibri"/>
          <w:sz w:val="28"/>
          <w:szCs w:val="28"/>
        </w:rPr>
        <w:t xml:space="preserve">. </w:t>
      </w:r>
    </w:p>
    <w:p>
      <w:pPr>
        <w:pStyle w:val="Normal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Заказчик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Публичное акционерное общество «Федеральная гидрогенерирующая компания - РусГидро» (ПАО «РусГидро»)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660049, Красноярский край, г. Красноярск, ул. </w:t>
      </w:r>
      <w:r>
        <w:rPr>
          <w:sz w:val="28"/>
          <w:szCs w:val="28"/>
          <w:lang w:val="en-US"/>
        </w:rPr>
        <w:t>Перинсона</w:t>
      </w:r>
      <w:r>
        <w:rPr>
          <w:sz w:val="28"/>
          <w:szCs w:val="28"/>
        </w:rPr>
        <w:t xml:space="preserve">, д. 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помещ</w:t>
      </w:r>
      <w:r>
        <w:rPr>
          <w:sz w:val="28"/>
          <w:szCs w:val="28"/>
        </w:rPr>
        <w:t>.1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ПАО «РусГидро» - «Дагестанский филиал»,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адрес: 368300, РД, г. Каспийск, ул. Халилова, 5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Подразделения: ОП «Чиркейская ГЭС», ОП «Ирганайская ГЭС», ОП «Каскад-Сулакских ГЭС», </w:t>
      </w:r>
    </w:p>
    <w:p>
      <w:pPr>
        <w:pStyle w:val="Normal"/>
        <w:ind w:firstLine="709" w:right="-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Цели и задачи. Существующее положение </w:t>
      </w:r>
    </w:p>
    <w:p>
      <w:pPr>
        <w:pStyle w:val="Normal"/>
        <w:ind w:left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3.1. Цель:</w:t>
      </w:r>
    </w:p>
    <w:p>
      <w:pPr>
        <w:pStyle w:val="BodyText"/>
        <w:spacing w:before="0" w:after="0"/>
        <w:ind w:firstLine="709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требований НПА:</w:t>
      </w:r>
    </w:p>
    <w:p>
      <w:pPr>
        <w:pStyle w:val="BodyText"/>
        <w:spacing w:before="0" w:after="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Российской Федерации от 12.02.1998г. №28-ФЗ «О гражданской обороне»;</w:t>
      </w:r>
    </w:p>
    <w:p>
      <w:pPr>
        <w:pStyle w:val="BodyText"/>
        <w:spacing w:before="0" w:after="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Российской Федерации от 21.12.1994г. №68-ФЗ «О защите населения и территорий от ЧС природного техногенного характера».</w:t>
      </w:r>
    </w:p>
    <w:p>
      <w:pPr>
        <w:pStyle w:val="BodyText"/>
        <w:spacing w:before="0" w:after="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от 22.08.1995 № 151-ФЗ «Об аварийно-спасательных службах и статусе спасателей»;</w:t>
      </w:r>
    </w:p>
    <w:p>
      <w:pPr>
        <w:pStyle w:val="BodyText"/>
        <w:spacing w:before="0" w:after="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постановления Правительства РФ от 15 апреля 2002 г. № 240 «Об утверждении Правил организации мероприятий по предупреждению и ликвидации разливов нефти и нефтепродуктов на территории Российской Федерации»; </w:t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Правительства РФ от 21.08.2000 г. № 613 «О неотложных мерах по предупреждению и ликвидации аварийных разливов нефти и нефтепродуктов»;</w:t>
      </w:r>
    </w:p>
    <w:p>
      <w:pPr>
        <w:pStyle w:val="BodyText"/>
        <w:spacing w:before="0" w:after="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приказа МЧС России от 28.12.2004 г. № 621 «Об утверждении Правил разработки и согласования планов по предупреждению и ликвидации разливов нефти и нефтепродуктов на территории Российской Федерации»;</w:t>
      </w:r>
    </w:p>
    <w:p>
      <w:pPr>
        <w:pStyle w:val="BodyText"/>
        <w:spacing w:before="0" w:after="12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приказов ПАО «РусГидро» от 11.12.2014 № 1039 и Филиала ПАО «РусГидро»-«Дагестанский филиал» от 25.05.2015 № 222 «Об организации создания нештатного аварийно-спасательного формирования» и от 11.11.2022 № ДФ/81-695 О создании в Филиале резервов материальных ресурсов для ликвидации чрезвычайных ситуаций,  </w:t>
      </w:r>
    </w:p>
    <w:p>
      <w:pPr>
        <w:pStyle w:val="BodyText"/>
        <w:spacing w:before="0" w:after="0"/>
        <w:ind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приобретения аварийно-спасательным звеньям обособленных подразделений Филиала (НАСФ Филиала) </w:t>
      </w:r>
      <w:r>
        <w:rPr>
          <w:color w:val="000000"/>
          <w:sz w:val="28"/>
          <w:szCs w:val="28"/>
        </w:rPr>
        <w:t>оборудование, имущество ГОЧС, а также инструменты (далее АСИ) для ликвидации аварийного разлива нефти и нефтепродуктов при ЧС</w:t>
      </w:r>
      <w:r>
        <w:rPr>
          <w:sz w:val="28"/>
          <w:szCs w:val="28"/>
        </w:rPr>
        <w:t xml:space="preserve"> на водных объектах Филиала.</w:t>
      </w:r>
    </w:p>
    <w:p>
      <w:pPr>
        <w:pStyle w:val="BodyText"/>
        <w:spacing w:before="0" w:after="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3.2. Задачи: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нештатных аварийно-спасательных формирований (НАСФ) Филиала: звеньев НАСФ обособленных подразделений ЧГЭС, ИГЭС, КСГЭС оборудованием, имуществом ГОЧС и АСИ при выполнении аварийно-спасательных работ по ликвидации аварийного разлива нефти и нефтепродуктов согласно Номенклатуре и объемам запасов материальных средств ГО для Филиала, утвержденной приказом Филиала от 11.11.2022 г. № ДФ/81-695 (27.10.2017 № ДФ/81-507).</w:t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3.4. Существующее положение</w:t>
      </w:r>
    </w:p>
    <w:p>
      <w:pPr>
        <w:pStyle w:val="Normal"/>
        <w:ind w:firstLine="709" w:right="-2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объекты Филиала: НАСФ (АСЗ) обособленных подразделений ЧГЭС, ИГЭС, КСГЭС имуществом ГОЧС и АСИ для ликвидации аварийного разлива нефти и выполнения аварийно-спасательных работ на водной поверхности (разворачивание и установка бонов) обеспечены недостаточно, что не позволяет при возникновении ЧС выполнить поставленные перед ним задач в полном объеме.</w:t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widowControl w:val="false"/>
        <w:numPr>
          <w:ilvl w:val="0"/>
          <w:numId w:val="3"/>
        </w:numPr>
        <w:shd w:val="clear" w:color="auto" w:fill="FFFFFF"/>
        <w:tabs>
          <w:tab w:val="clear" w:pos="708"/>
          <w:tab w:val="left" w:pos="428" w:leader="none"/>
        </w:tabs>
        <w:spacing w:before="0" w:after="0"/>
        <w:contextualSpacing w:val="false"/>
        <w:jc w:val="both"/>
        <w:rPr>
          <w:rFonts w:ascii="Times New Roman" w:hAnsi="Times New Roman"/>
          <w:vanish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vanish/>
          <w:spacing w:val="-4"/>
          <w:sz w:val="28"/>
          <w:szCs w:val="28"/>
          <w:lang w:eastAsia="ru-RU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 к закупаемой продукции (технические и иные характеристики):</w:t>
      </w:r>
    </w:p>
    <w:p>
      <w:pPr>
        <w:pStyle w:val="Normal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Поставщик должен: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Предоставить Заказчику оборудование в полном соответствии с перечнем - спецификацией, представленным в приложении к договору.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Предоставить Заказчику пользовательские инструкции на русском языке.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Все поставляемое оборудование предоставить в заводских упаковках производителя.</w:t>
      </w:r>
    </w:p>
    <w:tbl>
      <w:tblPr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00"/>
        <w:gridCol w:w="4112"/>
        <w:gridCol w:w="849"/>
        <w:gridCol w:w="3260"/>
      </w:tblGrid>
      <w:tr>
        <w:trPr>
          <w:tblHeader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>п/п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 xml:space="preserve">Наименование </w:t>
            </w:r>
          </w:p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>материальных средств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>Ед.</w:t>
            </w:r>
          </w:p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>изм.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>Количество</w:t>
            </w:r>
          </w:p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>(норматив, условия)</w:t>
            </w:r>
          </w:p>
        </w:tc>
      </w:tr>
      <w:tr>
        <w:trPr>
          <w:tblHeader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>
        <w:trPr>
          <w:tblHeader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</w:rPr>
              <w:t xml:space="preserve">Боны заградительные </w:t>
            </w:r>
            <w:r>
              <w:rPr/>
              <w:t>БНп-20/600 в комплекте*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п.м.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3</w:t>
            </w:r>
            <w:r>
              <w:rPr>
                <w:rFonts w:cs="Arial" w:ascii="Arial" w:hAnsi="Arial"/>
                <w:sz w:val="20"/>
                <w:szCs w:val="20"/>
                <w:lang w:val="en-US"/>
              </w:rPr>
              <w:t>0</w:t>
            </w:r>
            <w:r>
              <w:rPr>
                <w:rFonts w:cs="Arial" w:ascii="Arial" w:hAnsi="Arial"/>
                <w:sz w:val="20"/>
                <w:szCs w:val="20"/>
              </w:rPr>
              <w:t>0</w:t>
            </w:r>
          </w:p>
        </w:tc>
      </w:tr>
      <w:tr>
        <w:trPr>
          <w:tblHeader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Салфетка сорбирующая 80х50 см в рулоне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шт.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3</w:t>
            </w:r>
            <w:r>
              <w:rPr>
                <w:rFonts w:cs="Arial" w:ascii="Arial" w:hAnsi="Arial"/>
                <w:sz w:val="20"/>
                <w:szCs w:val="20"/>
              </w:rPr>
              <w:t>00</w:t>
            </w:r>
          </w:p>
        </w:tc>
      </w:tr>
    </w:tbl>
    <w:p>
      <w:pPr>
        <w:pStyle w:val="Normal"/>
        <w:ind w:left="720" w:right="-2"/>
        <w:jc w:val="both"/>
        <w:rPr>
          <w:lang w:val="en-US"/>
        </w:rPr>
      </w:pPr>
      <w:r>
        <w:rPr>
          <w:lang w:val="en-US"/>
        </w:rPr>
        <w:t>*  ТТ представлены в прило</w:t>
      </w:r>
      <w:bookmarkStart w:id="2" w:name="_GoBack"/>
      <w:bookmarkEnd w:id="2"/>
      <w:r>
        <w:rPr>
          <w:lang w:val="en-US"/>
        </w:rPr>
        <w:t>жении.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Поставляемые боны должны быть усиленными для использования их на реках (горных), имеющими скорость течения 3-5 м/сек, а также учитывающими их каменистые дна.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комплектацию бонов также должны входить соответствующие береговые шнеки.</w:t>
      </w:r>
    </w:p>
    <w:p>
      <w:pPr>
        <w:pStyle w:val="ListParagraph"/>
        <w:ind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color w:val="000000"/>
          <w:sz w:val="28"/>
          <w:szCs w:val="28"/>
        </w:rPr>
        <w:t>Сроки проведения работ</w:t>
      </w:r>
    </w:p>
    <w:p>
      <w:pPr>
        <w:pStyle w:val="ListParagraph"/>
        <w:spacing w:before="0" w:after="0"/>
        <w:ind w:firstLine="709" w:left="0" w:right="-2"/>
        <w:contextualSpacing w:val="false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Срок выполнения поставки (работ, услуг):</w:t>
      </w:r>
    </w:p>
    <w:p>
      <w:pPr>
        <w:pStyle w:val="ListParagraph"/>
        <w:spacing w:before="0" w:after="0"/>
        <w:ind w:firstLine="709" w:left="0" w:right="-2"/>
        <w:contextualSpacing w:val="false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Начало -  с даты заключения договора; </w:t>
      </w:r>
    </w:p>
    <w:p>
      <w:pPr>
        <w:pStyle w:val="ListParagraph"/>
        <w:spacing w:before="0" w:after="0"/>
        <w:ind w:firstLine="709" w:left="0" w:right="-2"/>
        <w:contextualSpacing w:val="false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Окончание до </w:t>
      </w:r>
      <w:r>
        <w:rPr>
          <w:rFonts w:ascii="Times New Roman" w:hAnsi="Times New Roman"/>
          <w:sz w:val="28"/>
          <w:szCs w:val="28"/>
          <w:lang w:val="en-US" w:eastAsia="ru-RU"/>
        </w:rPr>
        <w:t>31.12.</w:t>
      </w:r>
      <w:r>
        <w:rPr>
          <w:rFonts w:ascii="Times New Roman" w:hAnsi="Times New Roman"/>
          <w:sz w:val="28"/>
          <w:szCs w:val="28"/>
          <w:lang w:eastAsia="ru-RU"/>
        </w:rPr>
        <w:t>2026</w:t>
      </w:r>
    </w:p>
    <w:p>
      <w:pPr>
        <w:pStyle w:val="Normal"/>
        <w:ind w:firstLine="709" w:right="-2"/>
        <w:jc w:val="both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Иные условия оказания услуг по поставке</w:t>
      </w:r>
    </w:p>
    <w:p>
      <w:pPr>
        <w:pStyle w:val="Heading4"/>
        <w:keepLines w:val="false"/>
        <w:numPr>
          <w:ilvl w:val="0"/>
          <w:numId w:val="0"/>
        </w:numPr>
        <w:suppressAutoHyphens w:val="true"/>
        <w:spacing w:before="120" w:after="60"/>
        <w:ind w:firstLine="709" w:left="0"/>
        <w:jc w:val="both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color w:val="000000"/>
          <w:sz w:val="28"/>
          <w:szCs w:val="28"/>
        </w:rPr>
        <w:t xml:space="preserve">Поставка оборудования производится в полной комплектации, т.е. поставляется в такой комплектации, которая позволяет начать эксплуатацию оборудования без закупки дополнительных комплектующих. </w:t>
      </w:r>
    </w:p>
    <w:p>
      <w:pPr>
        <w:pStyle w:val="Normal"/>
        <w:ind w:left="644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Требования к поставщику (подрядчику, исполнителю)</w:t>
      </w:r>
    </w:p>
    <w:p>
      <w:pPr>
        <w:pStyle w:val="Normal"/>
        <w:ind w:left="644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 Организации - Поставщики, обладающие гражданской правоспособностью для заключения договора.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 Организации - Поставщики, не являющиеся банкротом, не находящиеся в процессе ликвидации, на имущество в части касающейся существенной для исполнения договора не должен быть наложен арест, его экономическая деятельность не должна быть приостановлена.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  Организации – Поставщики, не имеющие задолженности и претензий перед Заказчиком (по поставкам в срок, не допоставки, пересортицы), по предыдущим поставкам и договорам.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 Организации – Поставщики, имеющие опыт работы по поставке аналогичной продукции.</w:t>
      </w:r>
    </w:p>
    <w:p>
      <w:pPr>
        <w:pStyle w:val="Normal"/>
        <w:ind w:left="6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Требования к договорным условиям </w:t>
      </w:r>
    </w:p>
    <w:p>
      <w:pPr>
        <w:pStyle w:val="Normal"/>
        <w:ind w:left="644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Требования к документации по ценообразованию</w:t>
      </w:r>
    </w:p>
    <w:p>
      <w:pPr>
        <w:pStyle w:val="Normal"/>
        <w:ind w:left="644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Иные требования и условия </w:t>
      </w:r>
    </w:p>
    <w:p>
      <w:pPr>
        <w:pStyle w:val="Heading4"/>
        <w:keepLines w:val="false"/>
        <w:numPr>
          <w:ilvl w:val="0"/>
          <w:numId w:val="0"/>
        </w:numPr>
        <w:suppressAutoHyphens w:val="true"/>
        <w:spacing w:before="120" w:after="60"/>
        <w:ind w:firstLine="709" w:left="0"/>
        <w:jc w:val="both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color w:val="000000"/>
          <w:sz w:val="28"/>
          <w:szCs w:val="28"/>
        </w:rPr>
        <w:t>Исполнителю допускается предусмотреть включение до 3% от общей стоимости затраты на непредвиденные расходы. На основании вышеуказанного Заказчик исключает при исполнении контракта заключение дополнительных соглашений на увеличение объёмов поставки.</w:t>
      </w:r>
      <w:r>
        <w:rPr>
          <w:rFonts w:cs="Times New Roman" w:ascii="Times New Roman" w:hAnsi="Times New Roman"/>
          <w:b w:val="false"/>
          <w:color w:val="000000"/>
          <w:sz w:val="28"/>
          <w:szCs w:val="28"/>
        </w:rPr>
        <w:t xml:space="preserve"> </w:t>
      </w:r>
    </w:p>
    <w:p>
      <w:pPr>
        <w:pStyle w:val="12"/>
        <w:tabs>
          <w:tab w:val="clear" w:pos="2160"/>
        </w:tabs>
        <w:ind w:hanging="0" w:left="0"/>
        <w:rPr/>
      </w:pPr>
      <w:r>
        <w:rPr/>
        <w:t>Предоставить подробную смету затрат с детальной разбивкой:</w:t>
      </w:r>
    </w:p>
    <w:p>
      <w:pPr>
        <w:pStyle w:val="12"/>
        <w:tabs>
          <w:tab w:val="clear" w:pos="2160"/>
        </w:tabs>
        <w:ind w:hanging="0" w:left="1140"/>
        <w:rPr/>
      </w:pPr>
      <w:r>
        <w:rPr/>
        <w:t>-  Стоимость  оборудования по каждому виду;</w:t>
      </w:r>
    </w:p>
    <w:p>
      <w:pPr>
        <w:pStyle w:val="12"/>
        <w:tabs>
          <w:tab w:val="clear" w:pos="2160"/>
        </w:tabs>
        <w:ind w:hanging="0" w:left="1140"/>
        <w:rPr/>
      </w:pPr>
      <w:r>
        <w:rPr/>
        <w:t>-  Стоимость транспортировки;</w:t>
      </w:r>
    </w:p>
    <w:p>
      <w:pPr>
        <w:pStyle w:val="12"/>
        <w:tabs>
          <w:tab w:val="clear" w:pos="2160"/>
        </w:tabs>
        <w:ind w:hanging="0" w:left="1140"/>
        <w:rPr/>
      </w:pPr>
      <w:r>
        <w:rPr/>
        <w:t>-  Стоимость непредвиденных расходов.</w:t>
      </w:r>
    </w:p>
    <w:p>
      <w:pPr>
        <w:pStyle w:val="Heading4"/>
        <w:keepLines w:val="false"/>
        <w:numPr>
          <w:ilvl w:val="0"/>
          <w:numId w:val="0"/>
        </w:numPr>
        <w:suppressAutoHyphens w:val="true"/>
        <w:spacing w:beforeAutospacing="1" w:afterAutospacing="1"/>
        <w:ind w:firstLine="709" w:left="0"/>
        <w:contextualSpacing/>
        <w:jc w:val="both"/>
        <w:rPr/>
      </w:pPr>
      <w:r>
        <w:rPr>
          <w:rFonts w:cs="Times New Roman" w:ascii="Times New Roman" w:hAnsi="Times New Roman"/>
          <w:b w:val="false"/>
          <w:i w:val="false"/>
          <w:color w:val="000000"/>
          <w:sz w:val="28"/>
          <w:szCs w:val="28"/>
        </w:rPr>
        <w:t xml:space="preserve">Авансовый платеж в размере не более 30% от Цены Договора. Оплата Общей стоимости производится Покупателем с учетом авансового платежа в течение 30 (Тридцати) календарных дней с даты подписания акта сдачи-приемки товара, товарной накладной унифицированной формы ТОРГ-12 на поставленную Продукцию на основании счета, </w:t>
      </w:r>
      <w:r>
        <w:rPr>
          <w:rFonts w:cs="Times New Roman" w:ascii="Times New Roman" w:hAnsi="Times New Roman"/>
          <w:b w:val="false"/>
          <w:i w:val="false"/>
          <w:color w:val="auto"/>
          <w:sz w:val="28"/>
          <w:szCs w:val="28"/>
        </w:rPr>
        <w:t>выставленного</w:t>
      </w:r>
      <w:r>
        <w:rPr>
          <w:color w:val="auto"/>
        </w:rPr>
        <w:t xml:space="preserve"> </w:t>
      </w:r>
      <w:r>
        <w:rPr>
          <w:rFonts w:cs="Times New Roman" w:ascii="Times New Roman" w:hAnsi="Times New Roman"/>
          <w:b w:val="false"/>
          <w:i w:val="false"/>
          <w:color w:val="auto"/>
          <w:sz w:val="28"/>
          <w:szCs w:val="28"/>
        </w:rPr>
        <w:t>Поставщиком.</w:t>
      </w:r>
    </w:p>
    <w:p>
      <w:pPr>
        <w:pStyle w:val="12"/>
        <w:tabs>
          <w:tab w:val="clear" w:pos="2160"/>
        </w:tabs>
        <w:ind w:firstLine="709" w:left="0"/>
        <w:rPr/>
      </w:pPr>
      <w:r>
        <w:rPr/>
        <w:t xml:space="preserve"> </w:t>
      </w:r>
    </w:p>
    <w:p>
      <w:pPr>
        <w:pStyle w:val="Normal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bCs/>
          <w:sz w:val="28"/>
          <w:szCs w:val="28"/>
        </w:rPr>
        <w:t>Вед. инженер по ГО ЧС                                                               А.М. Махмудов</w:t>
      </w:r>
    </w:p>
    <w:p>
      <w:pPr>
        <w:pStyle w:val="Normal"/>
        <w:spacing w:before="0" w:after="0"/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sectPr>
      <w:type w:val="nextPage"/>
      <w:pgSz w:w="11906" w:h="16838"/>
      <w:pgMar w:left="1701" w:right="926" w:gutter="0" w:header="0" w:top="1135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PT Sans">
    <w:charset w:val="01"/>
    <w:family w:val="swiss"/>
    <w:pitch w:val="variable"/>
  </w:font>
  <w:font w:name="Garamond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140" w:hanging="420"/>
      </w:pPr>
      <w:rPr>
        <w:b w:val="fals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b w:val="fals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b w:val="fals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b w:val="fals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  <w:rPr>
        <w:b w:val="fals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b w:val="fals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  <w:rPr>
        <w:b w:val="fals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  <w:rPr>
        <w:b w:val="false"/>
      </w:rPr>
    </w:lvl>
  </w:abstractNum>
  <w:abstractNum w:abstractNumId="2">
    <w:lvl w:ilvl="0">
      <w:start w:val="5"/>
      <w:numFmt w:val="decimal"/>
      <w:lvlText w:val="%1."/>
      <w:lvlJc w:val="left"/>
      <w:pPr>
        <w:tabs>
          <w:tab w:val="num" w:pos="0"/>
        </w:tabs>
        <w:ind w:left="644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0" w:hanging="420"/>
      </w:pPr>
      <w:rPr>
        <w:sz w:val="24"/>
        <w:b w:val="false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b w:val="fals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b w:val="fals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b w:val="fals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  <w:rPr>
        <w:b w:val="fals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b w:val="fals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  <w:rPr>
        <w:b w:val="fals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  <w:rPr>
        <w:b w:val="false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b3d0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link w:val="11"/>
    <w:uiPriority w:val="9"/>
    <w:qFormat/>
    <w:rsid w:val="00dc13ae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30d7a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090063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4"/>
    <w:unhideWhenUsed/>
    <w:qFormat/>
    <w:rsid w:val="00090063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dc13ae"/>
    <w:pPr>
      <w:keepNext w:val="true"/>
      <w:keepLines/>
      <w:spacing w:before="200" w:after="0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Стиль1 Знак"/>
    <w:link w:val="12"/>
    <w:uiPriority w:val="99"/>
    <w:qFormat/>
    <w:locked/>
    <w:rsid w:val="00eb3d0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Annotationreference">
    <w:name w:val="annotation reference"/>
    <w:qFormat/>
    <w:rsid w:val="00eb3d09"/>
    <w:rPr>
      <w:sz w:val="16"/>
      <w:szCs w:val="16"/>
    </w:rPr>
  </w:style>
  <w:style w:type="character" w:styleId="Style4" w:customStyle="1">
    <w:name w:val="Текст примечания Знак"/>
    <w:basedOn w:val="DefaultParagraphFont"/>
    <w:link w:val="Annotationtext"/>
    <w:qFormat/>
    <w:rsid w:val="00eb3d0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5" w:customStyle="1">
    <w:name w:val="Текст выноски Знак"/>
    <w:basedOn w:val="DefaultParagraphFont"/>
    <w:link w:val="BalloonText"/>
    <w:uiPriority w:val="99"/>
    <w:semiHidden/>
    <w:qFormat/>
    <w:rsid w:val="009146c3"/>
    <w:rPr>
      <w:rFonts w:ascii="Tahoma" w:hAnsi="Tahoma" w:eastAsia="Times New Roman" w:cs="Tahoma"/>
      <w:sz w:val="16"/>
      <w:szCs w:val="16"/>
      <w:lang w:eastAsia="ru-RU"/>
    </w:rPr>
  </w:style>
  <w:style w:type="character" w:styleId="Style6" w:customStyle="1">
    <w:name w:val="Основной текст Знак"/>
    <w:basedOn w:val="DefaultParagraphFont"/>
    <w:qFormat/>
    <w:rsid w:val="00c742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090063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4"/>
      <w:szCs w:val="24"/>
      <w:lang w:eastAsia="ru-RU"/>
    </w:rPr>
  </w:style>
  <w:style w:type="character" w:styleId="4" w:customStyle="1">
    <w:name w:val="Заголовок 4 Знак"/>
    <w:basedOn w:val="DefaultParagraphFont"/>
    <w:qFormat/>
    <w:rsid w:val="00090063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sz w:val="24"/>
      <w:szCs w:val="24"/>
      <w:lang w:eastAsia="ru-RU"/>
    </w:rPr>
  </w:style>
  <w:style w:type="character" w:styleId="Style7" w:customStyle="1">
    <w:name w:val="Текст сноски Знак"/>
    <w:basedOn w:val="DefaultParagraphFont"/>
    <w:uiPriority w:val="99"/>
    <w:semiHidden/>
    <w:qFormat/>
    <w:rsid w:val="00e614ff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8">
    <w:name w:val="Символ сноски"/>
    <w:uiPriority w:val="99"/>
    <w:semiHidden/>
    <w:unhideWhenUsed/>
    <w:qFormat/>
    <w:rsid w:val="00e614ff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2" w:customStyle="1">
    <w:name w:val="Заголовок 2 Знак"/>
    <w:basedOn w:val="DefaultParagraphFont"/>
    <w:semiHidden/>
    <w:qFormat/>
    <w:rsid w:val="00830d7a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805ab9"/>
    <w:rPr>
      <w:color w:val="0000FF"/>
      <w:u w:val="single"/>
    </w:rPr>
  </w:style>
  <w:style w:type="character" w:styleId="11" w:customStyle="1">
    <w:name w:val="Заголовок 1 Знак"/>
    <w:basedOn w:val="DefaultParagraphFont"/>
    <w:uiPriority w:val="9"/>
    <w:qFormat/>
    <w:rsid w:val="00dc13ae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9" w:customStyle="1">
    <w:name w:val="Заголовок 9 Знак"/>
    <w:basedOn w:val="DefaultParagraphFont"/>
    <w:uiPriority w:val="9"/>
    <w:semiHidden/>
    <w:qFormat/>
    <w:rsid w:val="00dc13ae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ed36b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ed36b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1" w:customStyle="1">
    <w:name w:val="Тема примечания Знак"/>
    <w:basedOn w:val="Style4"/>
    <w:link w:val="Annotationsubject"/>
    <w:uiPriority w:val="99"/>
    <w:semiHidden/>
    <w:qFormat/>
    <w:rsid w:val="00961cbb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Contentnews" w:customStyle="1">
    <w:name w:val="contentnews"/>
    <w:basedOn w:val="DefaultParagraphFont"/>
    <w:qFormat/>
    <w:rsid w:val="00d76e31"/>
    <w:rPr/>
  </w:style>
  <w:style w:type="character" w:styleId="FontStyle14" w:customStyle="1">
    <w:name w:val="Font Style14"/>
    <w:uiPriority w:val="99"/>
    <w:qFormat/>
    <w:rsid w:val="009c0596"/>
    <w:rPr>
      <w:rFonts w:ascii="Times New Roman" w:hAnsi="Times New Roman" w:cs="Times New Roman"/>
      <w:sz w:val="24"/>
      <w:szCs w:val="24"/>
    </w:rPr>
  </w:style>
  <w:style w:type="character" w:styleId="Style12" w:customStyle="1">
    <w:name w:val="Основной текст с отступом Знак"/>
    <w:basedOn w:val="DefaultParagraphFont"/>
    <w:uiPriority w:val="99"/>
    <w:semiHidden/>
    <w:qFormat/>
    <w:rsid w:val="0079169b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c74245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eb3d09"/>
    <w:pPr>
      <w:spacing w:before="0" w:after="0"/>
      <w:ind w:left="720"/>
      <w:contextualSpacing/>
    </w:pPr>
    <w:rPr>
      <w:rFonts w:ascii="Garamond" w:hAnsi="Garamond"/>
      <w:sz w:val="22"/>
      <w:szCs w:val="20"/>
      <w:lang w:eastAsia="en-US"/>
    </w:rPr>
  </w:style>
  <w:style w:type="paragraph" w:styleId="12" w:customStyle="1">
    <w:name w:val="Стиль1"/>
    <w:link w:val="1"/>
    <w:uiPriority w:val="99"/>
    <w:qFormat/>
    <w:rsid w:val="00eb3d09"/>
    <w:pPr>
      <w:widowControl/>
      <w:tabs>
        <w:tab w:val="clear" w:pos="708"/>
        <w:tab w:val="left" w:pos="2160" w:leader="none"/>
      </w:tabs>
      <w:bidi w:val="0"/>
      <w:spacing w:lineRule="auto" w:line="240" w:before="120" w:after="0"/>
      <w:ind w:hanging="360" w:left="216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paragraph" w:styleId="Annotationtext">
    <w:name w:val="annotation text"/>
    <w:basedOn w:val="Normal"/>
    <w:link w:val="Style4"/>
    <w:qFormat/>
    <w:rsid w:val="00eb3d09"/>
    <w:pPr/>
    <w:rPr>
      <w:sz w:val="20"/>
      <w:szCs w:val="20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9146c3"/>
    <w:pPr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Style7"/>
    <w:uiPriority w:val="99"/>
    <w:semiHidden/>
    <w:unhideWhenUsed/>
    <w:rsid w:val="00e614ff"/>
    <w:pPr/>
    <w:rPr>
      <w:rFonts w:eastAsia="Calibri"/>
      <w:sz w:val="20"/>
      <w:szCs w:val="20"/>
    </w:rPr>
  </w:style>
  <w:style w:type="paragraph" w:styleId="BlockText">
    <w:name w:val="Block Text"/>
    <w:basedOn w:val="Normal"/>
    <w:semiHidden/>
    <w:unhideWhenUsed/>
    <w:qFormat/>
    <w:rsid w:val="00b85a4e"/>
    <w:pPr>
      <w:ind w:left="-567" w:right="-766"/>
      <w:jc w:val="center"/>
    </w:pPr>
    <w:rPr>
      <w:b/>
      <w:bCs/>
      <w:szCs w:val="20"/>
    </w:rPr>
  </w:style>
  <w:style w:type="paragraph" w:styleId="ListBullet">
    <w:name w:val="List Bullet"/>
    <w:basedOn w:val="Normal"/>
    <w:autoRedefine/>
    <w:unhideWhenUsed/>
    <w:qFormat/>
    <w:rsid w:val="00ce6bba"/>
    <w:pPr>
      <w:snapToGrid w:val="false"/>
      <w:ind w:left="426"/>
      <w:jc w:val="both"/>
    </w:pPr>
    <w:rPr>
      <w:color w:val="000000"/>
      <w:spacing w:val="-2"/>
      <w:lang w:eastAsia="ar-SA"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ed36b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ed36b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subject">
    <w:name w:val="annotation subject"/>
    <w:basedOn w:val="Annotationtext"/>
    <w:next w:val="Annotationtext"/>
    <w:link w:val="Style11"/>
    <w:uiPriority w:val="99"/>
    <w:semiHidden/>
    <w:unhideWhenUsed/>
    <w:qFormat/>
    <w:rsid w:val="00961cbb"/>
    <w:pPr/>
    <w:rPr>
      <w:b/>
      <w:bCs/>
    </w:rPr>
  </w:style>
  <w:style w:type="paragraph" w:styleId="ConsPlusNormal" w:customStyle="1">
    <w:name w:val="ConsPlusNormal"/>
    <w:qFormat/>
    <w:rsid w:val="00ab3c73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uiPriority w:val="99"/>
    <w:qFormat/>
    <w:rsid w:val="00ab3c73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</w:rPr>
  </w:style>
  <w:style w:type="paragraph" w:styleId="NormalWeb">
    <w:name w:val="Normal (Web)"/>
    <w:basedOn w:val="Normal"/>
    <w:uiPriority w:val="99"/>
    <w:unhideWhenUsed/>
    <w:qFormat/>
    <w:rsid w:val="00d76e31"/>
    <w:pPr>
      <w:spacing w:before="0" w:after="240"/>
    </w:pPr>
    <w:rPr/>
  </w:style>
  <w:style w:type="paragraph" w:styleId="Style31" w:customStyle="1">
    <w:name w:val="Style3"/>
    <w:basedOn w:val="Normal"/>
    <w:uiPriority w:val="99"/>
    <w:qFormat/>
    <w:rsid w:val="009c0596"/>
    <w:pPr>
      <w:widowControl w:val="false"/>
      <w:spacing w:lineRule="exact" w:line="312"/>
      <w:jc w:val="center"/>
    </w:pPr>
    <w:rPr/>
  </w:style>
  <w:style w:type="paragraph" w:styleId="BodyTextIndent">
    <w:name w:val="Body Text Indent"/>
    <w:basedOn w:val="Normal"/>
    <w:link w:val="Style12"/>
    <w:uiPriority w:val="99"/>
    <w:semiHidden/>
    <w:unhideWhenUsed/>
    <w:rsid w:val="0079169b"/>
    <w:pPr>
      <w:spacing w:before="0" w:after="120"/>
      <w:ind w:left="283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uiPriority w:val="59"/>
    <w:rsid w:val="00791003"/>
    <w:pPr>
      <w:spacing w:after="0" w:line="240" w:lineRule="auto"/>
    </w:pPr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af1">
    <w:name w:val="Table Grid"/>
    <w:basedOn w:val="a1"/>
    <w:uiPriority w:val="59"/>
    <w:rsid w:val="0079100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D08FF-84F1-4B32-94B8-15B226BA8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AlterOffice/2026.2.0.0$Linux_X86_64 LibreOffice_project/bc4ef1adf80b36c7a6365f8ed6cbf29021361edd</Application>
  <AppVersion>15.0000</AppVersion>
  <Pages>4</Pages>
  <Words>768</Words>
  <Characters>5323</Characters>
  <CharactersWithSpaces>6092</CharactersWithSpaces>
  <Paragraphs>83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2026-04-15T10:42:00Z</dcterms:created>
  <dc:creator>Магомедова Касират Гаджиевна</dc:creator>
  <dc:description/>
  <dc:language>ru-RU</dc:language>
  <cp:lastModifiedBy>mahmudovam@corp.gidroogk.com</cp:lastModifiedBy>
  <cp:lastPrinted>2015-07-07T13:28:00Z</cp:lastPrinted>
  <dcterms:modified xsi:type="dcterms:W3CDTF">2026-10-22T14:00:05Z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