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 w:before="0" w:after="0"/>
        <w:ind w:firstLine="851" w:left="0" w:right="0"/>
        <w:jc w:val="center"/>
        <w:rPr/>
      </w:pPr>
      <w:r>
        <w:rPr/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 w:left="0" w:righ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eastAsia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u w:val="none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 xml:space="preserve">ОКПД 2: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u w:val="none"/>
          <w:lang w:eastAsia="ru-RU"/>
        </w:rPr>
        <w:t>27.90.40.190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 xml:space="preserve"> </w:t>
      </w:r>
      <w:r>
        <w:rPr>
          <w:rFonts w:eastAsia="Calibri" w:cs="Times New Roman" w:ascii="Times New Roman" w:hAnsi="Times New Roman"/>
          <w:color w:val="000000"/>
          <w:kern w:val="0"/>
          <w:sz w:val="28"/>
          <w:szCs w:val="28"/>
          <w:u w:val="none"/>
          <w:lang w:val="ru-RU" w:eastAsia="ru-RU" w:bidi="ar-SA"/>
        </w:rPr>
        <w:t>Поставка металлодетектора Паутина-Н2-2 для нужд К</w:t>
      </w:r>
      <w:r>
        <w:rPr>
          <w:rFonts w:cs="Times New Roman" w:ascii="Times New Roman" w:hAnsi="Times New Roman"/>
          <w:color w:val="000000"/>
          <w:sz w:val="28"/>
          <w:szCs w:val="28"/>
          <w:u w:val="none"/>
          <w:lang w:eastAsia="ru-RU"/>
        </w:rPr>
        <w:t>убанского филиала.</w:t>
      </w:r>
    </w:p>
    <w:p>
      <w:pPr>
        <w:pStyle w:val="Style17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ЛОТ № </w:t>
      </w:r>
    </w:p>
    <w:p>
      <w:pPr>
        <w:pStyle w:val="Style17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Style17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 w:righ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fill="FFFFFF"/>
        <w:spacing w:lineRule="auto" w:line="264" w:before="0" w:after="0"/>
        <w:ind w:firstLine="851" w:left="0" w:right="0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продукции.………………………………………………………………………………3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………………………………………………………………..3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продукции…………………………………………………………………….4</w:t>
      </w:r>
    </w:p>
    <w:p>
      <w:pPr>
        <w:pStyle w:val="Normal"/>
        <w:shd w:val="clear" w:fill="FFFFFF"/>
        <w:tabs>
          <w:tab w:val="clear" w:pos="708"/>
          <w:tab w:val="right" w:pos="10138" w:leader="dot"/>
        </w:tabs>
        <w:spacing w:lineRule="auto" w:line="276" w:before="0" w:after="10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0" w:left="720" w:right="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125476050"/>
      <w:bookmarkStart w:id="2" w:name="_Toc125473240"/>
      <w:bookmarkStart w:id="3" w:name="_Toc51339692"/>
      <w:bookmarkStart w:id="4" w:name="_Toc75446566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auto" w:line="240" w:before="120" w:after="60"/>
        <w:ind w:hanging="0" w:left="720" w:right="0"/>
        <w:jc w:val="center"/>
        <w:outlineLvl w:val="0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ind w:hanging="0" w:left="0" w:right="0"/>
        <w:contextualSpacing/>
        <w:jc w:val="both"/>
        <w:outlineLvl w:val="1"/>
        <w:rPr/>
      </w:pPr>
      <w:r>
        <w:rPr>
          <w:rFonts w:eastAsia="Times New Roman" w:cs="Times New Roman" w:ascii="Times New Roman" w:hAnsi="Times New Roman"/>
          <w:color w:val="000000"/>
          <w:kern w:val="0"/>
          <w:sz w:val="24"/>
          <w:szCs w:val="24"/>
          <w:shd w:fill="FFFFFF" w:val="clear"/>
          <w:lang w:val="ru-RU" w:eastAsia="ru-RU" w:bidi="ar-SA"/>
        </w:rPr>
        <w:t>ОКПД 2: 27.90.40.190 Поставка металлодетектора Паутина-Н2-2 для нужд Кубанского филиала. (д</w:t>
      </w:r>
      <w:r>
        <w:rPr>
          <w:rFonts w:cs="Times New Roman" w:ascii="Times New Roman" w:hAnsi="Times New Roman"/>
          <w:sz w:val="24"/>
          <w:szCs w:val="24"/>
        </w:rPr>
        <w:t>алее продукция).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eastAsia="Calibri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>Исполнение договора</w:t>
      </w:r>
      <w:r>
        <w:rPr>
          <w:rFonts w:eastAsia="Times New Roman" w:cs="Times New Roman" w:ascii="Times New Roman" w:hAnsi="Times New Roman"/>
          <w:b w:val="false"/>
          <w:bCs/>
          <w:i w:val="false"/>
          <w:iCs w:val="false"/>
          <w:color w:val="000000"/>
          <w:sz w:val="24"/>
          <w:szCs w:val="24"/>
          <w:shd w:fill="FFFFFF" w:val="clear"/>
          <w:lang w:eastAsia="ru-RU"/>
        </w:rPr>
        <w:t xml:space="preserve"> № 5-ККГЭС-СМР-2026 от 05.06.26 г. выполнение работ по созданию комплексной системы безопасности на Сенгилеевской ГЭС Каскада Кубанских ГЭС, заключенного между АО «УК ГидроОГК» «Управляющая компания ГидроОГК» и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0" w:right="0"/>
        <w:jc w:val="center"/>
        <w:outlineLvl w:val="0"/>
        <w:rPr>
          <w:sz w:val="24"/>
          <w:szCs w:val="24"/>
        </w:rPr>
      </w:pPr>
      <w:bookmarkStart w:id="9" w:name="_Toc125476056"/>
      <w:bookmarkStart w:id="10" w:name="_Toc125473249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17" w:right="0"/>
        <w:jc w:val="center"/>
        <w:outlineLvl w:val="0"/>
        <w:rPr>
          <w:rFonts w:ascii="Times New Roman" w:hAnsi="Times New Roman" w:cs="Times New Roman"/>
          <w:b/>
          <w:iCs/>
          <w:lang w:eastAsia="x-none"/>
        </w:rPr>
      </w:pPr>
      <w:r>
        <w:rPr>
          <w:rFonts w:cs="Times New Roman" w:ascii="Times New Roman" w:hAnsi="Times New Roman"/>
          <w:b/>
          <w:iCs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auto" w:line="240" w:before="120" w:after="0"/>
        <w:ind w:hanging="567" w:left="567" w:right="0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1227" w:left="1227" w:right="0"/>
        <w:outlineLvl w:val="2"/>
        <w:rPr>
          <w:sz w:val="24"/>
          <w:szCs w:val="24"/>
        </w:rPr>
      </w:pPr>
      <w:bookmarkStart w:id="14" w:name="_Toc125473250"/>
      <w:bookmarkStart w:id="15" w:name="_Toc75446575"/>
      <w:bookmarkStart w:id="16" w:name="_Toc125476057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17" w:name="_Toc75446576"/>
      <w:bookmarkStart w:id="18" w:name="_Toc125473251"/>
      <w:bookmarkStart w:id="19" w:name="_Toc125476058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258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529"/>
        <w:gridCol w:w="1350"/>
        <w:gridCol w:w="1483"/>
      </w:tblGrid>
      <w:tr>
        <w:trPr/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Количество</w:t>
            </w:r>
          </w:p>
        </w:tc>
      </w:tr>
      <w:tr>
        <w:trPr>
          <w:trHeight w:val="351" w:hRule="atLeast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jc w:val="left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6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  <w:shd w:fill="auto" w:val="clear"/>
              </w:rPr>
              <w:t>Металлодетектор Паутина Н2-2 с панелью выносной индикации</w:t>
            </w:r>
          </w:p>
        </w:tc>
        <w:tc>
          <w:tcPr>
            <w:tcW w:w="13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 w:right="0"/>
        <w:outlineLvl w:val="2"/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 w:right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21" w:name="_Toc125476060"/>
      <w:bookmarkStart w:id="22" w:name="_Toc125473253"/>
      <w:bookmarkStart w:id="23" w:name="_Toc75446579"/>
      <w:bookmarkStart w:id="24" w:name="_Toc50125127"/>
      <w:bookmarkStart w:id="25" w:name="_Toc5133969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217" w:type="dxa"/>
        <w:jc w:val="left"/>
        <w:tblInd w:w="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3550"/>
        <w:gridCol w:w="2240"/>
        <w:gridCol w:w="3556"/>
      </w:tblGrid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 w:right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fill="FFFFFF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ОКПД 2: 27.90.40.190 Поставка металлодетектора Паутина-Н2-2 для нужд Кубанского филиала. (в соответствии с Таб</w:t>
            </w: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</w:rPr>
              <w:t>лица 1.1 Перечень объемов закупаемой продукции)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45 календарных дней с даты подписания договора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3255_Копия_1_Копия_1_Копия_1_Ко"/>
      <w:bookmarkStart w:id="28" w:name="_Toc125476061_Копия_1_Копия_1_Копия_1_Ко"/>
      <w:bookmarkStart w:id="29" w:name="_Toc125473255_Копия_1_Копия_1_Копия_1_Ко"/>
      <w:bookmarkStart w:id="30" w:name="_Toc125476061_Копия_1_Копия_1_Копия_1_Ко"/>
      <w:bookmarkStart w:id="31" w:name="_Toc125473255_Копия_1_Копия_1_Копия_1_Ко"/>
      <w:bookmarkStart w:id="32" w:name="_Toc125476061_Копия_1_Копия_1_Копия_1_Ко"/>
      <w:bookmarkStart w:id="33" w:name="_Toc125473255_Копия_1_Копия_1_Копия_1_Ко"/>
      <w:bookmarkStart w:id="34" w:name="_Toc125476061_Копия_1_Копия_1_Копия_1_Ко"/>
      <w:bookmarkStart w:id="35" w:name="_Toc125473255_Копия_1"/>
      <w:bookmarkStart w:id="36" w:name="_Toc125473255_Копия_1_Копия_1_Копия_1"/>
      <w:bookmarkStart w:id="37" w:name="_Toc125473255_Копия_1_Копия_1_Копия_1_Ко"/>
      <w:bookmarkStart w:id="38" w:name="_Toc125476061_Копия_1_Копия_1_Копия_1_Ко"/>
      <w:bookmarkStart w:id="39" w:name="_Toc125473255_Копия_1_Копия_1_Копия_1_Ко"/>
      <w:bookmarkStart w:id="40" w:name="_Toc125476061_Копия_1_Копия_1_Копия_1_Ко"/>
      <w:bookmarkStart w:id="41" w:name="_Toc125473255_Копия_1_Копия_1_Копия_1_Ко"/>
      <w:bookmarkStart w:id="42" w:name="_Toc125476061_Копия_1_Копия_1_Копия_1_Ко"/>
      <w:bookmarkStart w:id="43" w:name="_Toc125473255_Копия_1_Копия_1_Копия_1_Ко"/>
      <w:bookmarkStart w:id="44" w:name="_Toc125476061_Копия_1_Копия_1_Копия_1_Ко"/>
      <w:bookmarkStart w:id="45" w:name="_Toc125473255_Копия_1_Копия_1_Копия_1_Ко"/>
      <w:bookmarkStart w:id="46" w:name="_Toc125476061_Копия_1_Копия_1_Копия_1_Ко"/>
      <w:bookmarkStart w:id="47" w:name="_Toc125476061_Копия_1_Копия_1_Копия_1"/>
      <w:bookmarkStart w:id="48" w:name="_Toc125473255_Копия_1_Копия_1"/>
      <w:bookmarkStart w:id="49" w:name="_Toc125476061_Копия_1"/>
      <w:bookmarkStart w:id="50" w:name="_Toc125473255_Копия_1_Копия_1_Копия_1_Ко"/>
      <w:bookmarkStart w:id="51" w:name="_Toc125473255_Копия_1_Копия_1_Копия_1_Ко"/>
      <w:bookmarkStart w:id="52" w:name="_Toc125476061_Копия_1_Копия_1_Копия_1_Ко"/>
      <w:bookmarkStart w:id="53" w:name="_Toc125476061_Копия_1_Копия_1_Копия_1_Ко"/>
      <w:bookmarkStart w:id="54" w:name="_Toc125473255_Копия_1_Копия_1_Копия_1_Ко"/>
      <w:bookmarkStart w:id="55" w:name="_Toc125476061_Копия_1_Копия_1_Копия_1_Ко"/>
      <w:bookmarkStart w:id="56" w:name="_Toc125473255_Копия_1_Копия_1_Копия_1_Ко"/>
      <w:bookmarkStart w:id="57" w:name="_Toc125476061_Копия_1_Копия_1_Копия_1_Ко"/>
      <w:bookmarkStart w:id="58" w:name="_Toc125473255_Копия_1_Копия_1_Копия_1_Ко"/>
      <w:bookmarkStart w:id="59" w:name="_Toc125476061_Копия_1_Копия_1_Копия_1_Ко"/>
      <w:bookmarkStart w:id="60" w:name="_Toc125473255_Копия_1_Копия_1_Копия_1_Ко"/>
      <w:bookmarkStart w:id="61" w:name="_Toc125476061_Копия_1_Копия_1_Копия_1_Ко"/>
      <w:bookmarkStart w:id="62" w:name="_Toc125476061_Копия_1_Копия_1"/>
      <w:bookmarkStart w:id="63" w:name="_Toc125473255_Копия_1_Копия_1_Копия_1_Ко"/>
      <w:bookmarkStart w:id="64" w:name="_Toc125476061_Копия_1_Копия_1_Копия_1_Ко"/>
      <w:bookmarkStart w:id="65" w:name="_Toc125473255_Копия_1_Копия_1_Копия_1_Ко"/>
      <w:bookmarkStart w:id="66" w:name="_Toc125476061_Копия_1_Копия_1_Копия_1_Ко"/>
      <w:bookmarkStart w:id="67" w:name="_Toc125473255_Копия_1_Копия_1_Копия_1_Ко"/>
      <w:bookmarkStart w:id="68" w:name="_Toc125476061_Копия_1_Копия_1_Копия_1_Ко"/>
      <w:bookmarkStart w:id="69" w:name="_Toc125473255_Копия_1_Копия_1_Копия_1_Ко"/>
      <w:bookmarkStart w:id="70" w:name="_Toc125476061_Копия_1_Копия_1_Копия_1_Ко"/>
      <w:bookmarkStart w:id="71" w:name="_Toc125473255_Копия_1_Копия_1_Копия_1_Ко"/>
      <w:bookmarkStart w:id="72" w:name="_Toc125476061_Копия_1_Копия_1_Копия_1_Ко"/>
      <w:bookmarkStart w:id="73" w:name="_Toc125473255_Копия_1_Копия_1_Копия_1_Ко"/>
      <w:bookmarkStart w:id="74" w:name="_Toc125476061_Копия_1_Копия_1_Копия_1_Ко"/>
      <w:bookmarkStart w:id="75" w:name="_Toc125473255_Копия_1_Копия_1_Копия_1_Ко"/>
      <w:bookmarkStart w:id="76" w:name="_Toc125476061_Копия_1_Копия_1_Копия_1_Ко"/>
      <w:bookmarkStart w:id="77" w:name="_Toc125473255_Копия_1_Копия_1_Копия_1_Ко"/>
      <w:bookmarkStart w:id="78" w:name="_Toc125476061_Копия_1_Копия_1_Копия_1_Ко"/>
      <w:bookmarkStart w:id="79" w:name="_Toc125473255_Копия_1"/>
      <w:bookmarkStart w:id="80" w:name="_Toc125473255_Копия_1_Копия_1_Копия_1"/>
      <w:bookmarkStart w:id="81" w:name="_Toc125473255_Копия_1_Копия_1_Копия_1_Ко"/>
      <w:bookmarkStart w:id="82" w:name="_Toc125476061_Копия_1_Копия_1_Копия_1_Ко"/>
      <w:bookmarkStart w:id="83" w:name="_Toc125473255_Копия_1_Копия_1_Копия_1_Ко"/>
      <w:bookmarkStart w:id="84" w:name="_Toc125476061_Копия_1_Копия_1_Копия_1_Ко"/>
      <w:bookmarkStart w:id="85" w:name="_Toc125473255_Копия_1_Копия_1_Копия_1_Ко"/>
      <w:bookmarkStart w:id="86" w:name="_Toc125476061_Копия_1_Копия_1_Копия_1_Ко"/>
      <w:bookmarkStart w:id="87" w:name="_Toc125473255_Копия_1_Копия_1_Копия_1_Ко"/>
      <w:bookmarkStart w:id="88" w:name="_Toc125476061_Копия_1_Копия_1_Копия_1_Ко"/>
      <w:bookmarkStart w:id="89" w:name="_Toc125473255_Копия_1_Копия_1_Копия_1_Ко"/>
      <w:bookmarkStart w:id="90" w:name="_Toc125476061_Копия_1_Копия_1_Копия_1_Ко"/>
      <w:bookmarkStart w:id="91" w:name="_Toc125476061_Копия_1_Копия_1_Копия_1"/>
      <w:bookmarkStart w:id="92" w:name="_Toc125473255_Копия_1_Копия_1"/>
      <w:bookmarkStart w:id="93" w:name="_Toc125476061_Копия_1"/>
      <w:bookmarkStart w:id="94" w:name="_Toc125473255_Копия_1_Копия_1_Копия_1_Ко"/>
      <w:bookmarkStart w:id="95" w:name="_Toc125473255_Копия_1_Копия_1_Копия_1_Ко"/>
      <w:bookmarkStart w:id="96" w:name="_Toc125476061_Копия_1_Копия_1_Копия_1_Ко"/>
      <w:bookmarkStart w:id="97" w:name="_Toc125476061_Копия_1_Копия_1_Копия_1_Ко"/>
      <w:bookmarkStart w:id="98" w:name="_Toc125473255_Копия_1_Копия_1_Копия_1_Ко"/>
      <w:bookmarkStart w:id="99" w:name="_Toc125476061_Копия_1_Копия_1_Копия_1_Ко"/>
      <w:bookmarkStart w:id="100" w:name="_Toc125473255_Копия_1_Копия_1_Копия_1_Ко"/>
      <w:bookmarkStart w:id="101" w:name="_Toc125476061_Копия_1_Копия_1_Копия_1_Ко"/>
      <w:bookmarkStart w:id="102" w:name="_Toc125473255_Копия_1_Копия_1_Копия_1_Ко"/>
      <w:bookmarkStart w:id="103" w:name="_Toc125476061_Копия_1_Копия_1_Копия_1_Ко"/>
      <w:bookmarkStart w:id="104" w:name="_Toc125473255_Копия_1_Копия_1_Копия_1_Ко"/>
      <w:bookmarkStart w:id="105" w:name="_Toc125476061_Копия_1_Копия_1_Копия_1_Ко"/>
      <w:bookmarkStart w:id="106" w:name="_Toc125476061_Копия_1_Копия_1"/>
      <w:bookmarkStart w:id="107" w:name="_Toc125473255_Копия_1_Копия_1_Копия_1_Ко"/>
      <w:bookmarkStart w:id="108" w:name="_Toc125476061_Копия_1_Копия_1_Копия_1_Ко"/>
      <w:bookmarkStart w:id="109" w:name="_Toc125473255_Копия_1_Копия_1_Копия_1_Ко"/>
      <w:bookmarkStart w:id="110" w:name="_Toc125476061_Копия_1_Копия_1_Копия_1_Ко"/>
      <w:bookmarkStart w:id="111" w:name="_Toc125473255_Копия_1_Копия_1_Копия_1_Ко"/>
      <w:bookmarkStart w:id="112" w:name="_Toc125476061_Копия_1_Копия_1_Копия_1_Ко"/>
      <w:bookmarkStart w:id="113" w:name="_Toc125473255_Копия_1_Копия_1_Копия_1_Ко"/>
      <w:bookmarkStart w:id="114" w:name="_Toc125476061_Копия_1_Копия_1_Копия_1_Ко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</w:p>
    <w:p>
      <w:pPr>
        <w:pStyle w:val="Normal"/>
        <w:spacing w:lineRule="auto" w:line="240" w:before="0" w:after="0"/>
        <w:rPr>
          <w:sz w:val="24"/>
          <w:szCs w:val="24"/>
        </w:rPr>
      </w:pPr>
      <w:bookmarkStart w:id="115" w:name="_Toc125473255_Копия_1_Копия_1_Копия_1_Ко"/>
      <w:bookmarkStart w:id="116" w:name="_Toc125476061_Копия_1_Копия_1_Копия_1_Ко"/>
      <w:bookmarkEnd w:id="115"/>
      <w:bookmarkEnd w:id="116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 w:right="0"/>
        <w:outlineLvl w:val="0"/>
        <w:rPr>
          <w:sz w:val="24"/>
          <w:szCs w:val="24"/>
        </w:rPr>
      </w:pPr>
      <w:bookmarkStart w:id="117" w:name="_Toc125473256_Копия_1"/>
      <w:bookmarkStart w:id="118" w:name="_Toc125476062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117"/>
      <w:bookmarkEnd w:id="118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right="0"/>
        <w:jc w:val="left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>Наименование продукции: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shd w:fill="FFFFFF" w:val="clear"/>
          <w:lang w:eastAsia="ru-RU"/>
        </w:rPr>
        <w:t>.</w:t>
      </w:r>
    </w:p>
    <w:tbl>
      <w:tblPr>
        <w:tblW w:w="10320" w:type="dxa"/>
        <w:jc w:val="left"/>
        <w:tblInd w:w="-9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25"/>
        <w:gridCol w:w="4830"/>
        <w:gridCol w:w="4065"/>
      </w:tblGrid>
      <w:tr>
        <w:trPr>
          <w:trHeight w:val="675" w:hRule="atLeast"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п/п</w:t>
            </w: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Наименование параметра</w:t>
            </w:r>
          </w:p>
        </w:tc>
        <w:tc>
          <w:tcPr>
            <w:tcW w:w="4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Требование заказчика</w:t>
            </w:r>
          </w:p>
        </w:tc>
      </w:tr>
      <w:tr>
        <w:trPr>
          <w:trHeight w:val="274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2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3</w:t>
            </w:r>
          </w:p>
        </w:tc>
      </w:tr>
      <w:tr>
        <w:trPr>
          <w:trHeight w:val="9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 w:cs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323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1.1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Металлодетектор Паутина Н2-2 с панелью выносной индикации</w:t>
            </w:r>
          </w:p>
        </w:tc>
      </w:tr>
      <w:tr>
        <w:trPr>
          <w:trHeight w:val="486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Материалы корпуса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пластик АБС</w:t>
            </w:r>
          </w:p>
        </w:tc>
      </w:tr>
      <w:tr>
        <w:trPr>
          <w:trHeight w:val="486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Цвет корпуса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RAL 8011</w:t>
            </w:r>
          </w:p>
        </w:tc>
      </w:tr>
      <w:tr>
        <w:trPr>
          <w:trHeight w:val="161" w:hRule="atLeast"/>
        </w:trPr>
        <w:tc>
          <w:tcPr>
            <w:tcW w:w="1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483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Контрольная зона, мм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1600</w:t>
            </w:r>
          </w:p>
        </w:tc>
      </w:tr>
      <w:tr>
        <w:trPr>
          <w:trHeight w:val="161" w:hRule="atLeast"/>
        </w:trPr>
        <w:tc>
          <w:tcPr>
            <w:tcW w:w="1425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830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2000</w:t>
            </w:r>
          </w:p>
        </w:tc>
      </w:tr>
      <w:tr>
        <w:trPr>
          <w:trHeight w:val="423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Количество зон обнаружения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Защита настроек системой паролей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242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1.1.6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Заводские программы обнаружения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Возможность создания пользовательских программ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Возможность сохранить все сохраненные пользователем параметры в пользовательскую конфигурацию (позволяет сохранить рабочие параметры для различных условий эксплуатации)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1.1.9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Управление настройками при помощи ПДУ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1.1.10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Энергонезависимая память для сохранения установок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1.1.11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Тестовый режим самодиагностики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1.1.12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Счетчик проходов с функцией маскировки ложных сигналов: активация режима обнаружения при прохождении через контрольную зону металлодетектора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наличие</w:t>
            </w:r>
          </w:p>
        </w:tc>
      </w:tr>
      <w:tr>
        <w:trPr>
          <w:trHeight w:val="242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1.1.13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Режимы счетчика проходов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242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1.1.14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Световая и звуковая сигнализация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1.1.15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Функция "искусственный сигнал тревоги"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1.1.16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Возможность синхронизации нескольких устройств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наличие</w:t>
            </w:r>
          </w:p>
        </w:tc>
      </w:tr>
      <w:tr>
        <w:trPr>
          <w:trHeight w:val="485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ahoma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1.1.17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Минимальное расстояние между металлодетекторами в режиме синхронизации, мм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>
        <w:trPr>
          <w:trHeight w:val="334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60" w:after="0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592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2.1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 xml:space="preserve">На Продукцию устанавливается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FFFFFF" w:val="clear"/>
                <w:lang w:eastAsia="ru-RU"/>
              </w:rPr>
              <w:t>гарантийный срок, равный 36 месяцам, с даты ввода продукции в эксплуатацию, но не более 48 месяцев с даты подписания Сторонами товарной накладной по форме ТОРГ-12 или Универсального передаточного документа (УПД)</w:t>
            </w:r>
          </w:p>
        </w:tc>
      </w:tr>
      <w:tr>
        <w:trPr>
          <w:trHeight w:val="1022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2.2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</w:tr>
      <w:tr>
        <w:trPr>
          <w:trHeight w:val="510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480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3.1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lineRule="auto" w:line="252" w:before="0" w:after="12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Сертификат качества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1 экземпляра</w:t>
            </w:r>
          </w:p>
        </w:tc>
      </w:tr>
      <w:tr>
        <w:trPr>
          <w:trHeight w:val="801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3.2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lineRule="auto" w:line="252" w:before="0" w:after="120"/>
              <w:ind w:hanging="0" w:left="0" w:right="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Упаковочный лист на продукцию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fill="auto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1 экземпляр</w:t>
            </w:r>
          </w:p>
        </w:tc>
      </w:tr>
      <w:tr>
        <w:trPr>
          <w:trHeight w:val="570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3.3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ind w:hanging="0" w:left="0" w:right="0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:shd w:fill="auto" w:val="clear"/>
                <w:lang w:val="ru-RU" w:bidi="ar-SA"/>
              </w:rPr>
            </w:pPr>
            <w:r>
              <w:rPr>
                <w:rFonts w:cs="Times New Roman" w:ascii="Times New Roman" w:hAnsi="Times New Roman"/>
                <w:kern w:val="0"/>
                <w:sz w:val="24"/>
                <w:szCs w:val="24"/>
                <w:shd w:fill="auto" w:val="clear"/>
                <w:lang w:val="ru-RU" w:bidi="ar-SA"/>
              </w:rPr>
              <w:t>Технический паспорт на русском языке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 экземпляр</w:t>
            </w:r>
          </w:p>
        </w:tc>
      </w:tr>
      <w:tr>
        <w:trPr>
          <w:trHeight w:val="669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3.4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 экземпляра</w:t>
            </w:r>
          </w:p>
        </w:tc>
      </w:tr>
      <w:tr>
        <w:trPr>
          <w:trHeight w:val="819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Cs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401" w:hRule="atLeast"/>
        </w:trPr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4.1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 w:eastAsia="Times New Roman" w:cs="Times New Roman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lang w:eastAsia="ru-RU"/>
              </w:rPr>
              <w:t>Место поставки</w:t>
            </w:r>
          </w:p>
        </w:tc>
        <w:tc>
          <w:tcPr>
            <w:tcW w:w="4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Liberation Serif" w:hAnsi="Liberation Serif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</w:rPr>
              <w:t>357007, Ставропольский край, Кочубеевский р-н, с. Кочубеевское, АВТОДОРОГА «КАВКАЗ» 246КМ+1200М(СПРАВА).</w:t>
            </w:r>
          </w:p>
        </w:tc>
      </w:tr>
      <w:tr>
        <w:trPr/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4.2</w:t>
            </w:r>
          </w:p>
        </w:tc>
        <w:tc>
          <w:tcPr>
            <w:tcW w:w="8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Условия поставки за счет средств Поставщика</w:t>
            </w:r>
          </w:p>
        </w:tc>
      </w:tr>
      <w:tr>
        <w:trPr/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4.3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  <w:lang w:eastAsia="ru-RU"/>
              </w:rPr>
              <w:t>Продукция должна быть новой, не бывшей в употреблении</w:t>
            </w:r>
          </w:p>
        </w:tc>
      </w:tr>
      <w:tr>
        <w:trPr/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auto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4.4</w:t>
            </w:r>
          </w:p>
        </w:tc>
        <w:tc>
          <w:tcPr>
            <w:tcW w:w="889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bidi w:val="0"/>
              <w:spacing w:lineRule="auto" w:line="259" w:before="0" w:after="200"/>
              <w:ind w:hanging="0" w:left="57" w:right="0"/>
              <w:contextualSpacing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 xml:space="preserve">Доставка оборудования должна соответствовать установленным требованиям.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</w:tr>
    </w:tbl>
    <w:p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shd w:fill="auto" w:val="clear"/>
          <w:lang w:eastAsia="ru-RU"/>
        </w:rPr>
      </w:pPr>
      <w:r>
        <w:rPr/>
      </w:r>
    </w:p>
    <w:p>
      <w:pPr>
        <w:pStyle w:val="ListParagraph"/>
        <w:widowControl/>
        <w:tabs>
          <w:tab w:val="clear" w:pos="708"/>
          <w:tab w:val="left" w:pos="567" w:leader="none"/>
          <w:tab w:val="left" w:pos="10065" w:leader="none"/>
        </w:tabs>
        <w:suppressAutoHyphens w:val="true"/>
        <w:overflowPunct w:val="true"/>
        <w:bidi w:val="0"/>
        <w:spacing w:lineRule="auto" w:line="240" w:before="60" w:after="0"/>
        <w:ind w:hanging="0" w:left="1247" w:right="0"/>
        <w:contextualSpacing/>
        <w:jc w:val="both"/>
        <w:rPr>
          <w:rFonts w:ascii="Times New Roman" w:hAnsi="Times New Roman" w:cs="Times New Roman"/>
          <w:sz w:val="24"/>
          <w:szCs w:val="24"/>
          <w:shd w:fill="auto" w:val="clear"/>
          <w:lang w:eastAsia="ru-RU"/>
        </w:rPr>
      </w:pPr>
      <w:r>
        <w:rPr>
          <w:rFonts w:cs="Times New Roman" w:ascii="Times New Roman" w:hAnsi="Times New Roman"/>
          <w:sz w:val="24"/>
          <w:szCs w:val="24"/>
          <w:shd w:fill="auto" w:val="clear"/>
          <w:lang w:eastAsia="ru-RU"/>
        </w:rPr>
      </w:r>
    </w:p>
    <w:sectPr>
      <w:footerReference w:type="default" r:id="rId2"/>
      <w:type w:val="nextPage"/>
      <w:pgSz w:w="11906" w:h="16838"/>
      <w:pgMar w:left="1134" w:right="624" w:gutter="0" w:header="0" w:top="454" w:footer="0" w:bottom="454"/>
      <w:pgNumType w:fmt="decimal"/>
      <w:formProt w:val="false"/>
      <w:textDirection w:val="lrTb"/>
      <w:docGrid w:type="default" w:linePitch="360" w:charSpace="6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3</w:t>
    </w:r>
    <w:r>
      <w:rPr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4"/>
        <w:b/>
        <w:szCs w:val="24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numPr>
        <w:ilvl w:val="0"/>
        <w:numId w:val="0"/>
      </w:num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Style12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Tahoma" w:cs="Tahoma"/>
      <w:b/>
      <w:bCs/>
      <w:sz w:val="28"/>
      <w:szCs w:val="28"/>
    </w:rPr>
  </w:style>
  <w:style w:type="paragraph" w:styleId="Heading4">
    <w:name w:val="Heading 4"/>
    <w:basedOn w:val="Style12"/>
    <w:next w:val="BodyText"/>
    <w:qFormat/>
    <w:pPr>
      <w:numPr>
        <w:ilvl w:val="0"/>
        <w:numId w:val="0"/>
      </w:num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Style5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>
    <w:name w:val="Нижний колонтитул Знак1"/>
    <w:basedOn w:val="DefaultParagraphFont"/>
    <w:qFormat/>
    <w:rPr/>
  </w:style>
  <w:style w:type="character" w:styleId="Style6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>
    <w:name w:val="line number1"/>
    <w:qFormat/>
    <w:rPr/>
  </w:style>
  <w:style w:type="character" w:styleId="Linenumber">
    <w:name w:val="line number"/>
    <w:qFormat/>
    <w:rPr/>
  </w:style>
  <w:style w:type="character" w:styleId="Style7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>
    <w:name w:val="Маркеры"/>
    <w:qFormat/>
    <w:rPr>
      <w:rFonts w:ascii="OpenSymbol" w:hAnsi="OpenSymbol" w:eastAsia="OpenSymbol" w:cs="OpenSymbol"/>
    </w:rPr>
  </w:style>
  <w:style w:type="character" w:styleId="Style9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>
    <w:name w:val="Содержимое таблицы"/>
    <w:basedOn w:val="Normal"/>
    <w:qFormat/>
    <w:pPr>
      <w:widowControl w:val="false"/>
      <w:suppressLineNumbers/>
    </w:pPr>
    <w:rPr/>
  </w:style>
  <w:style w:type="paragraph" w:styleId="Style16">
    <w:name w:val="Заголовок таблицы"/>
    <w:basedOn w:val="Style15"/>
    <w:qFormat/>
    <w:pPr>
      <w:jc w:val="center"/>
    </w:pPr>
    <w:rPr>
      <w:b/>
      <w:bCs/>
    </w:rPr>
  </w:style>
  <w:style w:type="paragraph" w:styleId="Style17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hanging="0" w:left="283" w:right="0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hanging="0" w:left="567" w:right="0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paragraph" w:styleId="Standard">
    <w:name w:val="Standard"/>
    <w:qFormat/>
    <w:pPr>
      <w:widowControl/>
      <w:suppressAutoHyphens w:val="true"/>
      <w:overflowPunct w:val="fals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Tahoma"/>
      <w:color w:val="auto"/>
      <w:kern w:val="0"/>
      <w:sz w:val="22"/>
      <w:szCs w:val="22"/>
      <w:lang w:val="ru-RU" w:eastAsia="zh-CN" w:bidi="ar-SA"/>
    </w:rPr>
  </w:style>
  <w:style w:type="paragraph" w:styleId="Textbody">
    <w:name w:val="Text body"/>
    <w:basedOn w:val="Standard"/>
    <w:qFormat/>
    <w:pPr>
      <w:spacing w:lineRule="auto" w:line="276" w:before="0" w:after="140"/>
    </w:pPr>
    <w:rPr/>
  </w:style>
  <w:style w:type="numbering" w:styleId="123">
    <w:name w:val="Нумерованный 123"/>
    <w:qFormat/>
  </w:style>
  <w:style w:type="numbering" w:styleId="9124036821">
    <w:name w:val="9124036821"/>
    <w:qFormat/>
  </w:style>
  <w:style w:type="numbering" w:styleId="26549995371">
    <w:name w:val="26549995371"/>
    <w:qFormat/>
  </w:style>
  <w:style w:type="numbering" w:styleId="8885772351">
    <w:name w:val="888577235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19344</TotalTime>
  <Application>AlterOffice/2026.2.0.0$Linux_X86_64 LibreOffice_project/bc4ef1adf80b36c7a6365f8ed6cbf29021361edd</Application>
  <AppVersion>15.0000</AppVersion>
  <Pages>5</Pages>
  <Words>627</Words>
  <Characters>4556</Characters>
  <CharactersWithSpaces>5038</CharactersWithSpaces>
  <Paragraphs>148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kladkovayann@corp.gidroogk.com</cp:lastModifiedBy>
  <cp:lastPrinted>2025-08-04T09:31:05Z</cp:lastPrinted>
  <dcterms:modified xsi:type="dcterms:W3CDTF">2026-10-22T09:28:58Z</dcterms:modified>
  <cp:revision>193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