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ОКПД 2: 23.61.12.150 Поставка дорожных плит для нужд Кубанского филиала</w:t>
      </w:r>
    </w:p>
    <w:p>
      <w:pPr>
        <w:pStyle w:val="Normal"/>
        <w:ind w:hanging="0" w:left="-567"/>
        <w:jc w:val="center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ind w:hanging="0"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tbl>
      <w:tblPr>
        <w:tblW w:w="10492" w:type="dxa"/>
        <w:jc w:val="left"/>
        <w:tblInd w:w="-11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0033"/>
        <w:gridCol w:w="458"/>
      </w:tblGrid>
      <w:tr>
        <w:trPr>
          <w:trHeight w:val="405" w:hRule="atLeast"/>
        </w:trPr>
        <w:tc>
          <w:tcPr>
            <w:tcW w:w="10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1. Общие сведения</w:t>
            </w:r>
          </w:p>
        </w:tc>
        <w:tc>
          <w:tcPr>
            <w:tcW w:w="4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2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 Наименование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2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Цель использования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2. Требования к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3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</w:t>
              <w:tab/>
              <w:t>Перечень и объем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1.1 Перечень и объем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3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</w:t>
              <w:tab/>
              <w:t>Требования к срокам поставки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2.1 Требования по срокам поставки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2.2 Требование к качеству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3. Требования к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TOC2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Heading1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before="120" w:after="60"/>
        <w:ind w:hanging="0" w:left="0" w:right="0"/>
        <w:jc w:val="center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1. </w:t>
      </w:r>
      <w:bookmarkStart w:id="1" w:name="_Toc125476050"/>
      <w:bookmarkStart w:id="2" w:name="_Toc125473240"/>
      <w:bookmarkStart w:id="3" w:name="_Toc75446566"/>
      <w:bookmarkStart w:id="4" w:name="_Toc51339692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5" w:name="_Toc125476051"/>
      <w:bookmarkStart w:id="6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ОКПД 2: 23.61.12.150 Поставка дорожных плит для нужд Кубанского филиала</w:t>
      </w:r>
      <w:r>
        <w:rPr>
          <w:rFonts w:cs="Times New Roman" w:ascii="Times New Roman" w:hAnsi="Times New Roman"/>
          <w:sz w:val="24"/>
          <w:szCs w:val="24"/>
        </w:rPr>
        <w:t xml:space="preserve"> (далее продукция).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widowControl/>
        <w:tabs>
          <w:tab w:val="clear" w:pos="708"/>
          <w:tab w:val="left" w:pos="426" w:leader="none"/>
          <w:tab w:val="left" w:pos="993" w:leader="none"/>
        </w:tabs>
        <w:suppressAutoHyphens w:val="true"/>
        <w:bidi w:val="0"/>
        <w:spacing w:before="0" w:after="0"/>
        <w:ind w:hanging="0" w:left="0" w:right="57"/>
        <w:jc w:val="both"/>
        <w:rPr>
          <w:rFonts w:ascii="Arial;Tahoma;Verdana;sans-serif" w:hAnsi="Arial;Tahoma;Verdana;sans-serif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none"/>
          <w:shd w:fill="FFFFFF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</w:rPr>
        <w:t>Выполнение работ по проекту «Ремонтные работы восточной дамбы БСР ГЭС-3 филиала ПАО «РусГидро» - «Каскад Кубанских ГЭС» планированного к заключению между АО «Гидроремонт-ВКК» и филиалом ПАО «РусГидро» - «Каскад Кубанских ГЭС» на основании письма Заказчика филиала ПАО «РусГидро» - «Каскада Кубанских ГЭС» № Исх-1159.ККГЭС/90-СИ/002 от 03.08.2026.</w:t>
      </w:r>
      <w:bookmarkStart w:id="9" w:name="_Toc125473249"/>
      <w:bookmarkStart w:id="10" w:name="_Toc125476056"/>
    </w:p>
    <w:p>
      <w:pPr>
        <w:pStyle w:val="Normal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before="120" w:after="0"/>
        <w:ind w:hanging="0" w:left="0" w:right="0"/>
        <w:jc w:val="center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 xml:space="preserve">2. </w:t>
      </w:r>
      <w:bookmarkStart w:id="11" w:name="_Toc75446573"/>
      <w:bookmarkStart w:id="12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9"/>
      <w:bookmarkEnd w:id="10"/>
      <w:bookmarkEnd w:id="11"/>
      <w:bookmarkEnd w:id="12"/>
    </w:p>
    <w:p>
      <w:pPr>
        <w:pStyle w:val="Heading4"/>
        <w:numPr>
          <w:ilvl w:val="1"/>
          <w:numId w:val="3"/>
        </w:numPr>
        <w:spacing w:before="120" w:after="0"/>
        <w:ind w:hanging="567" w:left="567"/>
        <w:rPr/>
      </w:pPr>
      <w:bookmarkStart w:id="13" w:name="_Toc75446574"/>
      <w:r>
        <w:rPr>
          <w:bCs w:val="false"/>
        </w:rPr>
        <w:t>Требования к объемам и срокам постав</w:t>
      </w:r>
      <w:r>
        <w:rPr/>
        <w:t>ки</w:t>
      </w:r>
      <w:bookmarkEnd w:id="13"/>
      <w:r>
        <w:rPr/>
        <w:t>.</w:t>
      </w:r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bookmarkStart w:id="14" w:name="_Toc75446575"/>
      <w:bookmarkStart w:id="15" w:name="_Toc125473250"/>
      <w:bookmarkStart w:id="16" w:name="_Toc125476057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  <w:r>
        <w:rPr>
          <w:rFonts w:cs="Times New Roman" w:ascii="Times New Roman" w:hAnsi="Times New Roman"/>
          <w:b/>
          <w:sz w:val="24"/>
          <w:szCs w:val="24"/>
          <w:lang w:eastAsia="x-none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17" w:name="_Toc125473251"/>
      <w:bookmarkStart w:id="18" w:name="_Toc75446576"/>
      <w:bookmarkStart w:id="19" w:name="_Toc125476058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  <w:r>
        <w:rPr>
          <w:rFonts w:cs="Times New Roman" w:ascii="Times New Roman" w:hAnsi="Times New Roman"/>
          <w:b/>
          <w:sz w:val="24"/>
          <w:szCs w:val="24"/>
          <w:lang w:eastAsia="x-none"/>
        </w:rPr>
        <w:t>.</w:t>
      </w:r>
    </w:p>
    <w:tbl>
      <w:tblPr>
        <w:tblW w:w="10138" w:type="dxa"/>
        <w:jc w:val="left"/>
        <w:tblInd w:w="-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15"/>
        <w:gridCol w:w="6304"/>
        <w:gridCol w:w="1581"/>
        <w:gridCol w:w="1637"/>
      </w:tblGrid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277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1"/>
              <w:widowControl w:val="false"/>
              <w:spacing w:before="60" w:after="60"/>
              <w:jc w:val="left"/>
              <w:rPr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Дорожные плиты 1П30-18-30 3000х1750х170</w:t>
            </w: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hanging="0" w:left="0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eastAsia="x-none"/>
        </w:rPr>
      </w:pPr>
      <w:bookmarkStart w:id="21" w:name="_Toc125476060"/>
      <w:bookmarkStart w:id="22" w:name="_Toc125473253"/>
      <w:bookmarkStart w:id="23" w:name="_Toc75446579"/>
      <w:bookmarkStart w:id="24" w:name="_Toc51339697"/>
      <w:bookmarkStart w:id="25" w:name="_Toc5012512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138" w:type="dxa"/>
        <w:jc w:val="left"/>
        <w:tblInd w:w="-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26"/>
        <w:gridCol w:w="3554"/>
        <w:gridCol w:w="2961"/>
        <w:gridCol w:w="2996"/>
      </w:tblGrid>
      <w:tr>
        <w:trPr/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продукции/лота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hanging="0"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hanging="0"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969" w:hRule="atLeast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ОКПД 2: 23.61.12.150 Поставка дорожных плит для нужд Кубанского филиала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(Таблица 1.1 Перечень объемов закупаемой продукции)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в течение 20 календарных дней с даты подписания Договора</w:t>
            </w:r>
          </w:p>
        </w:tc>
      </w:tr>
      <w:tr>
        <w:trPr>
          <w:trHeight w:val="969" w:hRule="atLeast"/>
        </w:trPr>
        <w:tc>
          <w:tcPr>
            <w:tcW w:w="10137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contextualSpacing/>
              <w:jc w:val="left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134" w:right="624" w:gutter="0" w:header="0" w:top="1188" w:footer="1" w:bottom="1151"/>
          <w:pgNumType w:fmt="decimal"/>
          <w:formProt w:val="false"/>
          <w:textDirection w:val="lrTb"/>
          <w:docGrid w:type="default" w:linePitch="360" w:charSpace="32768"/>
        </w:sectPr>
      </w:pPr>
    </w:p>
    <w:p>
      <w:pPr>
        <w:pStyle w:val="Heading4"/>
        <w:keepNext w:val="true"/>
        <w:widowControl/>
        <w:numPr>
          <w:ilvl w:val="0"/>
          <w:numId w:val="0"/>
        </w:numPr>
        <w:tabs>
          <w:tab w:val="clear" w:pos="708"/>
          <w:tab w:val="left" w:pos="450" w:leader="none"/>
        </w:tabs>
        <w:suppressAutoHyphens w:val="true"/>
        <w:bidi w:val="0"/>
        <w:spacing w:before="120" w:after="0"/>
        <w:ind w:hanging="0" w:left="0" w:right="0"/>
        <w:jc w:val="left"/>
        <w:rPr>
          <w:sz w:val="26"/>
          <w:szCs w:val="26"/>
        </w:rPr>
      </w:pPr>
      <w:r>
        <w:rPr/>
        <w:t xml:space="preserve">2.2. </w:t>
      </w:r>
      <w:bookmarkStart w:id="27" w:name="_Toc125473255"/>
      <w:bookmarkStart w:id="28" w:name="_Toc125476061"/>
      <w:r>
        <w:rPr/>
        <w:t>Требования к качеству продукции</w:t>
      </w:r>
      <w:bookmarkEnd w:id="27"/>
      <w:bookmarkEnd w:id="28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bookmarkStart w:id="29" w:name="_Toc125476062"/>
      <w:bookmarkStart w:id="30" w:name="_Toc125473256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29"/>
      <w:bookmarkEnd w:id="30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ar-SA"/>
        </w:rPr>
      </w:pPr>
      <w:bookmarkStart w:id="31" w:name="_Toc125473257"/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 xml:space="preserve">согласно Таблицы 1.1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>«</w:t>
      </w:r>
      <w:bookmarkEnd w:id="31"/>
      <w:r>
        <w:rPr>
          <w:rFonts w:cs="Times New Roman" w:ascii="Times New Roman" w:hAnsi="Times New Roman"/>
          <w:i/>
          <w:iCs/>
          <w:sz w:val="24"/>
          <w:szCs w:val="24"/>
          <w:lang w:eastAsia="ar-SA"/>
        </w:rPr>
        <w:t>Перечень объемов закупаемой продукции»</w:t>
      </w:r>
    </w:p>
    <w:tbl>
      <w:tblPr>
        <w:tblW w:w="14917" w:type="dxa"/>
        <w:jc w:val="left"/>
        <w:tblInd w:w="-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783"/>
        <w:gridCol w:w="2740"/>
        <w:gridCol w:w="6450"/>
        <w:gridCol w:w="2387"/>
        <w:gridCol w:w="2557"/>
      </w:tblGrid>
      <w:tr>
        <w:trPr>
          <w:trHeight w:val="212" w:hRule="atLeast"/>
        </w:trPr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6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Требование заказчика</w:t>
            </w:r>
          </w:p>
        </w:tc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12" w:hRule="atLeast"/>
        </w:trPr>
        <w:tc>
          <w:tcPr>
            <w:tcW w:w="78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74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45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2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400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1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3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требованиям.</w:t>
            </w:r>
          </w:p>
        </w:tc>
        <w:tc>
          <w:tcPr>
            <w:tcW w:w="25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21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1.1</w:t>
            </w:r>
          </w:p>
        </w:tc>
        <w:tc>
          <w:tcPr>
            <w:tcW w:w="919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1"/>
              <w:widowControl w:val="false"/>
              <w:spacing w:before="60" w:after="60"/>
              <w:jc w:val="left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Дорожные плиты 3000х1750х170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spacing w:before="60" w:after="60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spacing w:before="60" w:after="60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314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Маркировка</w:t>
            </w:r>
          </w:p>
        </w:tc>
        <w:tc>
          <w:tcPr>
            <w:tcW w:w="6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1П-30.18-30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69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стандарту</w:t>
            </w:r>
          </w:p>
        </w:tc>
        <w:tc>
          <w:tcPr>
            <w:tcW w:w="6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ГОСТ Р 56600-2015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5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1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958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</w:num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Гарантия</w:t>
            </w:r>
          </w:p>
        </w:tc>
        <w:tc>
          <w:tcPr>
            <w:tcW w:w="6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x-none"/>
              </w:rPr>
              <w:t xml:space="preserve">На Продукцию устанавливается гарантийный срок,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x-none"/>
              </w:rPr>
              <w:t>не менее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x-none"/>
              </w:rPr>
              <w:t xml:space="preserve"> 12 (двенадцати) месяцам, исчисляемый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19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/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1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94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</w:num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качества</w:t>
            </w:r>
          </w:p>
        </w:tc>
        <w:tc>
          <w:tcPr>
            <w:tcW w:w="6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экземпляра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соответствия (декларация соответствия)</w:t>
            </w:r>
          </w:p>
        </w:tc>
        <w:tc>
          <w:tcPr>
            <w:tcW w:w="6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49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</w:t>
            </w:r>
          </w:p>
        </w:tc>
        <w:tc>
          <w:tcPr>
            <w:tcW w:w="6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19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>
          <w:trHeight w:val="127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6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ГЭС-3 — Ставропольский край, Андроповский район, поселок Каскадный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 рабочие дни: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8-00 до 12-00 и с 13-00 до 16-00 (по местному времени).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>
          <w:trHeight w:val="250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</w:num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Условия поставки</w:t>
            </w:r>
          </w:p>
        </w:tc>
        <w:tc>
          <w:tcPr>
            <w:tcW w:w="6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счет средств Поставщика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19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Согласно ГОСТу Р 56600-2015 «Плиты предварительно напряженные железобетонные дорожные. Технические условия», транспортировать и хранить такие плиты нужно в горизонтальном положении, при этом в штабеле не должно быть больше 10 плит по высоте. Нижний ряд укладывают на плотное, тщательно выровненное основание. Подкладки под ним размещают у мест подъёма плит: при грунтовом основании их толщина должна быть не менее 100 мм, а при жёстком — не менее 50 мм. Сами плиты при транспортировке и хранении располагают рабочей поверхностью вверх. Между рядами кладут поперечные прокладки толщиной не менее 25 мм — их размещают строго по вертикали (одна над другой) у мест подъёма плит, на расстоянии до 1 метра от торца. При погрузке, перевозке и разгрузке необходимо принимать меры, чтобы не повредить изделия: категорически запрещено разгружать плиты сбрасыванием. Если перевозку осуществляет железнодорожный транспорт, погрузку и крепление выполняют в соответствии с правилами перевозки грузов, которые утвердил перевозчик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>
          <w:trHeight w:val="382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19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>
          <w:trHeight w:val="371" w:hRule="atLeast"/>
        </w:trPr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</w:num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919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Продукция должна быть новой, не бывшей в употреблении</w:t>
            </w:r>
          </w:p>
        </w:tc>
        <w:tc>
          <w:tcPr>
            <w:tcW w:w="23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before="120" w:after="0"/>
        <w:ind w:hanging="0" w:left="0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Требования</w:t>
      </w:r>
      <w:bookmarkStart w:id="32" w:name="_Toc125485145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 документации по ценообразованию на этапе закупки.</w:t>
      </w:r>
      <w:bookmarkEnd w:id="32"/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3.1. В обоснование стоимости своей заявки Участник предоставляет Коммерческое предложение.</w:t>
      </w:r>
    </w:p>
    <w:p>
      <w:pPr>
        <w:pStyle w:val="ListParagraph"/>
        <w:tabs>
          <w:tab w:val="clear" w:pos="708"/>
          <w:tab w:val="left" w:pos="567" w:leader="none"/>
          <w:tab w:val="left" w:pos="10065" w:leader="none"/>
        </w:tabs>
        <w:spacing w:lineRule="auto" w:line="240" w:before="60" w:after="0"/>
        <w:ind w:hanging="0"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3.2. Дополнительные документы по ценообразованию в состав заявки не включаются.</w:t>
      </w:r>
    </w:p>
    <w:p>
      <w:pPr>
        <w:pStyle w:val="Normal"/>
        <w:tabs>
          <w:tab w:val="clear" w:pos="708"/>
          <w:tab w:val="left" w:pos="2977" w:leader="none"/>
        </w:tabs>
        <w:spacing w:before="0" w:after="0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altName w:val="Tahoma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3</w:t>
    </w:r>
    <w:r>
      <w:rPr>
        <w:sz w:val="20"/>
        <w:szCs w:val="20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12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12"/>
    <w:qFormat/>
    <w:pPr/>
    <w:rPr/>
  </w:style>
  <w:style w:type="paragraph" w:styleId="Style17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tabs>
        <w:tab w:val="clear" w:pos="708"/>
        <w:tab w:val="right" w:pos="10138" w:leader="dot"/>
      </w:tabs>
      <w:spacing w:lineRule="exact" w:line="227" w:before="0" w:after="100"/>
    </w:pPr>
    <w:rPr>
      <w:rFonts w:ascii="Times New Roman" w:hAnsi="Times New Roman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BodyTextIndent">
    <w:name w:val="Body Text Indent"/>
    <w:basedOn w:val="BodyText"/>
    <w:qFormat/>
    <w:pPr>
      <w:ind w:firstLine="851"/>
      <w:jc w:val="both"/>
    </w:pPr>
    <w:rPr>
      <w:rFonts w:eastAsia="Calibri" w:cs="" w:cstheme="minorBidi" w:eastAsiaTheme="minorHAnsi"/>
      <w:szCs w:val="22"/>
      <w:lang w:eastAsia="en-US"/>
    </w:rPr>
  </w:style>
  <w:style w:type="paragraph" w:styleId="Style21">
    <w:name w:val="Табл текст"/>
    <w:basedOn w:val="BodyTextIndent"/>
    <w:qFormat/>
    <w:pPr>
      <w:spacing w:before="60" w:after="60"/>
      <w:ind w:hanging="0"/>
    </w:pPr>
    <w:rPr/>
  </w:style>
  <w:style w:type="paragraph" w:styleId="Indexheading2">
    <w:name w:val="index heading2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32680644281" w:customStyle="1">
    <w:name w:val="3268064428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E08C7-3C97-4A73-A661-E1A5AEF2E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3433</TotalTime>
  <Application>AlterOffice/2026.2.1.0$Linux_X86_64 LibreOffice_project/f008988ffacaa0b2bf57911c2759d08ca79831df</Application>
  <AppVersion>15.0000</AppVersion>
  <Pages>6</Pages>
  <Words>684</Words>
  <Characters>4502</Characters>
  <CharactersWithSpaces>5065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2023-12-05T11:22:00Z</dcterms:created>
  <dc:creator>Катков Олег Валерьевич</dc:creator>
  <dc:description/>
  <dc:language>ru-RU</dc:language>
  <cp:lastModifiedBy>velikosvyatnn@corp.gidroogk.com</cp:lastModifiedBy>
  <cp:lastPrinted>2026-09-15T13:45:42Z</cp:lastPrinted>
  <dcterms:modified xsi:type="dcterms:W3CDTF">2026-10-23T11:34:08Z</dcterms:modified>
  <cp:revision>133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