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numPr>
          <w:ilvl w:val="0"/>
          <w:numId w:val="0"/>
        </w:numPr>
        <w:suppressAutoHyphens w:val="true"/>
        <w:ind w:left="0" w:hanging="0"/>
        <w:jc w:val="right"/>
        <w:outlineLvl w:val="0"/>
        <w:rPr>
          <w:bCs/>
          <w:kern w:val="2"/>
          <w:sz w:val="24"/>
        </w:rPr>
      </w:pPr>
      <w:r>
        <w:rPr>
          <w:bCs/>
          <w:kern w:val="2"/>
          <w:sz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6"/>
          <w:szCs w:val="24"/>
          <w:u w:val="none"/>
          <w:shd w:fill="auto" w:val="clear"/>
          <w:em w:val="none"/>
        </w:rPr>
        <w:t>О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6"/>
          <w:u w:val="none"/>
          <w:shd w:fill="auto" w:val="clear"/>
          <w:em w:val="none"/>
        </w:rPr>
        <w:t>КПД2-42.99.29.1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6"/>
          <w:u w:val="none"/>
          <w:em w:val="none"/>
        </w:rPr>
        <w:t>00 — Выполнение работ по монтажу системы автоматизации технологических процессов по объекту «Реконструкция АДЭС-168 кВт в с.Улуу Алданского улуса РС(Я)»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highlight w:val="none"/>
          <w:shd w:fill="auto" w:val="clear"/>
        </w:rPr>
      </w:pPr>
      <w:r>
        <w:rPr>
          <w:rFonts w:eastAsia="Calibri"/>
          <w:b/>
          <w:i w:val="false"/>
          <w:iCs w:val="false"/>
          <w:sz w:val="24"/>
          <w:szCs w:val="24"/>
          <w:shd w:fill="auto" w:val="clear"/>
        </w:rPr>
        <w:t>Л</w:t>
      </w:r>
      <w:r>
        <w:rPr>
          <w:rFonts w:eastAsia="Calibri"/>
          <w:b/>
          <w:bCs/>
          <w:i w:val="false"/>
          <w:iCs w:val="false"/>
          <w:sz w:val="24"/>
          <w:szCs w:val="24"/>
          <w:shd w:fill="auto" w:val="clear"/>
        </w:rPr>
        <w:t xml:space="preserve">от № </w:t>
      </w:r>
      <w:r>
        <w:rPr>
          <w:rFonts w:eastAsia="Calibri"/>
          <w:b/>
          <w:bCs/>
          <w:i w:val="false"/>
          <w:iCs w:val="false"/>
          <w:strike w:val="false"/>
          <w:dstrike w:val="false"/>
          <w:outline w:val="false"/>
          <w:shadow w:val="false"/>
          <w:sz w:val="26"/>
          <w:szCs w:val="24"/>
          <w:u w:val="none"/>
          <w:shd w:fill="auto" w:val="clear"/>
          <w:em w:val="none"/>
        </w:rPr>
        <w:t>47001-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6"/>
          <w:u w:val="none"/>
          <w:em w:val="none"/>
        </w:rPr>
        <w:t>КС ПРОЧ-2026-СахаЭ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832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832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4395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832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832" w:firstLine="708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  <w:sz w:val="24"/>
              <w:szCs w:val="24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sz w:val="24"/>
              <w:szCs w:val="24"/>
              <w:vanish w:val="false"/>
            </w:rPr>
            <w:fldChar w:fldCharType="separate"/>
          </w:r>
          <w:hyperlink w:anchor="_Toc124252887">
            <w:r>
              <w:rPr>
                <w:webHidden/>
                <w:rStyle w:val="Style15"/>
                <w:vanish w:val="false"/>
                <w:sz w:val="24"/>
                <w:szCs w:val="24"/>
              </w:rPr>
              <w:t>1.</w:t>
            </w:r>
            <w:r>
              <w:rPr>
                <w:rStyle w:val="Style15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89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90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Цель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91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425289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  <w:sz w:val="24"/>
                <w:szCs w:val="24"/>
              </w:rPr>
              <w:t>Таблица 1. Перечень объектов заказчика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93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94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1.6.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4252895">
            <w:r>
              <w:rPr>
                <w:webHidden/>
                <w:rStyle w:val="Style15"/>
                <w:vanish w:val="false"/>
                <w:sz w:val="24"/>
                <w:szCs w:val="24"/>
              </w:rPr>
              <w:t>2.</w:t>
            </w:r>
            <w:r>
              <w:rPr>
                <w:rStyle w:val="Style15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iCs/>
                <w:sz w:val="24"/>
                <w:szCs w:val="2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896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124252897">
            <w:r>
              <w:rPr>
                <w:webHidden/>
                <w:rStyle w:val="Style15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42528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  <w:sz w:val="24"/>
                <w:szCs w:val="24"/>
              </w:rPr>
              <w:t>Таблица 2. Перечень и объем выполняемых работ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124252899">
            <w:r>
              <w:rPr>
                <w:webHidden/>
                <w:rStyle w:val="Style15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_Toc124252899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42529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_Toc124252900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  <w:sz w:val="24"/>
                <w:szCs w:val="24"/>
              </w:rPr>
              <w:t>Таблица 3. Требования по срокам выполнения работ</w:t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24252901">
            <w:r>
              <w:rPr>
                <w:webHidden/>
                <w:rStyle w:val="Style15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5"/>
                <w:rFonts w:eastAsia="" w:cs="" w:cstheme="minorBidi" w:eastAsiaTheme="minorEastAsia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качеству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1242529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_Toc124252902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  <w:sz w:val="24"/>
                <w:szCs w:val="24"/>
              </w:rPr>
              <w:t>Таблица 4. Требования к качеству работ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4252914">
            <w:r>
              <w:rPr>
                <w:webHidden/>
                <w:rStyle w:val="Style15"/>
                <w:vanish w:val="false"/>
                <w:sz w:val="24"/>
                <w:szCs w:val="24"/>
              </w:rPr>
              <w:t>3.</w:t>
            </w:r>
            <w:r>
              <w:rPr>
                <w:rStyle w:val="Style15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4252915">
            <w:r>
              <w:rPr>
                <w:webHidden/>
                <w:rStyle w:val="Style15"/>
                <w:vanish w:val="false"/>
                <w:sz w:val="24"/>
                <w:szCs w:val="24"/>
              </w:rPr>
              <w:t>4.</w:t>
            </w:r>
            <w:r>
              <w:rPr>
                <w:rStyle w:val="Style15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30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124252916">
            <w:r>
              <w:rPr>
                <w:webHidden/>
                <w:rStyle w:val="Style15"/>
                <w:vanish w:val="false"/>
                <w:sz w:val="24"/>
                <w:szCs w:val="24"/>
              </w:rPr>
              <w:t>5.</w:t>
            </w:r>
            <w:r>
              <w:rPr>
                <w:rStyle w:val="Style15"/>
                <w:rFonts w:eastAsia="" w:cs="" w:cstheme="minorBidi" w:eastAsiaTheme="minorEastAsia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5"/>
                <w:iCs/>
                <w:sz w:val="24"/>
                <w:szCs w:val="2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_Toc124252916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  <w:sz w:val="24"/>
                <w:szCs w:val="24"/>
              </w:rPr>
              <w:tab/>
              <w:t>31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sz w:val="24"/>
              <w:szCs w:val="2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b w:val="false"/>
          <w:i/>
          <w:i/>
          <w:sz w:val="24"/>
          <w:szCs w:val="24"/>
        </w:rPr>
      </w:pPr>
      <w:r>
        <w:rPr>
          <w:b w:val="false"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0" w:name="_Toc51339692"/>
      <w:bookmarkStart w:id="1" w:name="_Toc124252887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lineRule="auto" w:line="240"/>
        <w:rPr>
          <w:rFonts w:ascii="Times New Roman" w:hAnsi="Times New Roman"/>
          <w:sz w:val="24"/>
          <w:szCs w:val="24"/>
        </w:rPr>
      </w:pPr>
      <w:bookmarkStart w:id="2" w:name="_Toc46743506"/>
      <w:bookmarkStart w:id="3" w:name="_Toc124252889"/>
      <w:r>
        <w:rPr>
          <w:sz w:val="24"/>
          <w:szCs w:val="24"/>
        </w:rPr>
        <w:t>Наименование закупаемой продукции</w:t>
      </w:r>
      <w:bookmarkEnd w:id="2"/>
      <w:bookmarkEnd w:id="3"/>
    </w:p>
    <w:p>
      <w:pPr>
        <w:pStyle w:val="Normal"/>
        <w:bidi w:val="0"/>
        <w:jc w:val="left"/>
        <w:rPr>
          <w:b/>
          <w:bCs/>
        </w:rPr>
      </w:pP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x-none"/>
        </w:rPr>
        <w:t>ОКПД2-42.99.29.100 — Выполнение работ по монтажу системы автоматизации технологических процессов по объекту «Реконструкция АДЭС-168 кВт в с.Улуу Алданского улуса РС(Я)»</w:t>
      </w:r>
    </w:p>
    <w:p>
      <w:pPr>
        <w:pStyle w:val="Heading4"/>
        <w:numPr>
          <w:ilvl w:val="1"/>
          <w:numId w:val="3"/>
        </w:numPr>
        <w:spacing w:lineRule="auto" w:line="240" w:before="240" w:after="60"/>
        <w:ind w:left="431" w:hanging="431"/>
        <w:rPr>
          <w:rFonts w:ascii="Times New Roman" w:hAnsi="Times New Roman"/>
          <w:sz w:val="24"/>
          <w:szCs w:val="24"/>
        </w:rPr>
      </w:pPr>
      <w:bookmarkStart w:id="4" w:name="_Toc124252890"/>
      <w:bookmarkStart w:id="5" w:name="_Toc46743507"/>
      <w:r>
        <w:rPr>
          <w:sz w:val="24"/>
          <w:szCs w:val="24"/>
        </w:rPr>
        <w:t xml:space="preserve">Цель </w:t>
      </w:r>
      <w:bookmarkEnd w:id="5"/>
      <w:r>
        <w:rPr>
          <w:sz w:val="24"/>
          <w:szCs w:val="24"/>
          <w:lang w:val="ru-RU"/>
        </w:rPr>
        <w:t>выполнения работ</w:t>
      </w:r>
      <w:bookmarkEnd w:id="4"/>
    </w:p>
    <w:p>
      <w:pPr>
        <w:pStyle w:val="Normal"/>
        <w:widowControl/>
        <w:suppressAutoHyphens w:val="true"/>
        <w:bidi w:val="0"/>
        <w:spacing w:lineRule="auto" w:line="240" w:before="240" w:after="60"/>
        <w:ind w:left="0" w:right="0" w:hanging="0"/>
        <w:jc w:val="left"/>
        <w:rPr/>
      </w:pPr>
      <w:r>
        <w:rPr>
          <w:sz w:val="24"/>
          <w:szCs w:val="24"/>
          <w:lang w:val="ru-RU"/>
        </w:rPr>
        <w:tab/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val="ru-RU" w:eastAsia="x-none"/>
        </w:rPr>
        <w:t>Выполнение работ по монтажу системы автоматизации технологических процессов по объекту «Реконструкция АДЭС-168 кВт в с.Улуу Алданского улуса РС(Я)»</w:t>
      </w:r>
    </w:p>
    <w:p>
      <w:pPr>
        <w:pStyle w:val="Heading4"/>
        <w:numPr>
          <w:ilvl w:val="1"/>
          <w:numId w:val="3"/>
        </w:numPr>
        <w:spacing w:lineRule="auto" w:line="240"/>
        <w:rPr>
          <w:rFonts w:ascii="Times New Roman" w:hAnsi="Times New Roman"/>
          <w:sz w:val="24"/>
          <w:szCs w:val="24"/>
        </w:rPr>
      </w:pPr>
      <w:bookmarkStart w:id="6" w:name="_Toc124252891"/>
      <w:bookmarkStart w:id="7" w:name="_Toc46743508"/>
      <w:r>
        <w:rPr>
          <w:sz w:val="24"/>
          <w:szCs w:val="24"/>
        </w:rPr>
        <w:t>Существующее положение</w:t>
      </w:r>
      <w:bookmarkEnd w:id="6"/>
      <w:bookmarkEnd w:id="7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>Участок работ находится на земельном участке с кадастровым номером – 14:02:050101:258, по адресу Республика Саха (Якутия), муниципальный район Алданский, городское поселение город Томмот, село Улуу.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Категория земель - Земли поселений (земли населенных пунктов). Объект строительства предназначен для хранения годового запаса дизельного топлива, расходуемого на выработку электрической энергии.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Участок находится с действующей дизельной электростанцией.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Общая информация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 соответствии с проектной документацией Реконструкция АДЭС-168 кВт в с. Улуу Алданского улуса РС(Я)  разработаной ООО ПБ «Инженерные системы» (г. Якутск) раздел ИС-423/24-А (прилагается к настоящим Техническим требованиям – Приложение №1),</w:t>
      </w:r>
    </w:p>
    <w:p>
      <w:pPr>
        <w:pStyle w:val="Normal"/>
        <w:widowControl/>
        <w:tabs>
          <w:tab w:val="clear" w:pos="708"/>
          <w:tab w:val="left" w:pos="1134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К выполнению работ относится:</w:t>
      </w:r>
    </w:p>
    <w:p>
      <w:pPr>
        <w:pStyle w:val="Normal"/>
        <w:widowControl/>
        <w:tabs>
          <w:tab w:val="clear" w:pos="708"/>
          <w:tab w:val="left" w:pos="1134" w:leader="none"/>
          <w:tab w:val="left" w:pos="1276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Монтаж монтажу системы автоматизации технологических процессов,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bookmarkStart w:id="8" w:name="_Toc12425289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41"/>
        <w:gridCol w:w="1866"/>
        <w:gridCol w:w="2426"/>
        <w:gridCol w:w="1968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«Реконструкция АДЭС-168 кВт в с.Улуу Алданского улуса РС(Я)»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Саха (Якутия), муниципальный район Алданский, городское поселение город Томмот, село Улуу.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«Реконструкция АДЭС-168 кВт в с.Улуу Алданского улуса РС(Я)»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Вышеуказанные работы выполняются в соответствии с инвестиционной программой АО «Сахаэнерго», по утвержденной проектной документации «Реконструкция АДЭС-168 кВт в с. Улуу Алданского улуса РС(Я)».</w:t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9" w:name="_Toc124252893"/>
      <w:r>
        <w:rPr>
          <w:sz w:val="24"/>
          <w:szCs w:val="24"/>
        </w:rPr>
        <w:t xml:space="preserve">Информация в отношении исполнения договора, </w:t>
      </w:r>
      <w:bookmarkStart w:id="10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10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9"/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За предоставление Заказчиком ресурсов и услуг (электроснабжение – при необходимости), необходимых для исполнения Подрядчиком обязательств по Договору, Подрядчик компенсирует Заказчику расходы на электроэнергию путем заключения договора на энергоснабжение. Предоставленные Заказчиком ресурсы и услуги используются Подрядчиком в целях исполнения обязательств по Договору.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В ходе строительства генподрядчик должен обеспечить объект резервным источником электроснабжения на весь период строительства, соблюдение мероприятий по охране труда и техники безопасности, пожарной безопасности, установить временное освещение. 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Доставка материалов и оборудования до места выполнения строительно-монтажных работ выполняется за счет генподрядчика.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Перед началом работ, для получения допуска на объект, Подрядчик обязан предоставить документацию согласно требованиям ИСМ РГ-00-017.02-22 «Регламент допуска подрядных и сторонних организаций, индивидуальных предпринимателей, командированного персонала для выполнения работ на объектах АО «Сахаэнерго». </w:t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11" w:name="_Toc46743510"/>
      <w:bookmarkStart w:id="12" w:name="_Toc50125126"/>
      <w:bookmarkStart w:id="13" w:name="_Toc124252894"/>
      <w:bookmarkEnd w:id="11"/>
      <w:bookmarkEnd w:id="12"/>
      <w:r>
        <w:rPr>
          <w:sz w:val="24"/>
          <w:szCs w:val="24"/>
        </w:rPr>
        <w:t>Иные требования и сведения общего характера</w:t>
      </w:r>
      <w:bookmarkEnd w:id="13"/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spacing w:lineRule="auto" w:line="276"/>
        <w:ind w:firstLine="567"/>
        <w:jc w:val="both"/>
        <w:rPr>
          <w:rFonts w:ascii="Times New Roman" w:hAnsi="Times New Roman" w:eastAsia="Calibri"/>
          <w:sz w:val="24"/>
          <w:szCs w:val="24"/>
          <w:u w:val="single"/>
          <w:lang w:eastAsia="x-none"/>
        </w:rPr>
      </w:pPr>
      <w:r>
        <w:rPr>
          <w:rFonts w:eastAsia="Calibri"/>
          <w:sz w:val="24"/>
          <w:szCs w:val="24"/>
          <w:u w:val="single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14" w:name="_Toc124252895"/>
      <w:bookmarkStart w:id="15" w:name="_Toc51339693"/>
      <w:r>
        <w:rPr>
          <w:iCs/>
          <w:sz w:val="24"/>
          <w:szCs w:val="24"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16" w:name="_Toc124252896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выполнения работ</w:t>
      </w:r>
      <w:bookmarkEnd w:id="16"/>
    </w:p>
    <w:p>
      <w:pPr>
        <w:pStyle w:val="Heading3"/>
        <w:numPr>
          <w:ilvl w:val="2"/>
          <w:numId w:val="3"/>
        </w:numPr>
        <w:rPr>
          <w:rFonts w:ascii="Times New Roman" w:hAnsi="Times New Roman"/>
          <w:sz w:val="24"/>
          <w:szCs w:val="24"/>
        </w:rPr>
      </w:pPr>
      <w:bookmarkStart w:id="17" w:name="_Toc124252897"/>
      <w:r>
        <w:rPr>
          <w:sz w:val="24"/>
          <w:szCs w:val="24"/>
          <w:lang w:val="ru-RU"/>
        </w:rPr>
        <w:t>Требования к видам и объемам работ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bookmarkStart w:id="18" w:name="_Toc124252898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End w:id="18"/>
      <w:bookmarkEnd w:id="19"/>
      <w:r>
        <w:rPr>
          <w:sz w:val="24"/>
          <w:szCs w:val="24"/>
          <w:lang w:val="ru-RU"/>
        </w:rPr>
        <w:t>Ведомость объемов работ</w:t>
      </w:r>
    </w:p>
    <w:tbl>
      <w:tblPr>
        <w:tblW w:w="10340" w:type="dxa"/>
        <w:jc w:val="left"/>
        <w:tblInd w:w="-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8"/>
        <w:gridCol w:w="5261"/>
        <w:gridCol w:w="1091"/>
        <w:gridCol w:w="1510"/>
        <w:gridCol w:w="1490"/>
      </w:tblGrid>
      <w:tr>
        <w:trPr>
          <w:trHeight w:val="472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>
          <w:trHeight w:val="77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77" w:hRule="atLeast"/>
        </w:trPr>
        <w:tc>
          <w:tcPr>
            <w:tcW w:w="10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1. Приборы и средства автоматизации</w:t>
            </w:r>
          </w:p>
        </w:tc>
      </w:tr>
      <w:tr>
        <w:trPr>
          <w:trHeight w:val="77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управления шкафного исполнения или распределительный пункт (шкаф), устанавливаемый: на стене, высота и ширина до 1700х1100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7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управления двумя насосами с УПП Форинд ШУ-Н-2х6А-Н-П-RS-767 РНЛС.422410.767-09 (2х6А; 380В; IP54)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управления автоматизацией технологического процесса УПП Форинд ШУ-АТП-20А-НМI-919 РНЛС.422410.919 (20А; 230В; IP54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манометров: с трехходовым краном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ЭКМ100НВм-0,6МПа-G1/2-КЛ1,5 Электроконтактные манометры в нержавеющем корпусе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или аппарат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Модуль дискретного ввода-вывода ОВЕН МК110-220.4ДН.4Р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Шкаф (пульт) управления навесной, высота, ширина и глубина: до 600х600х350 мм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Щиты с монтажной панелью ЩМП-1, размером 395х310х220 мм, степень защиты IP54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 металлический наружным диаметром: до 48 мм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0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Рукава металлические из стальной оцинкованной ленты, негерметичные, простого профиля, РЗ-ЦХ, диаметр условный 20 мм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7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0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в коробах, сечением: до 6 мм2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контрольный КВВГЭнг(A)-FRLS 4х1,5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Отдельно устанавливаемый: преобразователь или блок питания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ИБП Powercom Vanguard VGD-3000-RM 2U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9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Персональный компьютер DEXP Atlas H404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AOC E2270SWHN 21.5'' чёрный Монитор LCD 21.5 дюймов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APM SCADA от компании ОВЕН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86" w:hRule="atLeast"/>
        </w:trPr>
        <w:tc>
          <w:tcPr>
            <w:tcW w:w="103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2. Датчики уровня</w:t>
            </w:r>
          </w:p>
        </w:tc>
      </w:tr>
      <w:tr>
        <w:trPr>
          <w:trHeight w:val="200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Первичный преобразователь уровнемер, устанавливаемый на резервуаре, работающем: при атмосферном давлении, масса до 10 кг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Преобразователь магнитный поплавковый</w:t>
            </w:r>
          </w:p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ПМП-201Е-2D12-Фл.2-80-25/Р-Lн3100-D48x50xd21- ФЛК-9-4t,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Аппарат (кнопка, ключ управления, замок электромагнитной блокировки, звуковой сигнал, сигнальная лампа) управления и сигнализации, количество подключаемых концов: до 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Сигнализатор светозвуковой программируемый ВС-5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 металлический наружным диаметром: до 48 мм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Рукава металлические из стальной оцинкованной ленты, негерметичные, простого профиля, РЗ-ЦХ, диаметр условный 20 мм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в коробах, сечением: до 6 мм2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контрольный КВВГЭнг(A)-FRLS 4х1,5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Аппарат (кнопка, ключ управления, замок электромагнитной блокировки, звуковой сигнал, сигнальная лампа) управления и сигнализации, количество подключаемых концов: до 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Оповещатель свето-звуковой взрывозащищенный ЗОВ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Аппарат (кнопка, ключ управления, замок электромагнитной блокировки, звуковой сигнал, сигнальная лампа) управления и сигнализации, количество подключаемых концов: до 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управления кнопочный для установки на ровной поверхности, 1 управляющий элемент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 металлический наружным диаметром: до 48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Рукава металлические из стальной оцинкованной ленты, негерметичные, простого профиля, РЗ-ЦХ, диаметр условный 20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в коробах, сечением: до 6 мм2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контрольный КВВГЭнг(A)-FRLS 4х1,5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для анализа физико-химического состава вещества, категория сложности: I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Газоанализатор стационарный СГОЭС-М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бетонной подготовки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м3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Приготовление тяжелого бетона: на щебне класса В 15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м3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Армирование подстилающих слоев и набетонок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0,0065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Сетка сварная из холоднотянутой проволоки 4-5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0,0065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металлических столбов высотой до 4 м: на подготовленный бетонный фундамент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Детали закладные и накладные, изготовленные с применением сварки, гнутья, сверления (пробивки) отверстий (при наличии одной из этих операций или всего перечня в любых сочетаниях), поставляемые отдельно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0,0598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Болты анкерные с гайкой, размер 8,0х65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Коробка с зажимами, устанавливаемая на конструкции на стене или колонне, для кабелей или проводов сечением: до 10 мм2, с количеством зажимов до 6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Коробка клеммная КК-03 для разветвления интерфейса RS-485, а также сетей 230 В 4 А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 металлический наружным диаметром: до 48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Рукава металлические из стальной оцинкованной ленты, негерметичные, простого профиля, РЗ-ЦХ, диаметр условный 20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Провод в коробах, сечением: до 6 мм2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Кабель контрольный КВВГЭнг(A)-FRLS 4х1,5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3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3. Кабели и монтажные изделия</w:t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 металлический на конструкциях, кронштейнах, по фермам и колоннам, длина: 2 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 кабельный прямой У1105 УТ1,5, размером 100х50х2000 мм, горячеоцинкованный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Фланец соединительный FR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Держатель кабеля TRC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Держатель крышки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Горизонтальный угол 90°, глухой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 вертикальный вверх 90°, глухой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 вертикальный вниз 90°, глухой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Ответвитель горизонтальный Х-образный, глухой,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Ответвитель горизонтальный Т-образный, глухой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для обеспечения степени защиты IP44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Ответвитель Т-образный вертикальный TDS/TRSA/TDSR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Винт с крестообразным шлицем М 6х10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Гайка с насечкой М 6 DIN 6923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3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4. Щитовое оборудование</w:t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выключателя нагрузки EKF PROxima ВН-63N 3P, 16А S63316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выключателя автоматического ВА 47-63 4,5kA 6А 1P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автомата пуска двигателя АПД-32 4-6,3А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блок-контакта АПД-32 БК-11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плавного пуска SFB 3Ф 380В 2,2кВт 4,5A Uупр 24В Modbus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блока сетевого фильтра БСФ-ДЗ-1,2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реле контроля фаз с LCD дисплеем RKF-2S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разъема для реле AVERES РM5 22/2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реле РП slim 22/2 5A 230В AC AVERES rps-22-2-230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блока питания для шкафов автоматики 24В 30Вт БП30А-24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программируемого реле ПР102-24.2416.06.2 на 40 каналов ввода/вывода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матрицы светодиодной AD16-22HS зеленый 230 В AC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матрицы светодиодной AD16-22HS красный 230 В AC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матрицы светодиодной AD16-22HS желтый 230 В AC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кнопки "Пуск-Стоп" овальная 220В NO+NC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кнопки SW2C-11 возвратная черная NO+NC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переключателя короткая ручка BD21 2P NO IP65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колодки клеммной JXB-2,5/35 серая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колодки клеммной JXB-2,5/35 синяя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клеммы винтовой для заземления ЕК-JXB-4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зажима на DIN-рейку пластикового 1 винт EW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держателя для маркировки клеммных групп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DIN-рейки перфорированная (с Ω-профилем) 35/7,5мм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заглушки для клеммы с продольным JXB-6S1/35 размыкателем серая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Маркеры для JXB с нумерацией 1-10 (100 шт.)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шины нулевой в корпусе 4х7 EKF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Устройство шины PEN "ноль-земля" 6x9мм 8 отверстий латунь PROxima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885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 5. Монтаж опорных конструкций Оп-1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Уголок горячекатаный, размер 50х50х5 мм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0,720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Краска ПФ-115 (серая)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5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Грунтовка ГФ -0,21 (серая)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120"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spacing w:before="0" w:after="0"/>
        <w:rPr>
          <w:rFonts w:ascii="Times New Roman" w:hAnsi="Times New Roman"/>
          <w:sz w:val="24"/>
          <w:szCs w:val="24"/>
        </w:rPr>
      </w:pPr>
      <w:bookmarkStart w:id="20" w:name="_Toc124252899"/>
      <w:bookmarkStart w:id="21" w:name="_Toc51339696"/>
      <w:r>
        <w:rPr>
          <w:sz w:val="24"/>
          <w:szCs w:val="24"/>
          <w:shd w:fill="auto" w:val="clear"/>
          <w:lang w:val="ru-RU"/>
        </w:rPr>
        <w:t xml:space="preserve">Требования </w:t>
      </w:r>
      <w:bookmarkEnd w:id="21"/>
      <w:r>
        <w:rPr>
          <w:sz w:val="24"/>
          <w:szCs w:val="24"/>
          <w:shd w:fill="auto" w:val="clear"/>
          <w:lang w:val="ru-RU"/>
        </w:rPr>
        <w:t>к срокам выполнения работ</w:t>
      </w:r>
      <w:bookmarkEnd w:id="20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rFonts w:ascii="Times New Roman" w:hAnsi="Times New Roman"/>
          <w:sz w:val="24"/>
          <w:szCs w:val="24"/>
        </w:rPr>
      </w:pPr>
      <w:bookmarkStart w:id="22" w:name="_Toc124252900"/>
      <w:bookmarkStart w:id="23" w:name="_Toc50125126_Копия_1"/>
      <w:bookmarkStart w:id="24" w:name="_Toc51339697"/>
      <w:bookmarkStart w:id="25" w:name="_Toc50125127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4"/>
      <w:bookmarkEnd w:id="25"/>
      <w:bookmarkEnd w:id="26"/>
      <w:r>
        <w:rPr>
          <w:sz w:val="24"/>
          <w:szCs w:val="24"/>
          <w:lang w:val="ru-RU"/>
        </w:rPr>
        <w:t>выполнения работ</w:t>
      </w:r>
      <w:bookmarkEnd w:id="22"/>
    </w:p>
    <w:tbl>
      <w:tblPr>
        <w:tblW w:w="10406" w:type="dxa"/>
        <w:jc w:val="left"/>
        <w:tblInd w:w="-2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9"/>
        <w:gridCol w:w="6060"/>
        <w:gridCol w:w="1547"/>
        <w:gridCol w:w="2299"/>
      </w:tblGrid>
      <w:tr>
        <w:trPr>
          <w:trHeight w:val="1359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7" w:name="_Toc46743510_Копия_1"/>
            <w:bookmarkEnd w:id="27"/>
            <w:r>
              <w:rPr>
                <w:sz w:val="24"/>
                <w:szCs w:val="24"/>
              </w:rPr>
              <w:t>№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</w:t>
            </w:r>
          </w:p>
        </w:tc>
      </w:tr>
      <w:tr>
        <w:trPr>
          <w:trHeight w:val="77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Выполнение работ по монтажу системы автоматизации технологических процессов по объекту «Реконструкция АДЭС-168 кВт в с.Улуу Алданского улуса РС(Я)»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 (шесть) месяцев с даты 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28" w:name="_Toc51339698"/>
      <w:bookmarkStart w:id="29" w:name="_Toc50125131"/>
      <w:bookmarkStart w:id="30" w:name="_Toc124252901"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качеству работ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bookmarkStart w:id="31" w:name="_Toc12425290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8"/>
      <w:bookmarkEnd w:id="29"/>
      <w:r>
        <w:rPr>
          <w:sz w:val="24"/>
          <w:szCs w:val="24"/>
          <w:lang w:val="ru-RU"/>
        </w:rPr>
        <w:t>качеству работ</w:t>
      </w:r>
      <w:bookmarkEnd w:id="31"/>
      <w:r>
        <w:rPr>
          <w:bCs/>
          <w:sz w:val="24"/>
          <w:szCs w:val="24"/>
        </w:rPr>
        <w:t xml:space="preserve">,  </w:t>
      </w:r>
      <w:r>
        <w:rPr>
          <w:bCs/>
          <w:sz w:val="24"/>
          <w:szCs w:val="24"/>
          <w:lang w:val="ru-RU"/>
        </w:rPr>
        <w:t>указанных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ru-RU"/>
        </w:rPr>
        <w:t xml:space="preserve">в </w:t>
      </w:r>
      <w:r>
        <w:rPr>
          <w:bCs/>
          <w:sz w:val="24"/>
          <w:szCs w:val="24"/>
        </w:rPr>
        <w:t>Ведомост</w:t>
      </w:r>
      <w:r>
        <w:rPr>
          <w:bCs/>
          <w:sz w:val="24"/>
          <w:szCs w:val="24"/>
          <w:lang w:val="ru-RU"/>
        </w:rPr>
        <w:t>и</w:t>
      </w:r>
      <w:r>
        <w:rPr>
          <w:bCs/>
          <w:sz w:val="24"/>
          <w:szCs w:val="24"/>
        </w:rPr>
        <w:t xml:space="preserve"> объемов конструктивных решений - прилагается к настоящим Техническим требованиям – Раздел 2, таблица №2.</w:t>
      </w:r>
    </w:p>
    <w:tbl>
      <w:tblPr>
        <w:tblStyle w:val="af"/>
        <w:tblW w:w="1499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1"/>
        <w:gridCol w:w="2043"/>
        <w:gridCol w:w="3738"/>
        <w:gridCol w:w="2759"/>
        <w:gridCol w:w="2784"/>
        <w:gridCol w:w="2849"/>
      </w:tblGrid>
      <w:tr>
        <w:trPr/>
        <w:tc>
          <w:tcPr>
            <w:tcW w:w="8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7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7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7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Строительно-монтажные работы  выполняются в соответствии со следующей документацией и нормативными документами: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  <w:tab/>
              <w:t>Реконструкция АДЭС-168 кВт в с. Улуу Алданского улуса РС(Я)  разработаной ООО ПБ «Инженерные системы» (г. Якутск) раздел  раздел ИС-423/24-А (прилагается к настоящим Техническим требованиям – Приложение №1),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  <w:tab/>
              <w:t>Постановление Правительства Российской Федерации от 21 июня 2010 г. N 468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Технический регламент о безопасности зданий и сооружений (с изменениями на 2 июля 2013 года), Федеральный закон от 30.12.2009 N 384-ФЗ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Федеральный закон от 21.12.1994 N 69-ФЗ "О пожарной безопасности"; Федеральный закон от 22.07.2008 N 123-ФЗ "Технический регламент о требованиях пожарной безопасности";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Правила противопожарного режима В РФ, утв. Постановлением Правительства РФ от 16 сентября 2020 года N 1479.;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Федеральный закон от 21.07.1997 N 116-ФЗ "О промышленной безопасности опасных производственных объектов";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45.13330.2017 «Земляные сооружения, основания и фундаменты»;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48.13330.2019 «Организация строительства. Актуализированная редакция СНиП 12-01-2004»;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71.13330.2017. Свод правил. Изоляционные и отделочные покрытия. Актуализированная редакция СНиП 3.04.01-87 (утв. Приказом Минстроя России от 27.02.2017 № 128/пр);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76.13330.2016. Свод правил. Электротехнические устройства. Актуализированная редакция СНиП 3.05.06-85" (утв. Приказом Минстроя России от 16.12.2016 N 955/пр);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60.13330.2012. Свод правил. Отопление, вентиляция и кондиционирование воздуха. Актуализированная редакция СНиП 41-01-2003" (утв. Приказом Минрегиона России от 30.06.2012 N 279);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72.13330.2016. Свод правил. Защита строительных конструкций и сооружений от коррозии. СНиП 3.04.03-85" (утв. и введен в действие Приказом Минстроя России от 16.12.2016 N 965/пр);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70.13330.2012 «Несущие и ограждающие конструкции»;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49.13330.2010 (СНиП 12-03-2001) «Безопасность труда в строительстве» ч.1;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СНиП 12-04-2002 «Безопасность труда в строительстве» ч.2;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126.13330.2017 «Геодезические работы в строительстве. Актуализированная редакция СНиП 3.01.03-84»;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116.13330.2012 «Инженерная защита территорий, зданий и сооружений от опасных геологических процессов»;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28.13330.2017 «Защита строительных конструкций от коррозии»;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68.13330.2017 «Приемка в эксплуатацию законченных строительством объектов»;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СП 14.13330.2018 «Строительство в сейсмических районах»;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ПУЭ «Правила устройства электроустановок»;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РД-11-05-2007 «Порядок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РД-11-02-2006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«Инструкция по оформлению приемо-сдаточной документации по электромонтажным работам» И 1.13-07;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РД 34.03.204 «Правила безопасности при работе с инструментом и приспособлениями»;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РД 10-107-96 «Типовая инструкция для стропальщиков по безопасному производству работ грузоподъемными машинами»;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РД 10-34-93 «Типовая инструкция для лиц ответственных за безопасное производство работ кранами (с изменением №1);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ВСН 506-88 «Проектирование и устройство грунтовых анкеров»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МДС 12-81.2007 «Методические рекомендации по разработке и оформлению проекта организации строительства и проекта производства работ»;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СО 153-34.03.305-2003 «Инструкция о мерах пожарной безопасности при проведении огневых работ на энергетических предприятиях»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Правила охраны труда при строительстве, реконструкции и ремонте, утвержденные приказом Минтруда РФ от 11.12.2020 г. №883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Приказ Минтруда России от 16.11.2020 г. №782» Об утверждении Правил по охране труда при работе на высоте».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Приказ Минтруда РФ от 24.07.3013г. №328н «Правила по охране труда при эксплуатации электроустановок»;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Приказ Ростехнадзора РФ от 26.11.2020 г. №461Правила безопасности «опасных производственных объектов, на которых используются подъемные сооружения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Приказ Минтруда РФ от 17.09.2014 № 642н «Об утверждении Правил по охране труда при погрузочно-разгрузочных работах и размещении грузов»;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Проект производства работ (ППР), заводскими инструкциями и руководством по использованию применяемых материалов.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СДОС-03-2009 «Положение по проведению строительного контроля при строительстве, реконструкции, капитального строительства».</w:t>
            </w:r>
          </w:p>
        </w:tc>
        <w:tc>
          <w:tcPr>
            <w:tcW w:w="27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Календарный план производства работ по виду работ (устанавливается последовательность выполнения работ, а также указание производства совмещенных работ);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должна применяться продукция, оборудование, материалы и вещества, соответствие которых нормативным требованиям подтверждено декларацией о соответствии или сертификатом соответствия. Обязательно осуществление входного контроля Подрядчиком, применяемых материалов с оформлением соответствующих актов и внесением записей в журнал входного контроля.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осуществлении входного контроля Подрядчику необходимо проводить испытания материалов конструкций и изделий силами специализированных, лицензированных лабораторий, в случае выявления при входном контроле продукции, не соответствующей установленным требованиям, ее применение для строительства не допускается;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Испытания в рамках входного контроля, которые Подрядчик не может осуществить собственными силами, он должен производить с привлечением, по договору подряда, аккредитованной лаборатории.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Входной контроль проводить в соответствии с Постановлением Правительства Российской Федерации от 21 июня 2010 г.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Хранение материалов производить в соответствии с ВСН 212-85.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Подрядчик обязан производить строительный контроль в ходе производства работ, в том числе: контроль над соответствием применяемых строительных материалов и конструкций требованиям технических регламентов и рабочей документации, соблюдением норм и правил складирования и хранения применяемой продукции, соблюдением последовательности и состава технологических операций при осуществлении строительства.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Осуществление строительного контроля подрядчиком в соответствии с Постановлением Правительства Российской Федерации № 468 от 21.06.2010 г. с ведением журналов работ и оформлением актов согласно РД-11-02-2006 и РД-11-05-2007.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аккредитованной лаборатории по оценке качества работ и материалов или договора со специализированной организацией на выполнение работ по оценке качества такой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Подрядчик гарантирует высокое качество и надежную последующую эксплуатацию объекта капитального строительства в соответствии с положениями технических регламентов, действующих на территории Российской Федерации.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 Подрядчика возлагается контроль: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за соответствием выполнения строительных и монтажных работ проекту и техническим регламентам в порядке, установленном схемами операционного контроля;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проверка соответствия стандартам, техническим условиям, паспортам и сертификатам поступающих на объект материалов, конструкций и изделий;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Материалы и оборудование применяются в соответствии с 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роектной документацией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Реконструкция АДЭС-168 кВт в с. Улуу Алданского улуса РС(Я)  разработаной ООО ПБ «Инженерные системы» (г. Якутск) раздел  раздел ИС-423/24-А (прилагается к настоящим Техническим требованиям – Приложение №1),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Материалы и оборудование должны быть новыми и ранее не использованными.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 части оборудования и материалов, указанных в рабочей документации с конкретной торговой маркой, допускается аналог с теми же или лучшими характеристиками.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Применяемые при монтаже оборудования под давлением, материалы и полуфабрикаты должны обеспечивать безопасные эксплуатационные параметры, определяемые их механическими свойствами, химическим составом, технологией изготовления, методами и объемами испытаний и контроля качества, гарантированным уровнем расчетных и технологических характеристик, и должны соответствовать требованиям технической документации изготовителя и рабочей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Обязательное предоставление паспортов и сертификатов на поставляемые материалы и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Все замечания, указания, предписания надзорных органов, предъявленные Заказчику по качеству выполненных Подрядчиком работ, устраняются Подрядчиком в указанные сроки за счет собственных средств.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Своевременно оповещать представителей Заказчика и авторского надзора о проведении освидетельствования скрытых работ и ответственных конструкций.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firstLine="26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персонала, разряде и группе по электробезопасности  с приложением копий  удостоверений на производство специальных видов работ (огневых, грузоподъемных, работ с электро- и пневмоинструментом) (возможно совмещение специальностей).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373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Подрядчик должен: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соблюдать требования действующего федерального законодательства Российской Федерации, нормативных правовых актов субъектов Российской Федерации, 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соблюдать установленный противопожарный и внутриобъектовый режимы на предприятии Заказчика, требования режимов являются обязательными для персонала Подрядчика и должны строго выполняться.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color w:val="000000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 производстве работ Подрядчик руководствуется действующими нормативными документами в области охраны труда и промышленной безопасности, указанных п.1.1.1 Технических требований.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Работы производить в соответствии с согласованным Заказчиком ППР.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Подрядчику необходимо: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выполнить монтаж ограждений, переходов, лестниц и т.д., для безопасного доступа персонала Подрядчика и представителей Заказчика, надзорных органов и авторского надзора на строящиеся объекты;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исключить падение монтируемых конструкций, оборудования;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обеспечить безопасность, персонала Заказчика, персонала подрядных организаций, находящегося в зоне выполнения работ в период производства работ;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firstLine="26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- 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выполнения работ в период производства работ.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 выполняются в таком объеме, который позволяет начать эксплуатацию результатов работ без закупки дополнительных объемов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 по договору считаются выполненными с момента сдачи объектов в эксплуатацию приемочной комиссии по Акту приемки законченного строительством объекта (по форме КС-11).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Подрядные работы, определенные по предмету Договора, выполнять в соответствии проектной документацией Реконструкция АДЭС-168 кВт в с. Улуу Алданского улуса РС(Я)  разработаной ООО ПБ «Инженерные системы» (г. Якутск) раздел  раздел ИС-423/24-А (прилагается к настоящим Техническим требованиям – Приложение №1), в соответствии с действующими федеральными законами, техническими регламентами, правилами и стандартами.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870" w:hRule="atLeast"/>
        </w:trPr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завершенных работ (перечень сооружений)</w:t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firstLine="371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Согласно ведомости объемов работ (Табл. 2)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Сдача-приемка результатов работ</w:t>
            </w:r>
          </w:p>
        </w:tc>
        <w:tc>
          <w:tcPr>
            <w:tcW w:w="3738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Порядок сдачи-приемки работ, также описан в Разделе 4 Договора.</w:t>
            </w:r>
          </w:p>
        </w:tc>
        <w:tc>
          <w:tcPr>
            <w:tcW w:w="27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4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3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Подрядчик обязан предоставить документацию, соответствующую требованиям «Порядка сдачи-приемки работ» (Раздел 4 Договора), в том числе одновременно с передачей актов приемки выполненных работ по форме КС-2 передать заказчику Отчет о выполненных работах, включая: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  <w:tab/>
              <w:t>комиссионные акты входного контроля закупаемых подрядчиком материалов (в произвольной форме) на соответствие продукции требованиям технической документации;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</w:t>
              <w:tab/>
              <w:t>сертификаты (паспорта), подтверждающие качество и соответствие требованиям конструкторской и нормативно-технической документации материалов (форма завода-изготовителя).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Документация выполняется и сдается Подрядчиком в соответствии с требованиями указанными в РД, СП, СТО РГ, указанных в п. 1.1.1 настоящей таблицы.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Выполнение отдельных видов работ, предусматривающих скрытые работы, должно подтверждаться Актами скрытых работ, подписанными техническим куратором и представителем авторского надзора. Сдача ответственных конструкций должна подтверждаться Актами освидетельствования ответственных конструкций. В ходе окончательной приемки работ должны быть предъявлены следующие документы: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паспорта и сертификаты на примененные материалы и оборудование;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данные о результатах лабораторных испытаний;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журнал производства работ, журналы специальных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исполнительные чертежи, схемы;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акты, составленные по результатам контрольных мероприятий, проводимых совместно подрядчиком и заказчиком;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акты промежуточной приемки выполненных работ. Кроме того Подрядчик должен предоставить Заказчику всю техническую документацию на предоставляемое оборудование, изделия (акты, протоколы, сертификаты и пр.) в соответствии с действующими стандартами, действующими СП, СНиП. Работы должны проводиться в соответствии с действующими СНиП, РД, ПУЭ, ПТЭ, МПОТ, требованиями пожарной безопасности (см. п. 1.1.1 настоящей таблицы).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Комплект исполнительной документации предоставляется Заказчику на русском языке, на бумажном носителе в виде альбома форматов А1, А2, A3, А4 в 1 (одном) экземпляре.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о ходе выполнения работ</w:t>
            </w:r>
          </w:p>
        </w:tc>
        <w:tc>
          <w:tcPr>
            <w:tcW w:w="3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Подрядчик обязан еженедельно (не позднее пятницы) предоставлять  информацию (отчет) о ходе выполнения работ, в письменном виде, с приложением фотографий.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предоставляемой информации указываются фактические сроки выполнения работ,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firstLine="4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Смотреть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п. 1.1.1 настоящей таблицы.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4.1.1.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Гарантийный срок на результат работ</w:t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Гарантийный срок по Договору составляет 36 (тридцать шесть) месяцев и начинает действовать с даты подписания Сторонами Акта КС-11 либо с даты прекращения (расторжения) Договора. Гарантийный срок может быть продлен в соответствии с условиями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При организации и производстве Работ Подрядчик несет ответственность за соблюдением условий природопользования.</w:t>
            </w:r>
          </w:p>
        </w:tc>
        <w:tc>
          <w:tcPr>
            <w:tcW w:w="275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2" w:name="_Toc124252903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  <w:bookmarkEnd w:id="32"/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4.1.2.</w:t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Подрядчика</w:t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37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Подрядчика смотреть в Разделе 7 Договора.</w:t>
            </w:r>
          </w:p>
        </w:tc>
        <w:tc>
          <w:tcPr>
            <w:tcW w:w="275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3" w:name="_Toc124252904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  <w:bookmarkEnd w:id="33"/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7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работ, с учетом требований п.2.4.3 Договора.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27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781" w:type="dxa"/>
            <w:gridSpan w:val="2"/>
            <w:tcBorders/>
            <w:vAlign w:val="center"/>
          </w:tcPr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4" w:name="_Toc124252905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При выполнении Работ на территории и объекте Заказчика, подрядная организация организует санитарно-бытовое обслуживание собственного персонала в местах отсутствия действующих туалетов и умывальников в шаговой доступности (более 75 метров) до полного окончания работ. Санитарно-бытовое обслуживание включает в себя:</w:t>
            </w:r>
            <w:bookmarkEnd w:id="34"/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5" w:name="_Toc124252906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установку, обслуживание и очистку биотуалетов с возможностью эксплуатации его в зимний период года;</w:t>
            </w:r>
            <w:bookmarkEnd w:id="35"/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6" w:name="_Toc124252907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установку и бесперебойную работу умывальников;</w:t>
            </w:r>
            <w:bookmarkEnd w:id="36"/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7" w:name="_Toc12425290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вывоз и утилизацию (обезвреживание) отходов, образующихся при эксплуатации биотуалетов и умывальников;</w:t>
            </w:r>
            <w:bookmarkEnd w:id="37"/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8" w:name="_Toc124252909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установку и бесперебойную работу кулеров с питьевой водой;</w:t>
            </w:r>
            <w:bookmarkEnd w:id="38"/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39" w:name="_Toc124252910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размещения разовых бумажных полотенец и жидкого мыла в местах установки умывальников.</w:t>
            </w:r>
            <w:bookmarkEnd w:id="39"/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40" w:name="_Toc124252911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- сброс и\или размещение сточных вод образованных от эксплуатации биотуалетов и умывальников, в водные объекты и на территории Филиала категорически запрещён.</w:t>
            </w:r>
            <w:bookmarkEnd w:id="40"/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414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41" w:name="_Toc124252912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При выполнении работ необходимо соблюдать требования законодательства в области охраны окружающей среды. Отходы, образующиеся в ходе производства работ, Подрядчик сортирует по классу опасности и вывозит на соответствующий полигон.</w:t>
            </w:r>
            <w:bookmarkEnd w:id="41"/>
          </w:p>
        </w:tc>
        <w:tc>
          <w:tcPr>
            <w:tcW w:w="275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bookmarkStart w:id="42" w:name="_Toc124252913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  <w:bookmarkEnd w:id="42"/>
          </w:p>
        </w:tc>
        <w:tc>
          <w:tcPr>
            <w:tcW w:w="27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84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43" w:name="_Toc124252915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43"/>
    </w:p>
    <w:p>
      <w:pPr>
        <w:pStyle w:val="Normal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4.1   На этапе заключения договора Участник должен предоставить сметный расчет.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4.1.1 </w:t>
      </w:r>
      <w:r>
        <w:rPr>
          <w:bCs/>
          <w:sz w:val="24"/>
          <w:szCs w:val="24"/>
        </w:rPr>
        <w:t xml:space="preserve">Сметный расчет составленный Заказчиком в рамках определения начальной (максимальной) цены договора включается в состав договора с применением понижающего коэффициента, предложенного победителем закупочной процедуры. Понижающий коэффициент </w:t>
      </w:r>
      <w:r>
        <w:rPr>
          <w:sz w:val="24"/>
          <w:szCs w:val="24"/>
        </w:rPr>
        <w:t xml:space="preserve">вводятся в расчет отдельным индексом к итогам после начисления лимитированных затрат (но перед начислением НДС, в случае если участник работает в общей системе налогообложения), с указанием величины примененных коэффициентов.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Допускается понижение до цены лота за счет лимитированных и непредвиденный затрат.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4.2   Участнику необходимо предоставить письмо-согласие со сметным расчетом Заказчика, с отображением понижающих коэффициентов, которое включается в состав договора.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4.3 </w:t>
      </w:r>
      <w:r>
        <w:rPr>
          <w:bCs/>
          <w:sz w:val="24"/>
          <w:szCs w:val="24"/>
        </w:rPr>
        <w:t>Внесение изменений в сметную документацию Заказчика, кроме применения понижающего коэффициента в соответствии с п. 4.1.1, не допускается.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 xml:space="preserve">4.4  </w:t>
      </w:r>
      <w:r>
        <w:rPr>
          <w:sz w:val="24"/>
          <w:szCs w:val="24"/>
        </w:rPr>
        <w:t>Учтенные в договорной смете понижающие коэффициенты обязательны к применению как в актах выполненных работ на стадии расчетов, так и в дополнительных сметах в случае их составления на стадии выполнения Договора подряда.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4.5 Затраты на перебазировку техники, командировочные расходы при их наличии в договорной смете принимаются по подтверждающим документам, но не более суммы, предусмотренной сметным расчетом к Договору.</w:t>
      </w:r>
    </w:p>
    <w:p>
      <w:pPr>
        <w:pStyle w:val="Normal"/>
        <w:tabs>
          <w:tab w:val="clear" w:pos="708"/>
          <w:tab w:val="left" w:pos="993" w:leader="none"/>
        </w:tabs>
        <w:snapToGrid w:val="false"/>
        <w:spacing w:before="0" w:after="0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4.6 Непредвиденные затраты оплачивается за фактически выполненные работы при наличии подтверждающих документов.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4.7  Акт выполненных работ (КС-2) составляется подрядной организацией на основании договорной сметы.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44" w:name="_Toc51339699"/>
      <w:bookmarkStart w:id="45" w:name="_Toc46743519"/>
      <w:bookmarkStart w:id="46" w:name="_Toc124252916"/>
      <w:r>
        <w:rPr>
          <w:iCs/>
          <w:sz w:val="24"/>
          <w:szCs w:val="24"/>
        </w:rPr>
        <w:t>Приложения</w:t>
      </w:r>
      <w:bookmarkEnd w:id="44"/>
      <w:bookmarkEnd w:id="45"/>
      <w:bookmarkEnd w:id="4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ascii="Times New Roman" w:hAnsi="Times New Roman"/>
          <w:b w:val="false"/>
          <w:bCs/>
          <w:i w:val="false"/>
          <w:i w:val="false"/>
          <w:iCs/>
          <w:sz w:val="24"/>
          <w:szCs w:val="24"/>
        </w:rPr>
      </w:pPr>
      <w:r>
        <w:rPr>
          <w:b w:val="false"/>
          <w:bCs/>
          <w:i w:val="false"/>
          <w:iCs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 xml:space="preserve">Приложение №1: 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>Проект Реконструкция АДЭС-168 кВт в с. Улуу Алданского улуса РС(Я)»  раздел ИС-423/24-А</w:t>
      </w:r>
    </w:p>
    <w:p>
      <w:pPr>
        <w:pStyle w:val="Normal"/>
        <w:spacing w:before="0" w:after="12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bCs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Balloon Text" w:uiPriority="99"/>
    <w:lsdException w:name="Table Grid" w:uiPriority="5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выноски Знак"/>
    <w:link w:val="BalloonText"/>
    <w:uiPriority w:val="99"/>
    <w:semiHidden/>
    <w:qFormat/>
    <w:rsid w:val="00531f1a"/>
    <w:rPr>
      <w:rFonts w:ascii="Tahoma" w:hAnsi="Tahoma" w:cs="Tahoma"/>
      <w:sz w:val="16"/>
      <w:szCs w:val="16"/>
    </w:rPr>
  </w:style>
  <w:style w:type="character" w:styleId="Style15">
    <w:name w:val="Ссылка указателя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a945ef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4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a945ef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1301550521">
    <w:name w:val="31301550521"/>
    <w:qFormat/>
  </w:style>
  <w:style w:type="numbering" w:styleId="29954116391">
    <w:name w:val="299541163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CEA36-02FF-47FE-9684-B4EAFB42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4497</TotalTime>
  <Application>AlterOffice/2025.3.0.0$Linux_X86_64 LibreOffice_project/4ba31b6a4271509a884f95065d0a726e9cb2bdbb</Application>
  <AppVersion>15.0000</AppVersion>
  <Pages>24</Pages>
  <Words>4256</Words>
  <Characters>28680</Characters>
  <CharactersWithSpaces>32236</CharactersWithSpaces>
  <Paragraphs>728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2021-04-04T09:36:00Z</dcterms:created>
  <dc:creator>Быстров Олег Геннадьевич</dc:creator>
  <dc:description/>
  <dc:language>ru-RU</dc:language>
  <cp:lastModifiedBy/>
  <cp:lastPrinted>2025-05-12T14:14:48Z</cp:lastPrinted>
  <dcterms:modified xsi:type="dcterms:W3CDTF">2026-02-11T14:54:59Z</dcterms:modified>
  <cp:revision>112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