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5.xml" ContentType="application/vnd.openxmlformats-officedocument.wordprocessingml.footer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szCs w:val="24"/>
        </w:rPr>
      </w:pPr>
      <w:r>
        <w:rPr>
          <w:rFonts w:cs="Times New Roman"/>
          <w:b/>
          <w:color w:val="000000"/>
          <w:szCs w:val="24"/>
        </w:rPr>
        <w:t>ТЕХНИЧЕСКИЕ ТРЕБОВАНИЯ</w:t>
      </w:r>
    </w:p>
    <w:p>
      <w:pPr>
        <w:pStyle w:val="Normal"/>
        <w:jc w:val="center"/>
        <w:rPr/>
      </w:pPr>
      <w:r>
        <w:rPr>
          <w:rFonts w:cs="Times New Roman"/>
          <w:color w:val="000000"/>
          <w:szCs w:val="24"/>
        </w:rPr>
        <w:t>ОКПД2 25.11.23.110 Поставка металлоконструкций для Новосибирской ГЭС</w:t>
      </w:r>
    </w:p>
    <w:p>
      <w:pPr>
        <w:pStyle w:val="Normal"/>
        <w:jc w:val="center"/>
        <w:rPr>
          <w:szCs w:val="24"/>
        </w:rPr>
      </w:pPr>
      <w:r>
        <w:rPr>
          <w:rFonts w:cs="Times New Roman"/>
          <w:color w:val="000000"/>
          <w:szCs w:val="24"/>
        </w:rPr>
        <w:t>(Лот №</w:t>
      </w:r>
      <w:r>
        <w:rPr>
          <w:rFonts w:cs="Times New Roman"/>
          <w:color w:val="000000"/>
          <w:szCs w:val="24"/>
          <w:lang w:val="en-US"/>
        </w:rPr>
        <w:t>…</w:t>
      </w:r>
      <w:r>
        <w:rPr>
          <w:rFonts w:eastAsia="Geneva" w:cs="Times New Roman"/>
          <w:color w:val="000000"/>
          <w:szCs w:val="24"/>
        </w:rPr>
        <w:t>)</w:t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jc w:val="center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jc w:val="center"/>
        <w:outlineLvl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  <w:r>
        <w:br w:type="page"/>
      </w:r>
    </w:p>
    <w:p>
      <w:pPr>
        <w:pStyle w:val="Heading4"/>
        <w:numPr>
          <w:ilvl w:val="0"/>
          <w:numId w:val="6"/>
        </w:numPr>
        <w:tabs>
          <w:tab w:val="clear" w:pos="709"/>
          <w:tab w:val="left" w:pos="0" w:leader="none"/>
        </w:tabs>
        <w:ind w:left="426" w:hanging="360"/>
        <w:jc w:val="center"/>
        <w:rPr/>
      </w:pPr>
      <w:r>
        <w:rPr>
          <w:color w:val="000000"/>
        </w:rPr>
        <w:t>Общие сведения</w:t>
      </w:r>
    </w:p>
    <w:p>
      <w:pPr>
        <w:pStyle w:val="Normal"/>
        <w:tabs>
          <w:tab w:val="clear" w:pos="720"/>
          <w:tab w:val="left" w:pos="0" w:leader="none"/>
        </w:tabs>
        <w:ind w:left="426" w:hanging="360"/>
        <w:jc w:val="center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Heading4"/>
        <w:numPr>
          <w:ilvl w:val="1"/>
          <w:numId w:val="7"/>
        </w:numPr>
        <w:ind w:left="0" w:firstLine="709"/>
        <w:rPr/>
      </w:pPr>
      <w:bookmarkStart w:id="0" w:name="_Toc46743506"/>
      <w:bookmarkStart w:id="1" w:name="_Toc75446568"/>
      <w:bookmarkStart w:id="2" w:name="_Toc75446569"/>
      <w:bookmarkEnd w:id="2"/>
      <w:r>
        <w:rPr>
          <w:color w:val="000000"/>
        </w:rPr>
        <w:t>Наименование закупаемой продукции</w:t>
      </w:r>
      <w:bookmarkEnd w:id="0"/>
      <w:bookmarkEnd w:id="1"/>
    </w:p>
    <w:p>
      <w:pPr>
        <w:pStyle w:val="Normal"/>
        <w:ind w:firstLine="419"/>
        <w:jc w:val="both"/>
        <w:rPr/>
      </w:pPr>
      <w:r>
        <w:rPr>
          <w:rFonts w:cs="Times New Roman"/>
          <w:color w:val="000000"/>
          <w:szCs w:val="24"/>
        </w:rPr>
        <w:tab/>
        <w:t>ОКПД2 25.11.23.110 Поставка металлоконструкций для Новосибирской ГЭС (далее – продукция).</w:t>
      </w:r>
    </w:p>
    <w:p>
      <w:pPr>
        <w:pStyle w:val="Normal"/>
        <w:ind w:firstLine="419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Heading4"/>
        <w:numPr>
          <w:ilvl w:val="1"/>
          <w:numId w:val="7"/>
        </w:numPr>
        <w:ind w:left="0" w:firstLine="709"/>
        <w:rPr/>
      </w:pPr>
      <w:bookmarkStart w:id="3" w:name="_Toc46743507"/>
      <w:bookmarkStart w:id="4" w:name="_Toc75446569_Копия_1"/>
      <w:bookmarkEnd w:id="4"/>
      <w:r>
        <w:rPr>
          <w:color w:val="000000"/>
        </w:rPr>
        <w:t xml:space="preserve">Цель </w:t>
      </w:r>
      <w:bookmarkEnd w:id="3"/>
      <w:r>
        <w:rPr>
          <w:color w:val="000000"/>
        </w:rPr>
        <w:t>использования закупаемой продукции.</w:t>
      </w:r>
    </w:p>
    <w:p>
      <w:pPr>
        <w:pStyle w:val="Heading4"/>
        <w:jc w:val="both"/>
        <w:rPr/>
      </w:pPr>
      <w:r>
        <w:rPr>
          <w:rStyle w:val="Style"/>
          <w:b w:val="false"/>
          <w:bCs w:val="false"/>
          <w:i w:val="false"/>
          <w:color w:val="000000"/>
          <w:shd w:fill="auto" w:val="clear"/>
        </w:rPr>
        <w:t>Исполнение доходного договора:</w:t>
      </w:r>
    </w:p>
    <w:p>
      <w:pPr>
        <w:pStyle w:val="Heading4"/>
        <w:jc w:val="both"/>
        <w:rPr/>
      </w:pPr>
      <w:r>
        <w:rPr>
          <w:rStyle w:val="Style"/>
          <w:rFonts w:eastAsia="Times New Roman"/>
          <w:b w:val="false"/>
          <w:bCs w:val="false"/>
          <w:i w:val="false"/>
          <w:color w:val="000000"/>
          <w:shd w:fill="auto" w:val="clear"/>
          <w:lang w:eastAsia="ru-RU"/>
        </w:rPr>
        <w:t>- №4-РЕМ-2023 от 11.10.2023 «Капитальный и текущий ремонт основного и вспомогательного оборудования, зданий и сооружений Филиала ПАО «РусГидро»-«Новосибирская ГЭС», заключенный между АО «Гидроремонт-ВКК» и Филиала ПАО «РусГидро»-«Новосибирская ГЭС».</w:t>
      </w:r>
    </w:p>
    <w:p>
      <w:pPr>
        <w:pStyle w:val="Normal"/>
        <w:ind w:firstLine="709"/>
        <w:rPr>
          <w:rFonts w:cs="Times New Roman"/>
          <w:bCs/>
          <w:color w:val="000000"/>
          <w:szCs w:val="24"/>
        </w:rPr>
      </w:pPr>
      <w:r>
        <w:rPr>
          <w:rFonts w:cs="Times New Roman"/>
          <w:bCs/>
          <w:color w:val="000000"/>
          <w:szCs w:val="24"/>
        </w:rPr>
      </w:r>
    </w:p>
    <w:p>
      <w:pPr>
        <w:pStyle w:val="Heading1"/>
        <w:numPr>
          <w:ilvl w:val="0"/>
          <w:numId w:val="6"/>
        </w:numPr>
        <w:tabs>
          <w:tab w:val="clear" w:pos="0"/>
          <w:tab w:val="clear" w:pos="709"/>
        </w:tabs>
        <w:ind w:left="426" w:hanging="360"/>
        <w:jc w:val="center"/>
        <w:rPr/>
      </w:pPr>
      <w:bookmarkStart w:id="5" w:name="_Toc51339693"/>
      <w:bookmarkStart w:id="6" w:name="_Toc75446573"/>
      <w:r>
        <w:rPr>
          <w:color w:val="000000"/>
          <w:sz w:val="24"/>
          <w:szCs w:val="24"/>
        </w:rPr>
        <w:t>Требования к продукции</w:t>
      </w:r>
      <w:bookmarkEnd w:id="5"/>
      <w:bookmarkEnd w:id="6"/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r>
        <w:rPr>
          <w:rFonts w:cs="Times New Roman"/>
          <w:color w:val="000000"/>
          <w:szCs w:val="24"/>
          <w:lang w:eastAsia="x-none"/>
        </w:rPr>
      </w:r>
    </w:p>
    <w:p>
      <w:pPr>
        <w:pStyle w:val="Heading4"/>
        <w:numPr>
          <w:ilvl w:val="1"/>
          <w:numId w:val="6"/>
        </w:numPr>
        <w:tabs>
          <w:tab w:val="clear" w:pos="0"/>
          <w:tab w:val="left" w:pos="709" w:leader="none"/>
        </w:tabs>
        <w:ind w:left="1134" w:hanging="360"/>
        <w:rPr/>
      </w:pPr>
      <w:bookmarkStart w:id="7" w:name="_Toc75446574"/>
      <w:r>
        <w:rPr>
          <w:color w:val="000000"/>
        </w:rPr>
        <w:t xml:space="preserve">Требования к объемам и срокам </w:t>
      </w:r>
      <w:r>
        <w:rPr>
          <w:color w:val="000000"/>
          <w:lang w:val="ru-RU"/>
        </w:rPr>
        <w:t>поставки</w:t>
      </w:r>
      <w:bookmarkEnd w:id="7"/>
      <w:r>
        <w:rPr>
          <w:color w:val="000000"/>
          <w:lang w:val="ru-RU"/>
        </w:rPr>
        <w:t>:</w:t>
      </w:r>
    </w:p>
    <w:p>
      <w:pPr>
        <w:pStyle w:val="Heading3"/>
        <w:numPr>
          <w:ilvl w:val="2"/>
          <w:numId w:val="6"/>
        </w:numPr>
        <w:tabs>
          <w:tab w:val="clear" w:pos="0"/>
          <w:tab w:val="left" w:pos="709" w:leader="none"/>
        </w:tabs>
        <w:ind w:left="0" w:firstLine="709"/>
        <w:rPr/>
      </w:pPr>
      <w:bookmarkStart w:id="8" w:name="_Toc75446575"/>
      <w:r>
        <w:rPr>
          <w:color w:val="000000"/>
        </w:rPr>
        <w:t>Перечень и объем закупаемой продукции</w:t>
      </w:r>
      <w:bookmarkEnd w:id="8"/>
      <w:r>
        <w:rPr>
          <w:color w:val="000000"/>
        </w:rPr>
        <w:t>:</w:t>
      </w:r>
    </w:p>
    <w:p>
      <w:pPr>
        <w:pStyle w:val="Normal"/>
        <w:jc w:val="both"/>
        <w:rPr/>
      </w:pPr>
      <w:bookmarkStart w:id="9" w:name="_Toc75446576"/>
      <w:bookmarkStart w:id="10" w:name="_Toc51339695"/>
      <w:r>
        <w:rPr>
          <w:rFonts w:cs="Times New Roman"/>
          <w:color w:val="000000"/>
          <w:szCs w:val="24"/>
        </w:rPr>
        <w:t xml:space="preserve">Таблица 2.1 Перечень </w:t>
      </w:r>
      <w:bookmarkEnd w:id="10"/>
      <w:r>
        <w:rPr>
          <w:rFonts w:cs="Times New Roman"/>
          <w:color w:val="000000"/>
          <w:szCs w:val="24"/>
        </w:rPr>
        <w:t>и объем закупаемой продукци</w:t>
      </w:r>
      <w:bookmarkEnd w:id="9"/>
      <w:r>
        <w:rPr>
          <w:rFonts w:cs="Times New Roman"/>
          <w:color w:val="000000"/>
          <w:szCs w:val="24"/>
        </w:rPr>
        <w:t>и</w:t>
      </w:r>
    </w:p>
    <w:tbl>
      <w:tblPr>
        <w:tblW w:w="951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88"/>
        <w:gridCol w:w="5526"/>
        <w:gridCol w:w="1565"/>
        <w:gridCol w:w="1630"/>
      </w:tblGrid>
      <w:tr>
        <w:trPr>
          <w:trHeight w:val="270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п/п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Наименование продукции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Единица измерения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Количество</w:t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color w:val="000000"/>
                <w:szCs w:val="24"/>
              </w:rPr>
              <w:t>4</w:t>
            </w:r>
          </w:p>
        </w:tc>
      </w:tr>
      <w:tr>
        <w:trPr>
          <w:trHeight w:val="20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-57" w:righ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1.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Поставка комплекта малой механизации.</w:t>
            </w:r>
          </w:p>
          <w:p>
            <w:pPr>
              <w:pStyle w:val="Normal"/>
              <w:widowControl w:val="false"/>
              <w:overflowPunct w:val="true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Поставка должна включать: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overflowPunct w:val="tru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Выполнение необходимых замеров на территории станции для разработки конструкторской документации для изготовления механизации малой – 1 усл. ед.;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overflowPunct w:val="true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Разработка конструкторской документации на механизацию малую – 1 компл.;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overflowPunct w:val="tru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Изготовление комплекта малой механизации в соответствии с чертежом     1-ГТ194185СБ – 1 шт.</w:t>
            </w:r>
          </w:p>
        </w:tc>
        <w:tc>
          <w:tcPr>
            <w:tcW w:w="1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шт.</w:t>
            </w:r>
          </w:p>
        </w:tc>
        <w:tc>
          <w:tcPr>
            <w:tcW w:w="1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3"/>
        <w:numPr>
          <w:ilvl w:val="2"/>
          <w:numId w:val="6"/>
        </w:numPr>
        <w:tabs>
          <w:tab w:val="clear" w:pos="0"/>
          <w:tab w:val="left" w:pos="709" w:leader="none"/>
        </w:tabs>
        <w:ind w:left="0" w:firstLine="709"/>
        <w:rPr/>
      </w:pPr>
      <w:bookmarkStart w:id="11" w:name="_Toc75446578"/>
      <w:bookmarkStart w:id="12" w:name="_Toc51339696"/>
      <w:r>
        <w:rPr>
          <w:color w:val="000000"/>
        </w:rPr>
        <w:t xml:space="preserve">Требования </w:t>
      </w:r>
      <w:bookmarkEnd w:id="12"/>
      <w:r>
        <w:rPr>
          <w:color w:val="000000"/>
        </w:rPr>
        <w:t xml:space="preserve">к срокам поставки продукции </w:t>
      </w:r>
      <w:bookmarkEnd w:id="11"/>
    </w:p>
    <w:p>
      <w:pPr>
        <w:pStyle w:val="Normal"/>
        <w:rPr/>
      </w:pPr>
      <w:bookmarkStart w:id="13" w:name="_Toc75446579"/>
      <w:bookmarkStart w:id="14" w:name="_Toc51339697"/>
      <w:bookmarkStart w:id="15" w:name="_Toc50125127"/>
      <w:r>
        <w:rPr>
          <w:rFonts w:cs="Times New Roman"/>
          <w:color w:val="000000"/>
          <w:szCs w:val="24"/>
          <w:lang w:eastAsia="x-none"/>
        </w:rPr>
        <w:t xml:space="preserve">Таблица 2.2 </w:t>
      </w:r>
      <w:bookmarkStart w:id="16" w:name="_Hlk50465284"/>
      <w:r>
        <w:rPr>
          <w:rFonts w:cs="Times New Roman"/>
          <w:color w:val="000000"/>
          <w:szCs w:val="24"/>
          <w:lang w:eastAsia="x-none"/>
        </w:rPr>
        <w:t xml:space="preserve">Требования по срокам </w:t>
      </w:r>
      <w:bookmarkEnd w:id="14"/>
      <w:bookmarkEnd w:id="15"/>
      <w:bookmarkEnd w:id="16"/>
      <w:r>
        <w:rPr>
          <w:rFonts w:cs="Times New Roman"/>
          <w:color w:val="000000"/>
          <w:szCs w:val="24"/>
          <w:lang w:eastAsia="x-none"/>
        </w:rPr>
        <w:t>поставки продукции</w:t>
      </w:r>
      <w:bookmarkEnd w:id="13"/>
      <w:r>
        <w:rPr>
          <w:rFonts w:cs="Times New Roman"/>
          <w:color w:val="000000"/>
          <w:szCs w:val="24"/>
          <w:lang w:eastAsia="x-none"/>
        </w:rPr>
        <w:tab/>
      </w:r>
    </w:p>
    <w:tbl>
      <w:tblPr>
        <w:tblW w:w="949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21"/>
        <w:gridCol w:w="3826"/>
        <w:gridCol w:w="2629"/>
        <w:gridCol w:w="2221"/>
      </w:tblGrid>
      <w:tr>
        <w:trPr/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 xml:space="preserve">№ </w:t>
            </w:r>
            <w:r>
              <w:rPr>
                <w:rFonts w:cs="Times New Roman"/>
                <w:color w:val="000000"/>
                <w:szCs w:val="24"/>
              </w:rPr>
              <w:t>п/п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Наименование продукции / партии продукции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b/>
                <w:color w:val="000000"/>
                <w:szCs w:val="24"/>
              </w:rPr>
              <w:t>4</w:t>
            </w:r>
          </w:p>
        </w:tc>
      </w:tr>
      <w:tr>
        <w:trPr>
          <w:trHeight w:val="1124" w:hRule="atLeast"/>
        </w:trPr>
        <w:tc>
          <w:tcPr>
            <w:tcW w:w="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170" w:hanging="0"/>
              <w:jc w:val="center"/>
              <w:rPr/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 w:themeColor="text1"/>
                <w:szCs w:val="24"/>
              </w:rPr>
              <w:t>ОКПД2 25.11.23.110 Поставка металлоконструкций для Новосибирской ГЭС</w:t>
            </w:r>
          </w:p>
        </w:tc>
        <w:tc>
          <w:tcPr>
            <w:tcW w:w="2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Cs w:val="24"/>
              </w:rPr>
              <w:t>С даты подписания договора</w:t>
            </w:r>
          </w:p>
        </w:tc>
        <w:tc>
          <w:tcPr>
            <w:tcW w:w="2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  <w:lang w:eastAsia="ru-RU"/>
              </w:rPr>
              <w:t xml:space="preserve">В течение </w:t>
            </w:r>
            <w:r>
              <w:rPr>
                <w:rFonts w:cs="Times New Roman"/>
                <w:color w:val="000000"/>
                <w:szCs w:val="24"/>
                <w:lang w:eastAsia="ru-RU"/>
              </w:rPr>
              <w:t>8</w:t>
            </w:r>
            <w:r>
              <w:rPr>
                <w:rFonts w:cs="Times New Roman"/>
                <w:color w:val="000000"/>
                <w:szCs w:val="24"/>
                <w:lang w:eastAsia="ru-RU"/>
              </w:rPr>
              <w:t>0</w:t>
            </w:r>
            <w:r>
              <w:rPr>
                <w:rFonts w:cs="Times New Roman"/>
                <w:color w:val="C9211E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color w:val="000000"/>
                <w:szCs w:val="24"/>
                <w:lang w:eastAsia="ru-RU"/>
              </w:rPr>
              <w:t>календарных дней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701" w:right="851" w:gutter="0" w:header="0" w:top="1134" w:footer="312" w:bottom="625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rPr/>
      </w:pPr>
      <w:bookmarkStart w:id="17" w:name="_Toc75446582"/>
      <w:r>
        <w:rPr>
          <w:rFonts w:cs="Times New Roman"/>
          <w:color w:val="000000"/>
          <w:szCs w:val="24"/>
          <w:lang w:eastAsia="x-none"/>
        </w:rPr>
        <w:t>Таблица 2.3. Требования к продукции</w:t>
      </w:r>
      <w:bookmarkEnd w:id="17"/>
      <w:r>
        <w:rPr>
          <w:rFonts w:cs="Times New Roman"/>
          <w:color w:val="000000"/>
          <w:szCs w:val="24"/>
          <w:lang w:eastAsia="x-none"/>
        </w:rPr>
        <w:t xml:space="preserve"> </w:t>
      </w:r>
    </w:p>
    <w:tbl>
      <w:tblPr>
        <w:tblW w:w="14625" w:type="dxa"/>
        <w:jc w:val="left"/>
        <w:tblInd w:w="-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022"/>
        <w:gridCol w:w="3000"/>
        <w:gridCol w:w="225"/>
        <w:gridCol w:w="3741"/>
        <w:gridCol w:w="6637"/>
      </w:tblGrid>
      <w:tr>
        <w:trPr>
          <w:trHeight w:val="424" w:hRule="atLeast"/>
        </w:trPr>
        <w:tc>
          <w:tcPr>
            <w:tcW w:w="14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textAlignment w:val="baseline"/>
              <w:rPr/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Наименование продукции (позиция № 1 Таблицы 2.3): </w:t>
            </w:r>
            <w:r>
              <w:rPr>
                <w:rFonts w:eastAsia="Times New Roman" w:cs="Times New Roman"/>
                <w:b/>
                <w:bCs/>
                <w:color w:val="000000" w:themeColor="text1"/>
                <w:szCs w:val="24"/>
              </w:rPr>
              <w:t>ОКПД2 25.11.23.110 Поставка металлоконструкций для Новосибирской ГЭС</w:t>
            </w:r>
          </w:p>
        </w:tc>
      </w:tr>
      <w:tr>
        <w:trPr>
          <w:trHeight w:val="544" w:hRule="atLeast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</w:rPr>
              <w:t xml:space="preserve">№ </w:t>
            </w:r>
            <w:r>
              <w:rPr>
                <w:b/>
                <w:bCs/>
              </w:rPr>
              <w:t>п/п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</w:rPr>
              <w:t>Наименование продукции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</w:rPr>
              <w:t>Наименование параметра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</w:rPr>
              <w:t>Требование заказчика</w:t>
            </w:r>
          </w:p>
        </w:tc>
      </w:tr>
      <w:tr>
        <w:trPr>
          <w:trHeight w:val="273" w:hRule="atLeast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1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3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4</w:t>
            </w:r>
          </w:p>
        </w:tc>
      </w:tr>
      <w:tr>
        <w:trPr>
          <w:trHeight w:val="465" w:hRule="atLeast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</w:rPr>
              <w:t>1.</w:t>
            </w:r>
          </w:p>
        </w:tc>
        <w:tc>
          <w:tcPr>
            <w:tcW w:w="13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90" w:hRule="atLeast"/>
        </w:trPr>
        <w:tc>
          <w:tcPr>
            <w:tcW w:w="102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1.1</w:t>
            </w:r>
          </w:p>
        </w:tc>
        <w:tc>
          <w:tcPr>
            <w:tcW w:w="322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color w:val="000000"/>
                <w:szCs w:val="24"/>
              </w:rPr>
              <w:t>М</w:t>
            </w:r>
            <w:r>
              <w:rPr>
                <w:color w:val="000000"/>
                <w:szCs w:val="24"/>
              </w:rPr>
              <w:t xml:space="preserve">алая </w:t>
            </w:r>
            <w:r>
              <w:rPr>
                <w:color w:val="000000"/>
                <w:szCs w:val="24"/>
              </w:rPr>
              <w:t>м</w:t>
            </w:r>
            <w:r>
              <w:rPr>
                <w:color w:val="000000"/>
                <w:szCs w:val="24"/>
              </w:rPr>
              <w:t xml:space="preserve">еханизация </w:t>
            </w:r>
          </w:p>
        </w:tc>
        <w:tc>
          <w:tcPr>
            <w:tcW w:w="3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Конструкторская документация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Cs w:val="24"/>
                <w:lang w:val="en-US"/>
              </w:rPr>
              <w:t>Комплект сборочных чертежей.</w:t>
            </w:r>
          </w:p>
        </w:tc>
      </w:tr>
      <w:tr>
        <w:trPr>
          <w:trHeight w:val="90" w:hRule="atLeast"/>
        </w:trPr>
        <w:tc>
          <w:tcPr>
            <w:tcW w:w="102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2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Объем изготовления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 соответствии с чертежом 1-ГТ194185СБ (Приложение 1 к ТТ) “Механизация малая”.</w:t>
            </w:r>
          </w:p>
        </w:tc>
      </w:tr>
      <w:tr>
        <w:trPr>
          <w:trHeight w:val="90" w:hRule="atLeast"/>
        </w:trPr>
        <w:tc>
          <w:tcPr>
            <w:tcW w:w="102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2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7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Конструкция 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 соответствии с чертежом 1-ГТ194185СБ (Приложение 1 к ТТ) “Механизация малая” допускается доработка конструкции с целью улучшения конструкции и облегчения сборки.</w:t>
            </w:r>
          </w:p>
        </w:tc>
      </w:tr>
      <w:tr>
        <w:trPr>
          <w:trHeight w:val="90" w:hRule="atLeast"/>
        </w:trPr>
        <w:tc>
          <w:tcPr>
            <w:tcW w:w="102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2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7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Cs w:val="24"/>
              </w:rPr>
              <w:t xml:space="preserve">В соответствии с требованиями - </w:t>
            </w:r>
            <w:r>
              <w:fldChar w:fldCharType="begin"/>
            </w:r>
            <w:r>
              <w:rPr>
                <w:rStyle w:val="Hyperlink"/>
                <w:u w:val="none"/>
                <w:szCs w:val="24"/>
                <w:color w:val="000000"/>
              </w:rPr>
              <w:instrText xml:space="preserve"> HYPERLINK "https://docs.cntd.ru/document/902307904" \l "64U0IK"</w:instrText>
            </w:r>
            <w:r>
              <w:rPr>
                <w:rStyle w:val="Hyperlink"/>
                <w:u w:val="none"/>
                <w:szCs w:val="24"/>
                <w:color w:val="000000"/>
              </w:rPr>
              <w:fldChar w:fldCharType="separate"/>
            </w:r>
            <w:r>
              <w:rPr>
                <w:rStyle w:val="Hyperlink"/>
                <w:color w:val="000000"/>
                <w:szCs w:val="24"/>
                <w:u w:val="none"/>
              </w:rPr>
              <w:t>Технического регламента Таможенного Союза "О безопасности машин и оборудования" (ТР ТС 010/2011)</w:t>
            </w:r>
            <w:r>
              <w:rPr>
                <w:rStyle w:val="Hyperlink"/>
                <w:u w:val="none"/>
                <w:szCs w:val="24"/>
                <w:color w:val="000000"/>
              </w:rPr>
              <w:fldChar w:fldCharType="end"/>
            </w:r>
            <w:r>
              <w:rPr>
                <w:rStyle w:val="Hyperlink"/>
                <w:color w:val="000000"/>
                <w:szCs w:val="24"/>
                <w:u w:val="none"/>
              </w:rPr>
              <w:t>.</w:t>
            </w:r>
          </w:p>
        </w:tc>
      </w:tr>
      <w:tr>
        <w:trPr>
          <w:trHeight w:val="90" w:hRule="atLeast"/>
        </w:trPr>
        <w:tc>
          <w:tcPr>
            <w:tcW w:w="102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2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7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Cs w:val="24"/>
              </w:rPr>
              <w:t xml:space="preserve">В соответствии с требованиями - ГОСТ 28408-89 Тали ручные и кошки. </w:t>
            </w:r>
            <w:r>
              <w:rPr>
                <w:color w:val="000000"/>
                <w:szCs w:val="24"/>
                <w:lang w:val="en-US"/>
              </w:rPr>
              <w:t>Общие технические условия.</w:t>
            </w:r>
          </w:p>
        </w:tc>
      </w:tr>
      <w:tr>
        <w:trPr>
          <w:trHeight w:val="90" w:hRule="atLeast"/>
        </w:trPr>
        <w:tc>
          <w:tcPr>
            <w:tcW w:w="102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2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7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 соответствии с требованиями - ГОСТ Р 56944-2016</w:t>
            </w:r>
          </w:p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Краны грузоподъемные. Пути рельсовые крановые надземные. Общие технические условия.</w:t>
            </w:r>
          </w:p>
        </w:tc>
      </w:tr>
      <w:tr>
        <w:trPr>
          <w:trHeight w:val="90" w:hRule="atLeast"/>
        </w:trPr>
        <w:tc>
          <w:tcPr>
            <w:tcW w:w="102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2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7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Cs w:val="24"/>
              </w:rPr>
              <w:t>В соответствии с требованиями - Ф</w:t>
            </w:r>
            <w:r>
              <w:fldChar w:fldCharType="begin"/>
            </w:r>
            <w:r>
              <w:rPr>
                <w:rStyle w:val="Hyperlink"/>
                <w:u w:val="none"/>
                <w:szCs w:val="24"/>
                <w:color w:val="000000"/>
              </w:rPr>
              <w:instrText xml:space="preserve"> HYPERLINK "https://docs.cntd.ru/document/573275657" \l "6520IM"</w:instrText>
            </w:r>
            <w:r>
              <w:rPr>
                <w:rStyle w:val="Hyperlink"/>
                <w:u w:val="none"/>
                <w:szCs w:val="24"/>
                <w:color w:val="000000"/>
              </w:rPr>
              <w:fldChar w:fldCharType="separate"/>
            </w:r>
            <w:r>
              <w:rPr>
                <w:rStyle w:val="Hyperlink"/>
                <w:color w:val="000000"/>
                <w:szCs w:val="24"/>
                <w:u w:val="none"/>
              </w:rPr>
              <w:t>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</w:t>
            </w:r>
            <w:r>
              <w:rPr>
                <w:rStyle w:val="Hyperlink"/>
                <w:u w:val="none"/>
                <w:szCs w:val="24"/>
                <w:color w:val="000000"/>
              </w:rPr>
              <w:fldChar w:fldCharType="end"/>
            </w:r>
            <w:r>
              <w:rPr>
                <w:color w:val="000000"/>
                <w:szCs w:val="24"/>
              </w:rPr>
              <w:t>».</w:t>
            </w:r>
          </w:p>
        </w:tc>
      </w:tr>
      <w:tr>
        <w:trPr>
          <w:trHeight w:val="90" w:hRule="atLeast"/>
        </w:trPr>
        <w:tc>
          <w:tcPr>
            <w:tcW w:w="102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2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Материал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В соответствии с требованиями - </w:t>
            </w:r>
            <w:r>
              <w:fldChar w:fldCharType="begin"/>
            </w:r>
            <w:r>
              <w:rPr>
                <w:rStyle w:val="Hyperlink"/>
                <w:u w:val="none"/>
                <w:color w:val="auto"/>
              </w:rPr>
              <w:instrText xml:space="preserve"> HYPERLINK "https://docs.cntd.ru/document/902307904" \l "64U0IK"</w:instrText>
            </w:r>
            <w:r>
              <w:rPr>
                <w:rStyle w:val="Hyperlink"/>
                <w:u w:val="none"/>
                <w:color w:val="auto"/>
              </w:rPr>
              <w:fldChar w:fldCharType="separate"/>
            </w:r>
            <w:r>
              <w:rPr>
                <w:rStyle w:val="Hyperlink"/>
                <w:color w:val="auto"/>
                <w:u w:val="none"/>
              </w:rPr>
              <w:t>Технического регламента Таможенного Союза "О безопасности машин и оборудования" (ТР ТС 010/2011)</w:t>
            </w:r>
            <w:r>
              <w:rPr>
                <w:rStyle w:val="Hyperlink"/>
                <w:u w:val="none"/>
                <w:color w:val="auto"/>
              </w:rPr>
              <w:fldChar w:fldCharType="end"/>
            </w:r>
            <w:r>
              <w:rPr>
                <w:rStyle w:val="Hyperlink"/>
                <w:color w:val="auto"/>
                <w:u w:val="none"/>
              </w:rPr>
              <w:t>.</w:t>
            </w:r>
          </w:p>
        </w:tc>
      </w:tr>
      <w:tr>
        <w:trPr>
          <w:trHeight w:val="90" w:hRule="atLeast"/>
        </w:trPr>
        <w:tc>
          <w:tcPr>
            <w:tcW w:w="102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2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Таль 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</w:rPr>
              <w:t>Цепная, грузоподъемностью не менее 3,2 т. В соответствии с требованиями - ГОСТ 28408-89 Тали ручные и кошки. Общие технические</w:t>
            </w:r>
            <w:bookmarkStart w:id="18" w:name="_GoBack"/>
            <w:bookmarkEnd w:id="18"/>
            <w:r>
              <w:rPr>
                <w:szCs w:val="24"/>
              </w:rPr>
              <w:t xml:space="preserve"> условия.</w:t>
            </w:r>
          </w:p>
        </w:tc>
      </w:tr>
      <w:tr>
        <w:trPr>
          <w:trHeight w:val="90" w:hRule="atLeast"/>
        </w:trPr>
        <w:tc>
          <w:tcPr>
            <w:tcW w:w="10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2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Цепь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В соответствии с требованиями - </w:t>
            </w:r>
            <w:r>
              <w:fldChar w:fldCharType="begin"/>
            </w:r>
            <w:r>
              <w:rPr>
                <w:rStyle w:val="Hyperlink"/>
                <w:u w:val="none"/>
                <w:color w:val="auto"/>
              </w:rPr>
              <w:instrText xml:space="preserve"> HYPERLINK "https://docs.cntd.ru/document/902307904" \l "64U0IK"</w:instrText>
            </w:r>
            <w:r>
              <w:rPr>
                <w:rStyle w:val="Hyperlink"/>
                <w:u w:val="none"/>
                <w:color w:val="auto"/>
              </w:rPr>
              <w:fldChar w:fldCharType="separate"/>
            </w:r>
            <w:r>
              <w:rPr>
                <w:rStyle w:val="Hyperlink"/>
                <w:color w:val="auto"/>
                <w:u w:val="none"/>
              </w:rPr>
              <w:t>Технического регламента Таможенного Союза "О безопасности машин и оборудования" (ТР ТС 010/2011)</w:t>
            </w:r>
            <w:r>
              <w:rPr>
                <w:rStyle w:val="Hyperlink"/>
                <w:u w:val="none"/>
                <w:color w:val="auto"/>
              </w:rPr>
              <w:fldChar w:fldCharType="end"/>
            </w:r>
          </w:p>
        </w:tc>
      </w:tr>
      <w:tr>
        <w:trPr/>
        <w:tc>
          <w:tcPr>
            <w:tcW w:w="1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2.</w:t>
            </w:r>
          </w:p>
        </w:tc>
        <w:tc>
          <w:tcPr>
            <w:tcW w:w="136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2.1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Место поставки</w:t>
            </w:r>
          </w:p>
        </w:tc>
        <w:tc>
          <w:tcPr>
            <w:tcW w:w="10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Производственный участок АО «Гидроремонт-ВКК» в г. Новосибирск, 630056, Новосибирская обл., г. Новосибирск, ул. Новоморская, д. 4/1.</w:t>
            </w:r>
          </w:p>
        </w:tc>
      </w:tr>
      <w:tr>
        <w:trPr/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2.2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Приемка продукции</w:t>
            </w:r>
          </w:p>
        </w:tc>
        <w:tc>
          <w:tcPr>
            <w:tcW w:w="10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Приемка продукции осуществляется только в рабочие дни с 9-00 до 11-00 и с 13-00 до 16-00.</w:t>
            </w:r>
          </w:p>
        </w:tc>
      </w:tr>
      <w:tr>
        <w:trPr/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2.3</w:t>
            </w:r>
          </w:p>
        </w:tc>
        <w:tc>
          <w:tcPr>
            <w:tcW w:w="13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/>
                <w:szCs w:val="24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  по тел. 8 (383) 379-07-74.</w:t>
            </w:r>
          </w:p>
        </w:tc>
      </w:tr>
      <w:tr>
        <w:trPr/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3.</w:t>
            </w:r>
          </w:p>
        </w:tc>
        <w:tc>
          <w:tcPr>
            <w:tcW w:w="13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rPr/>
            </w:pPr>
            <w:r>
              <w:rPr>
                <w:b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1145" w:hRule="atLeast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3.1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Сроки гарантии</w:t>
            </w:r>
          </w:p>
        </w:tc>
        <w:tc>
          <w:tcPr>
            <w:tcW w:w="10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34" w:leader="none"/>
                <w:tab w:val="left" w:pos="1276" w:leader="none"/>
              </w:tabs>
              <w:spacing w:before="0" w:after="120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На Продукцию устанавливается гарантийный срок, равный 36</w:t>
            </w:r>
            <w:r>
              <w:rPr>
                <w:rFonts w:eastAsia="Times New Roman" w:cs="Times New Roman"/>
                <w:color w:val="000000"/>
                <w:szCs w:val="24"/>
                <w:lang w:eastAsia="x-none"/>
              </w:rPr>
              <w:t xml:space="preserve"> (тридцати шести) </w:t>
            </w:r>
            <w:r>
              <w:rPr>
                <w:color w:val="000000"/>
                <w:szCs w:val="24"/>
              </w:rPr>
              <w:t>месяцам,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>
        <w:trPr/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4.</w:t>
            </w:r>
          </w:p>
        </w:tc>
        <w:tc>
          <w:tcPr>
            <w:tcW w:w="13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4.1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</w:rPr>
              <w:t>Документы, передаваемые вместе с продукцией</w:t>
            </w:r>
          </w:p>
        </w:tc>
        <w:tc>
          <w:tcPr>
            <w:tcW w:w="10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унифицированной формы ТОРГ-12(УПД) в 2 экз.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Сертификат качества в 1 экз.;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Технический паспорт на русском языке в 1 экз.;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Инструкция по эксплуатации (монтажу и т.п.) на русском языке в 1 экз.;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Упаковочный лист на Продукцию (каждую партию отгруженной Продукции) 1 экз.;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Сертификат о происхождении Продукции в 1 экз.;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Лицензии и т.п.) в зависимости от номенклатуры поставляемой Продукции;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Обязательные первичные документы: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- 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1 экз. или Транспортную накладную ((для учета товарно-материальных ценностей и расчетов за их перевозки) по форме согласно Приложению 4 к Правилам перевозки грузов автомобильным транспортом (в ред. Постановления Правительства РФ от 21.12.2020 № 2200);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- Товарную накладную по форме ТОРГ-12 или Универсальный передаточный документ (УПД) с обязательным указанием номера и даты Заявки-Спецификации.</w:t>
            </w:r>
          </w:p>
        </w:tc>
      </w:tr>
      <w:tr>
        <w:trPr/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5.</w:t>
            </w:r>
          </w:p>
        </w:tc>
        <w:tc>
          <w:tcPr>
            <w:tcW w:w="13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/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5.1</w:t>
            </w:r>
          </w:p>
        </w:tc>
        <w:tc>
          <w:tcPr>
            <w:tcW w:w="13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jc w:val="both"/>
              <w:rPr>
                <w:bCs/>
                <w:szCs w:val="24"/>
                <w:lang w:eastAsia="x-none"/>
              </w:rPr>
            </w:pPr>
            <w:r>
              <w:rPr>
                <w:bCs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Любые изменения конструкции или марки материала должны быть в обязательном порядке предварительно согласованы с Заказчиком в письменном виде с предоставлением обосновывающих расчетов или заключений.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bCs/>
                <w:szCs w:val="24"/>
                <w:lang w:eastAsia="x-none"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Продукция поставщика должна быть пригодна для ремонта гидроагрегатов Филиала ПАО «РусГидро» - «Новосибирская ГЭС» и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стандартов, поставщик обязан согласовывать это с Покупателем.</w:t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footerReference w:type="default" r:id="rId3"/>
          <w:footerReference w:type="first" r:id="rId4"/>
          <w:type w:val="nextPage"/>
          <w:pgSz w:orient="landscape" w:w="16838" w:h="11906"/>
          <w:pgMar w:left="1457" w:right="1134" w:gutter="0" w:header="0" w:top="591" w:footer="881" w:bottom="938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</w:r>
    </w:p>
    <w:p>
      <w:pPr>
        <w:pStyle w:val="Heading1"/>
        <w:ind w:left="1353" w:hanging="0"/>
        <w:jc w:val="both"/>
        <w:rPr/>
      </w:pPr>
      <w:r>
        <w:rPr>
          <w:color w:val="000000"/>
          <w:sz w:val="24"/>
        </w:rPr>
        <w:t>3. Требования к документации по ценообразованию на этапе закупки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ListParagraph"/>
        <w:widowControl w:val="false"/>
        <w:numPr>
          <w:ilvl w:val="1"/>
          <w:numId w:val="8"/>
        </w:numPr>
        <w:ind w:left="0" w:firstLine="737"/>
        <w:jc w:val="both"/>
        <w:rPr/>
      </w:pPr>
      <w:r>
        <w:rPr>
          <w:color w:val="000000"/>
          <w:lang w:eastAsia="x-none"/>
        </w:rPr>
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p>
      <w:pPr>
        <w:pStyle w:val="ListParagraph"/>
        <w:widowControl w:val="false"/>
        <w:numPr>
          <w:ilvl w:val="1"/>
          <w:numId w:val="8"/>
        </w:numPr>
        <w:ind w:left="0" w:firstLine="737"/>
        <w:jc w:val="both"/>
        <w:rPr/>
      </w:pPr>
      <w:r>
        <w:rPr>
          <w:color w:val="000000"/>
          <w:lang w:eastAsia="x-none"/>
        </w:rPr>
        <w:t>Продукция поставщика должна быть пригодна для ремонта гидроагрегатов Филиала ПАО «РусГидро» - «Новосибирская ГЭС» и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стандартов, поставщик обязан согласовывать это с Покупателем.</w:t>
      </w:r>
    </w:p>
    <w:p>
      <w:pPr>
        <w:pStyle w:val="ListParagraph"/>
        <w:widowControl w:val="false"/>
        <w:numPr>
          <w:ilvl w:val="1"/>
          <w:numId w:val="8"/>
        </w:numPr>
        <w:ind w:left="0" w:firstLine="737"/>
        <w:jc w:val="both"/>
        <w:rPr/>
      </w:pPr>
      <w:r>
        <w:rPr>
          <w:color w:val="000000"/>
          <w:lang w:eastAsia="x-none"/>
        </w:rPr>
        <w:t>Покупателем чертежи и конструкторская документация на продукцию не предоставляются. Победитель обязан самостоятельно урегулировать с третьими лицами все вопросы необходимости использования прав третьих лиц на охраняемые результаты интеллектуальной деятельности и на средства индивидуализации при производстве Победителем продукции. Продукция должна не нарушать права третьих лиц на охраняемые результат интеллектуальной деятельности и на средства индивидуализации</w:t>
      </w:r>
    </w:p>
    <w:p>
      <w:pPr>
        <w:pStyle w:val="ListParagraph"/>
        <w:widowControl w:val="false"/>
        <w:numPr>
          <w:ilvl w:val="1"/>
          <w:numId w:val="8"/>
        </w:numPr>
        <w:ind w:left="0" w:firstLine="737"/>
        <w:jc w:val="both"/>
        <w:rPr/>
      </w:pPr>
      <w:r>
        <w:rPr>
          <w:color w:val="000000"/>
          <w:lang w:eastAsia="x-none"/>
        </w:rPr>
        <w:t>Победитель гарантирует предварительно самостоятельно и за свой счет урегулировать с правообладателями прав на охраняемые результат интеллектуальной деятельности и на средства индивидуализации все вопросы связанные с использованием  прав третьих лиц на охраняемые  результаты интеллектуальной деятельности и средства индивидуализации в случае необходимости их использования при производстве продукции Победителем, а также по первому требованию Покупателя в течение 3 (трех) рабочих дней предоставить документы, подтверждающие соблюдение прав третьих лиц на охраняемые результаты интеллектуальной деятельности и на средства индивидуализации, а равно документы, подтверждающие законность использования Победителем прав третьих лиц на охраняемые результаты интеллектуальной деятельности и на средства индивидуализации при производстве и введении в гражданский оборот продукции, произведенной Победителем.</w:t>
      </w:r>
    </w:p>
    <w:p>
      <w:pPr>
        <w:pStyle w:val="ListParagraph"/>
        <w:widowControl w:val="false"/>
        <w:numPr>
          <w:ilvl w:val="1"/>
          <w:numId w:val="8"/>
        </w:numPr>
        <w:ind w:left="0" w:firstLine="737"/>
        <w:jc w:val="both"/>
        <w:rPr/>
      </w:pPr>
      <w:r>
        <w:rPr>
          <w:bCs/>
          <w:color w:val="000000"/>
          <w:lang w:eastAsia="x-none"/>
        </w:rPr>
        <w:t>В случае поступления каких-либо претензий, требований, исков в адрес Покупателя от любых третьих лиц в отношении результатов интеллектуальной деятельности и средств индивидуализации, в том числе от любых иных лиц чьи права на результаты интеллектуальной деятельности были нарушены и (или) могли быть нарушены Победитель обязуется незамедлительно после получения соответствующего сообщения от Покупателя в полном объёме урегулировать с этими третьими лицами все вышеуказанные претензии, требования, исковые требования своими силами и за свой счет. В случае нарушения данного условия Победитель обязан возместить Покупателю в полном объеме все понесенные Покупателем убытки в течение 3 (трех) рабочих дней с момента предъявления соответствующего требования Покупателя.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widowControl w:val="false"/>
        <w:ind w:left="1418" w:firstLine="709"/>
        <w:rPr>
          <w:b/>
          <w:color w:val="000000"/>
          <w:szCs w:val="28"/>
          <w:lang w:val="x-none" w:eastAsia="x-none"/>
        </w:rPr>
      </w:pPr>
      <w:r>
        <w:rPr>
          <w:b/>
          <w:color w:val="000000"/>
          <w:szCs w:val="28"/>
          <w:lang w:val="x-none" w:eastAsia="x-none"/>
        </w:rPr>
        <w:t>4. Приложение</w:t>
      </w:r>
    </w:p>
    <w:p>
      <w:pPr>
        <w:pStyle w:val="ListParagraph"/>
        <w:widowControl w:val="false"/>
        <w:ind w:left="0" w:firstLine="737"/>
        <w:jc w:val="both"/>
        <w:rPr>
          <w:b/>
          <w:color w:val="000000"/>
          <w:szCs w:val="28"/>
          <w:lang w:val="x-none" w:eastAsia="x-none"/>
        </w:rPr>
      </w:pPr>
      <w:r>
        <w:rPr>
          <w:b/>
          <w:color w:val="000000"/>
          <w:szCs w:val="28"/>
          <w:lang w:val="x-none" w:eastAsia="x-none"/>
        </w:rPr>
      </w:r>
    </w:p>
    <w:p>
      <w:pPr>
        <w:pStyle w:val="ListParagraph"/>
        <w:widowControl w:val="false"/>
        <w:ind w:left="0" w:firstLine="737"/>
        <w:rPr>
          <w:color w:val="000000"/>
          <w:szCs w:val="28"/>
          <w:lang w:eastAsia="x-none"/>
        </w:rPr>
      </w:pPr>
      <w:r>
        <w:rPr>
          <w:color w:val="000000"/>
          <w:szCs w:val="28"/>
          <w:lang w:val="x-none" w:eastAsia="x-none"/>
        </w:rPr>
        <w:t>Приложение №1 – Чертеж 1-ГТ194185СБ</w:t>
      </w:r>
      <w:r>
        <w:rPr>
          <w:color w:val="000000"/>
          <w:szCs w:val="28"/>
          <w:lang w:eastAsia="x-none"/>
        </w:rPr>
        <w:t xml:space="preserve"> </w:t>
      </w:r>
      <w:r>
        <w:rPr>
          <w:color w:val="000000"/>
        </w:rPr>
        <w:t>“Механизация малая”.</w:t>
      </w:r>
    </w:p>
    <w:sectPr>
      <w:footerReference w:type="default" r:id="rId5"/>
      <w:footerReference w:type="first" r:id="rId6"/>
      <w:type w:val="nextPage"/>
      <w:pgSz w:w="11906" w:h="16838"/>
      <w:pgMar w:left="868" w:right="1179" w:gutter="0" w:header="0" w:top="1134" w:footer="1123" w:bottom="145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6</w:t>
    </w:r>
    <w:r>
      <w:rPr>
        <w:sz w:val="24"/>
        <w:b/>
        <w:szCs w:val="24"/>
        <w:bCs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6</w:t>
    </w:r>
    <w:r>
      <w:rPr>
        <w:sz w:val="24"/>
        <w:b/>
        <w:szCs w:val="24"/>
        <w:bCs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6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6</w:t>
    </w:r>
    <w:r>
      <w:rPr>
        <w:sz w:val="24"/>
        <w:b/>
        <w:szCs w:val="24"/>
        <w:bCs/>
      </w:rPr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2"/>
      <w:numFmt w:val="decimal"/>
      <w:lvlText w:val="%1."/>
      <w:lvlJc w:val="left"/>
      <w:pPr>
        <w:tabs>
          <w:tab w:val="num" w:pos="0"/>
        </w:tabs>
        <w:ind w:left="1429" w:hanging="360"/>
      </w:pPr>
      <w:rPr/>
    </w:lvl>
    <w:lvl w:ilvl="1">
      <w:start w:val="5"/>
      <w:numFmt w:val="decimal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ahoma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tabs>
        <w:tab w:val="clear" w:pos="0"/>
        <w:tab w:val="clear" w:pos="709"/>
      </w:tabs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20"/>
        <w:tab w:val="left" w:pos="0" w:leader="none"/>
        <w:tab w:val="left" w:pos="709" w:leader="none"/>
      </w:tabs>
      <w:ind w:firstLine="709"/>
      <w:outlineLvl w:val="2"/>
    </w:pPr>
    <w:rPr>
      <w:rFonts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uiPriority w:val="22"/>
    <w:qFormat/>
    <w:rPr>
      <w:b/>
      <w:bCs/>
    </w:rPr>
  </w:style>
  <w:style w:type="character" w:styleId="Style10" w:customStyle="1">
    <w:name w:val="Название Знак"/>
    <w:link w:val="1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3" w:customStyle="1">
    <w:name w:val="Цитата 2 Знак"/>
    <w:basedOn w:val="DefaultParagraphFont"/>
    <w:link w:val="Quote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qFormat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6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Pr/>
  </w:style>
  <w:style w:type="character" w:styleId="Style14" w:customStyle="1">
    <w:name w:val="Абзац списка Знак"/>
    <w:link w:val="ListParagraph"/>
    <w:qFormat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3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4" w:customStyle="1">
    <w:name w:val="Пункт2 Знак"/>
    <w:link w:val="26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Pr/>
  </w:style>
  <w:style w:type="character" w:styleId="Value" w:customStyle="1">
    <w:name w:val="value"/>
    <w:qFormat/>
    <w:rPr/>
  </w:style>
  <w:style w:type="character" w:styleId="C-gruppedpropsprop-value" w:customStyle="1">
    <w:name w:val="c-gruppedprops__prop-value"/>
    <w:basedOn w:val="DefaultParagraphFont"/>
    <w:qFormat/>
    <w:rPr/>
  </w:style>
  <w:style w:type="character" w:styleId="Label" w:customStyle="1">
    <w:name w:val="label"/>
    <w:basedOn w:val="DefaultParagraphFont"/>
    <w:qFormat/>
    <w:rPr/>
  </w:style>
  <w:style w:type="character" w:styleId="Style18" w:customStyle="1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1" w:customStyle="1">
    <w:name w:val="index heading1111111111"/>
    <w:basedOn w:val="Title"/>
    <w:qFormat/>
    <w:pPr/>
    <w:rPr/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11" w:customStyle="1">
    <w:name w:val="index heading11111111111"/>
    <w:basedOn w:val="Title"/>
    <w:qFormat/>
    <w:pPr/>
    <w:rPr/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111" w:customStyle="1">
    <w:name w:val="index heading111111111111"/>
    <w:basedOn w:val="Title"/>
    <w:qFormat/>
    <w:pPr/>
    <w:rPr/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1111" w:customStyle="1">
    <w:name w:val="index heading1111111111111"/>
    <w:basedOn w:val="Title"/>
    <w:qFormat/>
    <w:pPr/>
    <w:rPr/>
  </w:style>
  <w:style w:type="paragraph" w:styleId="Caption11111111111111" w:customStyle="1">
    <w:name w:val="caption11111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11111" w:customStyle="1">
    <w:name w:val="index heading11111111111111"/>
    <w:basedOn w:val="Title"/>
    <w:qFormat/>
    <w:pPr/>
    <w:rPr/>
  </w:style>
  <w:style w:type="paragraph" w:styleId="Caption111111111111111" w:customStyle="1">
    <w:name w:val="caption111111111111111"/>
    <w:basedOn w:val="Normal"/>
    <w:next w:val="Normal"/>
    <w:qFormat/>
    <w:pPr/>
    <w:rPr>
      <w:rFonts w:cs="Times New Roman"/>
      <w:b/>
      <w:bCs/>
      <w:color w:val="4F81BD"/>
      <w:sz w:val="18"/>
      <w:szCs w:val="18"/>
      <w:lang w:eastAsia="ru-RU"/>
    </w:rPr>
  </w:style>
  <w:style w:type="paragraph" w:styleId="Indexheading111111111111111" w:customStyle="1">
    <w:name w:val="index heading111111111111111"/>
    <w:basedOn w:val="Title"/>
    <w:qFormat/>
    <w:pPr/>
    <w:rPr/>
  </w:style>
  <w:style w:type="paragraph" w:styleId="Style21" w:customStyle="1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2" w:customStyle="1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3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4" w:customStyle="1">
    <w:name w:val="Название раздела инструкции"/>
    <w:basedOn w:val="Normal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pPr>
      <w:ind w:left="36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pPr>
      <w:spacing w:lineRule="auto" w:line="480" w:before="0" w:after="120"/>
      <w:ind w:left="283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6" w:customStyle="1">
    <w:name w:val="Подпункт"/>
    <w:basedOn w:val="Normal"/>
    <w:link w:val="11"/>
    <w:qFormat/>
    <w:pPr>
      <w:tabs>
        <w:tab w:val="clear" w:pos="720"/>
        <w:tab w:val="left" w:pos="1134" w:leader="none"/>
      </w:tabs>
      <w:snapToGrid w:val="false"/>
      <w:spacing w:lineRule="auto" w:line="360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pPr>
      <w:ind w:left="280" w:hanging="0"/>
    </w:pPr>
    <w:rPr>
      <w:rFonts w:eastAsia="Times New Roman" w:cs="Calibri"/>
      <w:sz w:val="20"/>
      <w:szCs w:val="20"/>
      <w:lang w:eastAsia="ru-RU"/>
    </w:rPr>
  </w:style>
  <w:style w:type="paragraph" w:styleId="Style27" w:customStyle="1">
    <w:name w:val="Раздел регламента"/>
    <w:basedOn w:val="Normal"/>
    <w:qFormat/>
    <w:pPr/>
    <w:rPr>
      <w:rFonts w:eastAsia="Times New Roman" w:cs="Times New Roman"/>
      <w:sz w:val="28"/>
      <w:szCs w:val="28"/>
      <w:lang w:eastAsia="ru-RU"/>
    </w:rPr>
  </w:style>
  <w:style w:type="paragraph" w:styleId="Style28" w:customStyle="1">
    <w:name w:val="Приложение к регламенту"/>
    <w:basedOn w:val="Normal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pPr>
      <w:spacing w:before="240" w:after="0"/>
    </w:pPr>
    <w:rPr>
      <w:rFonts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qFormat/>
    <w:pPr/>
    <w:rPr>
      <w:rFonts w:ascii="Tahoma" w:hAnsi="Tahoma" w:eastAsia="Times New Roman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pPr>
      <w:ind w:left="196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pPr>
      <w:ind w:left="84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pPr>
      <w:ind w:left="560" w:hanging="0"/>
    </w:pPr>
    <w:rPr>
      <w:rFonts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9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qFormat/>
    <w:pPr>
      <w:ind w:left="1066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qFormat/>
    <w:pPr>
      <w:spacing w:before="0" w:after="0"/>
      <w:ind w:left="720" w:hanging="0"/>
      <w:contextualSpacing/>
    </w:pPr>
    <w:rPr>
      <w:rFonts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qFormat/>
    <w:pPr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qFormat/>
    <w:pPr>
      <w:keepLines/>
      <w:tabs>
        <w:tab w:val="clear" w:pos="0"/>
        <w:tab w:val="left" w:pos="709" w:leader="none"/>
      </w:tabs>
      <w:spacing w:before="480" w:after="0"/>
      <w:ind w:left="3196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qFormat/>
    <w:pPr/>
    <w:rPr>
      <w:rFonts w:cs="Times New Roman"/>
      <w:szCs w:val="24"/>
      <w:lang w:val="x-none" w:eastAsia="x-none"/>
    </w:rPr>
  </w:style>
  <w:style w:type="paragraph" w:styleId="Style30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cs="Times New Roman" w:eastAsia="Calibri"/>
      <w:color w:val="auto"/>
      <w:kern w:val="0"/>
      <w:sz w:val="24"/>
      <w:szCs w:val="24"/>
      <w:lang w:eastAsia="ru-RU" w:val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1" w:customStyle="1">
    <w:name w:val="Пункт"/>
    <w:basedOn w:val="Normal"/>
    <w:qFormat/>
    <w:pPr>
      <w:widowControl w:val="false"/>
      <w:tabs>
        <w:tab w:val="clear" w:pos="720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  <w:sz w:val="22"/>
    </w:rPr>
  </w:style>
  <w:style w:type="paragraph" w:styleId="Style32" w:customStyle="1">
    <w:name w:val="Таблица"/>
    <w:basedOn w:val="Normal"/>
    <w:qFormat/>
    <w:pPr>
      <w:keepNext w:val="true"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styleId="Style33" w:customStyle="1">
    <w:name w:val="Подподпункт"/>
    <w:basedOn w:val="Style26"/>
    <w:link w:val="Style15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ind w:left="1728" w:hanging="64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ind w:left="2232" w:hanging="79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ind w:left="3240" w:hanging="108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ind w:left="2736" w:hanging="9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6" w:customStyle="1">
    <w:name w:val="Таблица текст"/>
    <w:basedOn w:val="Normal"/>
    <w:qFormat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pPr>
      <w:ind w:left="140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pPr>
      <w:ind w:left="168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Style37" w:customStyle="1">
    <w:name w:val="Знак Знак 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pPr>
      <w:keepNext w:val="true"/>
      <w:keepLines/>
      <w:tabs>
        <w:tab w:val="clear" w:pos="720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pPr>
      <w:tabs>
        <w:tab w:val="clear" w:pos="720"/>
        <w:tab w:val="left" w:pos="1391" w:leader="none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Style38" w:customStyle="1">
    <w:name w:val="Пункт договора"/>
    <w:basedOn w:val="Normal"/>
    <w:qFormat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9" w:customStyle="1">
    <w:name w:val="Подпункт договора"/>
    <w:basedOn w:val="Normal"/>
    <w:qFormat/>
    <w:pPr>
      <w:tabs>
        <w:tab w:val="clear" w:pos="720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0" w:customStyle="1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111" w:customStyle="1">
    <w:name w:val="Знак Знак Знак Знак1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211" w:customStyle="1">
    <w:name w:val="Обычный2"/>
    <w:qFormat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Jss308" w:customStyle="1">
    <w:name w:val="jss308"/>
    <w:basedOn w:val="Normal"/>
    <w:qFormat/>
    <w:pPr>
      <w:suppressAutoHyphens w:val="false"/>
      <w:spacing w:before="280" w:after="280"/>
    </w:pPr>
    <w:rPr>
      <w:rFonts w:eastAsia="Times New Roman" w:cs="Times New Roman"/>
      <w:szCs w:val="24"/>
      <w:lang w:eastAsia="ru-RU"/>
    </w:rPr>
  </w:style>
  <w:style w:type="paragraph" w:styleId="Style4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 w:customStyle="1">
    <w:name w:val="Заголовок таблицы"/>
    <w:basedOn w:val="Style41"/>
    <w:qFormat/>
    <w:pPr>
      <w:jc w:val="center"/>
    </w:pPr>
    <w:rPr>
      <w:b/>
      <w:bCs/>
    </w:rPr>
  </w:style>
  <w:style w:type="paragraph" w:styleId="Style43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qFormat/>
  </w:style>
  <w:style w:type="numbering" w:styleId="212" w:customStyle="1">
    <w:name w:val="Стиль2"/>
    <w:qFormat/>
  </w:style>
  <w:style w:type="numbering" w:styleId="113" w:customStyle="1">
    <w:name w:val="Нет списка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C6C02-13CA-4E2A-A1B4-4265382FD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AlterOffice/3.4.0.9$Linux_X86_64 LibreOffice_project/b8daf9e823b1a5463a2f48435ddc2e8696e7d4fc</Application>
  <AppVersion>15.0000</AppVersion>
  <Pages>6</Pages>
  <Words>1273</Words>
  <Characters>9119</Characters>
  <CharactersWithSpaces>10273</CharactersWithSpaces>
  <Paragraphs>124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2026-10-06T09:23:00Z</dcterms:created>
  <dc:creator>Вашкевич Ольга Владимировна</dc:creator>
  <dc:description/>
  <dc:language>ru-RU</dc:language>
  <cp:lastModifiedBy>kochetovsv@corp.gidroogk.com</cp:lastModifiedBy>
  <cp:lastPrinted>2024-10-29T11:16:00Z</cp:lastPrinted>
  <dcterms:modified xsi:type="dcterms:W3CDTF">2026-10-26T11:21:33Z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