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hd w:val="clear" w:color="auto" w:fill="FFFFFF"/>
        <w:ind w:left="5387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9020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left="5069" w:right="4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exact" w:line="331" w:before="0" w:after="263"/>
        <w:ind w:left="60" w:hanging="0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 xml:space="preserve">ТЕХНИЧЕСКИЕ ТРЕБОВАНИЯ </w:t>
      </w:r>
    </w:p>
    <w:p>
      <w:pPr>
        <w:pStyle w:val="19"/>
        <w:shd w:val="clear" w:color="auto" w:fill="auto"/>
        <w:spacing w:lineRule="exact" w:line="331" w:before="0" w:after="263"/>
        <w:ind w:left="6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ОКПД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2 25.62.20.000 Ок</w:t>
      </w:r>
      <w:r>
        <w:rPr>
          <w:sz w:val="24"/>
          <w:szCs w:val="24"/>
        </w:rPr>
        <w:t xml:space="preserve">азание услуг по шлифовке диска подпятника гидроагрегата ст.№1 Новосибирской ГЭС </w:t>
      </w:r>
    </w:p>
    <w:p>
      <w:pPr>
        <w:pStyle w:val="19"/>
        <w:shd w:val="clear" w:color="auto" w:fill="auto"/>
        <w:spacing w:lineRule="exact" w:line="331" w:before="0" w:after="263"/>
        <w:ind w:left="60" w:hanging="0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Лот №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affffa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8646"/>
        <w:gridCol w:w="1264"/>
      </w:tblGrid>
      <w:tr>
        <w:trPr/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Heading1"/>
              <w:widowControl w:val="false"/>
              <w:numPr>
                <w:ilvl w:val="0"/>
                <w:numId w:val="33"/>
              </w:numPr>
              <w:suppressAutoHyphens w:val="true"/>
              <w:spacing w:before="120" w:after="60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val="en-US" w:bidi="ar-SA"/>
              </w:rPr>
              <w:t>Общие сведения</w:t>
            </w:r>
          </w:p>
          <w:p>
            <w:pPr>
              <w:pStyle w:val="Heading4"/>
              <w:widowControl w:val="false"/>
              <w:numPr>
                <w:ilvl w:val="1"/>
                <w:numId w:val="34"/>
              </w:numPr>
              <w:suppressAutoHyphens w:val="true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>Обозначения и сокращения</w:t>
            </w:r>
          </w:p>
          <w:p>
            <w:pPr>
              <w:pStyle w:val="Heading4"/>
              <w:widowControl w:val="false"/>
              <w:numPr>
                <w:ilvl w:val="1"/>
                <w:numId w:val="35"/>
              </w:numPr>
              <w:suppressAutoHyphens w:val="true"/>
              <w:spacing w:before="120" w:after="0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>Наименование закупаемой продукции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val="ru-RU" w:bidi="ar-SA"/>
              </w:rPr>
              <w:t>.</w:t>
            </w:r>
          </w:p>
          <w:p>
            <w:pPr>
              <w:pStyle w:val="Heading4"/>
              <w:widowControl w:val="false"/>
              <w:numPr>
                <w:ilvl w:val="1"/>
                <w:numId w:val="36"/>
              </w:numPr>
              <w:suppressAutoHyphens w:val="true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>Цель оказания услуг.</w:t>
            </w:r>
          </w:p>
          <w:p>
            <w:pPr>
              <w:pStyle w:val="Heading4"/>
              <w:widowControl w:val="false"/>
              <w:numPr>
                <w:ilvl w:val="1"/>
                <w:numId w:val="37"/>
              </w:numPr>
              <w:suppressAutoHyphens w:val="true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color w:val="000000" w:themeColor="text1"/>
                <w:kern w:val="0"/>
                <w:sz w:val="24"/>
                <w:szCs w:val="24"/>
                <w:lang w:bidi="ar-SA"/>
              </w:rPr>
              <w:t xml:space="preserve">Информация в отношении исполнения договора, которая должна быть 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 xml:space="preserve">учтена при подготовке заявки (в том числе перечень ресурсов, услуг и документов, предоставляемых 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val="ru-RU" w:bidi="ar-SA"/>
              </w:rPr>
              <w:t>заказчиком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 xml:space="preserve"> на этапе исполнения договора)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val="ru-RU" w:bidi="ar-SA"/>
              </w:rPr>
              <w:t>.</w:t>
            </w:r>
          </w:p>
          <w:p>
            <w:pPr>
              <w:pStyle w:val="Heading1"/>
              <w:widowControl w:val="false"/>
              <w:numPr>
                <w:ilvl w:val="0"/>
                <w:numId w:val="38"/>
              </w:numPr>
              <w:suppressAutoHyphens w:val="true"/>
              <w:ind w:left="873" w:hanging="56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val="ru-RU" w:bidi="ar-SA"/>
              </w:rPr>
              <w:t>Требования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 xml:space="preserve"> к продукции</w:t>
            </w:r>
          </w:p>
          <w:p>
            <w:pPr>
              <w:pStyle w:val="Heading4"/>
              <w:widowControl w:val="false"/>
              <w:numPr>
                <w:ilvl w:val="1"/>
                <w:numId w:val="39"/>
              </w:numPr>
              <w:suppressAutoHyphens w:val="true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 xml:space="preserve">Требования к объемам и срокам 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val="ru-RU" w:bidi="ar-SA"/>
              </w:rPr>
              <w:t>оказания услуг</w:t>
            </w:r>
          </w:p>
          <w:p>
            <w:pPr>
              <w:pStyle w:val="Heading3"/>
              <w:widowControl w:val="false"/>
              <w:numPr>
                <w:ilvl w:val="2"/>
                <w:numId w:val="40"/>
              </w:numPr>
              <w:suppressAutoHyphens w:val="true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>Требования к перечню и объему услуг</w:t>
            </w:r>
          </w:p>
          <w:p>
            <w:pPr>
              <w:pStyle w:val="Heading3"/>
              <w:widowControl w:val="false"/>
              <w:numPr>
                <w:ilvl w:val="2"/>
                <w:numId w:val="41"/>
              </w:numPr>
              <w:suppressAutoHyphens w:val="true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>Требования к срокам оказания услуг</w:t>
            </w:r>
          </w:p>
          <w:p>
            <w:pPr>
              <w:pStyle w:val="Heading4"/>
              <w:widowControl w:val="false"/>
              <w:numPr>
                <w:ilvl w:val="1"/>
                <w:numId w:val="42"/>
              </w:numPr>
              <w:suppressAutoHyphens w:val="true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kern w:val="0"/>
                <w:sz w:val="24"/>
                <w:szCs w:val="24"/>
                <w:lang w:bidi="ar-SA"/>
              </w:rPr>
              <w:t xml:space="preserve">Требования к </w:t>
            </w:r>
            <w:r>
              <w:rPr>
                <w:rFonts w:cs="Times New Roman"/>
                <w:b w:val="false"/>
                <w:kern w:val="0"/>
                <w:sz w:val="24"/>
                <w:szCs w:val="24"/>
                <w:lang w:val="ru-RU" w:bidi="ar-SA"/>
              </w:rPr>
              <w:t>качеству услуг</w:t>
            </w:r>
          </w:p>
          <w:p>
            <w:pPr>
              <w:pStyle w:val="Heading1"/>
              <w:widowControl w:val="false"/>
              <w:numPr>
                <w:ilvl w:val="0"/>
                <w:numId w:val="43"/>
              </w:numPr>
              <w:suppressAutoHyphens w:val="true"/>
              <w:spacing w:lineRule="auto" w:line="300"/>
              <w:ind w:left="873" w:hanging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color w:val="000000"/>
                <w:kern w:val="0"/>
                <w:sz w:val="24"/>
                <w:szCs w:val="24"/>
                <w:lang w:bidi="ar-SA"/>
              </w:rPr>
              <w:t>Приложения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val="x-none" w:eastAsia="x-none"/>
              </w:rPr>
            </w:pPr>
            <w:r>
              <w:rPr>
                <w:sz w:val="24"/>
                <w:szCs w:val="24"/>
                <w:lang w:val="x-none" w:eastAsia="x-none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6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rFonts w:ascii="Times New Roman" w:hAnsi="Times New Roman" w:eastAsia="Calibri"/>
          <w:b/>
          <w:sz w:val="24"/>
          <w:szCs w:val="24"/>
          <w:lang w:val="x-none" w:eastAsia="x-none"/>
        </w:rPr>
      </w:pPr>
      <w:r>
        <w:rPr>
          <w:rFonts w:eastAsia="Calibri"/>
          <w:b/>
          <w:sz w:val="24"/>
          <w:szCs w:val="24"/>
          <w:lang w:val="x-none" w:eastAsia="x-none"/>
        </w:rPr>
      </w:r>
      <w:r>
        <w:br w:type="page"/>
      </w:r>
    </w:p>
    <w:p>
      <w:pPr>
        <w:pStyle w:val="Heading1"/>
        <w:numPr>
          <w:ilvl w:val="0"/>
          <w:numId w:val="44"/>
        </w:numPr>
        <w:rPr>
          <w:rFonts w:ascii="Times New Roman" w:hAnsi="Times New Roman"/>
          <w:sz w:val="24"/>
          <w:szCs w:val="24"/>
        </w:rPr>
      </w:pPr>
      <w:bookmarkStart w:id="0" w:name="_Toc194039415"/>
      <w:r>
        <w:rPr>
          <w:sz w:val="24"/>
          <w:szCs w:val="24"/>
        </w:rPr>
        <w:t>Общие сведения</w:t>
      </w:r>
      <w:bookmarkEnd w:id="0"/>
    </w:p>
    <w:p>
      <w:pPr>
        <w:pStyle w:val="Heading4"/>
        <w:numPr>
          <w:ilvl w:val="1"/>
          <w:numId w:val="45"/>
        </w:numPr>
        <w:ind w:left="1224" w:hanging="432"/>
        <w:rPr>
          <w:rFonts w:ascii="Times New Roman" w:hAnsi="Times New Roman"/>
          <w:sz w:val="24"/>
          <w:szCs w:val="24"/>
        </w:rPr>
      </w:pPr>
      <w:bookmarkStart w:id="1" w:name="_Toc194039416"/>
      <w:bookmarkStart w:id="2" w:name="_Toc46743505"/>
      <w:r>
        <w:rPr>
          <w:sz w:val="24"/>
          <w:szCs w:val="24"/>
        </w:rPr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2401"/>
        <w:gridCol w:w="7381"/>
      </w:tblGrid>
      <w:tr>
        <w:trPr>
          <w:cantSplit w:val="true"/>
        </w:trPr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Новосибирская ГЭС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Филиала ПАО «РусГидро» – «Новосибирская ГЭС»</w:t>
            </w:r>
          </w:p>
        </w:tc>
      </w:tr>
      <w:tr>
        <w:trPr>
          <w:cantSplit w:val="true"/>
        </w:trPr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РФ 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Саяно-Шушенский Филиал АО «Гидроремонт-ВКК» в п. Черёмушки</w:t>
            </w:r>
          </w:p>
        </w:tc>
      </w:tr>
      <w:tr>
        <w:trPr>
          <w:cantSplit w:val="true"/>
        </w:trPr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widowControl w:val="false"/>
              <w:shd w:val="clear" w:color="auto" w:fill="auto"/>
              <w:spacing w:lineRule="auto" w:lin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Технические требования </w:t>
            </w:r>
          </w:p>
        </w:tc>
      </w:tr>
      <w:tr>
        <w:trPr>
          <w:cantSplit w:val="true"/>
        </w:trPr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ГР</w:t>
            </w:r>
          </w:p>
        </w:tc>
        <w:tc>
          <w:tcPr>
            <w:tcW w:w="7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АО «Гидроремонт-ВКК»</w:t>
            </w:r>
          </w:p>
        </w:tc>
      </w:tr>
    </w:tbl>
    <w:p>
      <w:pPr>
        <w:pStyle w:val="Normal"/>
        <w:keepNext w:val="true"/>
        <w:keepLines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46"/>
        </w:numPr>
        <w:spacing w:before="120" w:after="0"/>
        <w:ind w:left="1224" w:hanging="432"/>
        <w:rPr>
          <w:rFonts w:ascii="Times New Roman" w:hAnsi="Times New Roman"/>
          <w:sz w:val="24"/>
          <w:szCs w:val="24"/>
        </w:rPr>
      </w:pPr>
      <w:bookmarkStart w:id="3" w:name="_Toc194039417"/>
      <w:bookmarkStart w:id="4" w:name="_Toc46743506"/>
      <w:r>
        <w:rPr>
          <w:sz w:val="24"/>
          <w:szCs w:val="24"/>
        </w:rPr>
        <w:t>Наименование закупаемой продукции</w:t>
      </w:r>
      <w:bookmarkEnd w:id="4"/>
      <w:r>
        <w:rPr>
          <w:sz w:val="24"/>
          <w:szCs w:val="24"/>
          <w:lang w:val="ru-RU"/>
        </w:rPr>
        <w:t>.</w:t>
      </w:r>
      <w:bookmarkEnd w:id="3"/>
    </w:p>
    <w:p>
      <w:pPr>
        <w:pStyle w:val="19"/>
        <w:numPr>
          <w:ilvl w:val="0"/>
          <w:numId w:val="0"/>
        </w:numPr>
        <w:shd w:val="clear" w:color="auto" w:fill="auto"/>
        <w:spacing w:lineRule="exact" w:line="331" w:before="0" w:after="263"/>
        <w:ind w:left="60" w:hanging="0"/>
        <w:jc w:val="both"/>
        <w:rPr/>
      </w:pP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ОКПД</w:t>
      </w:r>
      <w:r>
        <w:rPr>
          <w:rStyle w:val="Style8"/>
          <w:rFonts w:eastAsia="Times New Roman" w:cs="Times New Roman"/>
          <w:b w:val="false"/>
          <w:bCs/>
          <w:i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2 25.62.20.000 Ок</w:t>
      </w: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eastAsia="x-none"/>
        </w:rPr>
        <w:t>азание услуг по шлифовке диска подпятника гидроагрегата ст.№1 Новосибирской ГЭС (далее — Услуги).</w:t>
      </w:r>
    </w:p>
    <w:p>
      <w:pPr>
        <w:pStyle w:val="Heading4"/>
        <w:numPr>
          <w:ilvl w:val="1"/>
          <w:numId w:val="47"/>
        </w:numPr>
        <w:ind w:left="1224" w:hanging="432"/>
        <w:rPr>
          <w:rFonts w:ascii="Times New Roman" w:hAnsi="Times New Roman"/>
          <w:sz w:val="24"/>
          <w:szCs w:val="24"/>
        </w:rPr>
      </w:pPr>
      <w:bookmarkStart w:id="5" w:name="_Toc194039418"/>
      <w:bookmarkStart w:id="6" w:name="_Toc46743507"/>
      <w:r>
        <w:rPr>
          <w:sz w:val="24"/>
          <w:szCs w:val="24"/>
        </w:rPr>
        <w:t xml:space="preserve">Цель </w:t>
      </w:r>
      <w:bookmarkEnd w:id="6"/>
      <w:r>
        <w:rPr>
          <w:sz w:val="24"/>
          <w:szCs w:val="24"/>
        </w:rPr>
        <w:t>оказания услуг.</w:t>
      </w:r>
      <w:bookmarkEnd w:id="5"/>
    </w:p>
    <w:p>
      <w:pPr>
        <w:pStyle w:val="Heading1"/>
        <w:numPr>
          <w:ilvl w:val="0"/>
          <w:numId w:val="0"/>
        </w:numPr>
        <w:ind w:left="284" w:hanging="0"/>
        <w:rPr>
          <w:rFonts w:ascii="Times New Roman" w:hAnsi="Times New Roman"/>
          <w:sz w:val="24"/>
          <w:szCs w:val="24"/>
        </w:rPr>
      </w:pPr>
      <w:bookmarkStart w:id="7" w:name="_Toc46743508"/>
      <w:bookmarkStart w:id="8" w:name="_Toc54643698_Копия_1"/>
      <w:bookmarkStart w:id="9" w:name="_Toc46743508_Копия_1"/>
      <w:bookmarkEnd w:id="7"/>
      <w:bookmarkEnd w:id="8"/>
      <w:bookmarkEnd w:id="9"/>
      <w:r>
        <w:rPr>
          <w:b w:val="false"/>
          <w:bCs/>
          <w:sz w:val="24"/>
          <w:szCs w:val="24"/>
          <w:lang w:val="ru-RU"/>
        </w:rPr>
        <w:t xml:space="preserve">Исполнение обязательств по договору подряда №4-РЕМ-2023 от 11.10.23г «Капитальные и текущие ремонты основного и вспомогательного оборудования Новосибирской ГЭС» заключенному между АО «Гидроремонт-ВКК» и ПАО РусГидро-Новосибирская ГЭС. Восстановление исправного технического состояния диска подпятника гидроагрегата ст.№1 Новосибирской ГЭС. </w:t>
      </w:r>
    </w:p>
    <w:p>
      <w:pPr>
        <w:pStyle w:val="Heading1"/>
        <w:numPr>
          <w:ilvl w:val="0"/>
          <w:numId w:val="0"/>
        </w:numPr>
        <w:ind w:left="284" w:hanging="0"/>
        <w:rPr>
          <w:rFonts w:ascii="Times New Roman" w:hAnsi="Times New Roman"/>
          <w:sz w:val="24"/>
          <w:szCs w:val="24"/>
        </w:rPr>
      </w:pPr>
      <w:bookmarkStart w:id="10" w:name="_Toc194039419"/>
      <w:r>
        <w:rPr>
          <w:b w:val="false"/>
          <w:sz w:val="24"/>
          <w:szCs w:val="24"/>
        </w:rPr>
        <w:t>Таблица 1. Перечень объектов заказчика.</w:t>
      </w:r>
      <w:bookmarkEnd w:id="10"/>
    </w:p>
    <w:tbl>
      <w:tblPr>
        <w:tblW w:w="963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40"/>
        <w:gridCol w:w="2718"/>
        <w:gridCol w:w="3262"/>
        <w:gridCol w:w="3118"/>
      </w:tblGrid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ind w:left="284" w:hanging="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(место оказания услуг)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основного средства  (в отношении которого оказываются услуги)</w:t>
            </w:r>
          </w:p>
        </w:tc>
      </w:tr>
      <w:tr>
        <w:trPr>
          <w:trHeight w:val="881" w:hRule="atLeast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0" w:firstLine="37"/>
              <w:rPr>
                <w:rFonts w:ascii="Times New Roman" w:hAnsi="Times New Roman"/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73"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подпятника гидрогенератора ст. №1 Новосибирской ГЭС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РФ, 630056, Новосибирск, ул. Новоморская, д.4/1. (территория Новосибирской ГЭС).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Гидроагрегат ст.№1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Новосибирской ГЭС</w:t>
            </w:r>
          </w:p>
        </w:tc>
      </w:tr>
    </w:tbl>
    <w:p>
      <w:pPr>
        <w:pStyle w:val="Heading4"/>
        <w:numPr>
          <w:ilvl w:val="1"/>
          <w:numId w:val="48"/>
        </w:numPr>
        <w:ind w:left="1224" w:hanging="432"/>
        <w:rPr>
          <w:rFonts w:ascii="Times New Roman" w:hAnsi="Times New Roman"/>
          <w:sz w:val="24"/>
          <w:szCs w:val="24"/>
        </w:rPr>
      </w:pPr>
      <w:bookmarkStart w:id="11" w:name="_Toc194039420"/>
      <w:bookmarkStart w:id="12" w:name="_Hlk49857604"/>
      <w:bookmarkStart w:id="13" w:name="_Toc46743509"/>
      <w:r>
        <w:rPr>
          <w:color w:val="000000" w:themeColor="text1"/>
          <w:sz w:val="24"/>
          <w:szCs w:val="24"/>
        </w:rPr>
        <w:t xml:space="preserve">Информация в отношении исполнения договора, </w:t>
      </w:r>
      <w:bookmarkStart w:id="14" w:name="_Hlk46492347"/>
      <w:r>
        <w:rPr>
          <w:color w:val="000000" w:themeColor="text1"/>
          <w:sz w:val="24"/>
          <w:szCs w:val="24"/>
        </w:rPr>
        <w:t xml:space="preserve">которая должна быть </w:t>
      </w:r>
      <w:r>
        <w:rPr>
          <w:sz w:val="24"/>
          <w:szCs w:val="24"/>
        </w:rPr>
        <w:t xml:space="preserve">учтена при подготовке заявки </w:t>
      </w:r>
      <w:bookmarkEnd w:id="14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12"/>
      <w:bookmarkEnd w:id="13"/>
      <w:r>
        <w:rPr>
          <w:sz w:val="24"/>
          <w:szCs w:val="24"/>
          <w:lang w:val="ru-RU"/>
        </w:rPr>
        <w:t>.</w:t>
      </w:r>
      <w:bookmarkEnd w:id="11"/>
    </w:p>
    <w:p>
      <w:pPr>
        <w:pStyle w:val="Heading3"/>
        <w:numPr>
          <w:ilvl w:val="2"/>
          <w:numId w:val="49"/>
        </w:numPr>
        <w:ind w:left="567" w:firstLine="709"/>
        <w:rPr>
          <w:rFonts w:ascii="Times New Roman" w:hAnsi="Times New Roman"/>
          <w:sz w:val="24"/>
          <w:szCs w:val="24"/>
        </w:rPr>
      </w:pPr>
      <w:bookmarkStart w:id="15" w:name="_Toc194039421"/>
      <w:r>
        <w:rPr>
          <w:b w:val="false"/>
          <w:sz w:val="24"/>
          <w:szCs w:val="24"/>
        </w:rPr>
        <w:t xml:space="preserve">Все </w:t>
      </w:r>
      <w:r>
        <w:rPr>
          <w:b w:val="false"/>
          <w:sz w:val="24"/>
          <w:szCs w:val="24"/>
          <w:lang w:val="ru-RU"/>
        </w:rPr>
        <w:t>оказываемые услуги</w:t>
      </w:r>
      <w:r>
        <w:rPr>
          <w:b w:val="false"/>
          <w:sz w:val="24"/>
          <w:szCs w:val="24"/>
        </w:rPr>
        <w:t xml:space="preserve"> проводятся на территории исполнителя (в заводских условиях), в соответствии с требованиями и правилами действующими на территории РФ. </w:t>
      </w:r>
      <w:r>
        <w:rPr>
          <w:b w:val="false"/>
          <w:sz w:val="24"/>
          <w:szCs w:val="24"/>
          <w:lang w:val="ru-RU"/>
        </w:rPr>
        <w:t>Исполнитель</w:t>
      </w:r>
      <w:r>
        <w:rPr>
          <w:b w:val="false"/>
          <w:sz w:val="24"/>
          <w:szCs w:val="24"/>
        </w:rPr>
        <w:t xml:space="preserve"> должен обладать необходимым </w:t>
      </w:r>
      <w:r>
        <w:rPr>
          <w:b w:val="false"/>
          <w:sz w:val="24"/>
          <w:szCs w:val="24"/>
          <w:lang w:val="ru-RU"/>
        </w:rPr>
        <w:t>станочным парком,</w:t>
      </w:r>
      <w:r>
        <w:rPr>
          <w:sz w:val="24"/>
          <w:szCs w:val="24"/>
          <w:lang w:val="ru-RU"/>
        </w:rPr>
        <w:t xml:space="preserve"> </w:t>
      </w:r>
      <w:r>
        <w:rPr>
          <w:b w:val="false"/>
          <w:sz w:val="24"/>
          <w:szCs w:val="24"/>
        </w:rPr>
        <w:t xml:space="preserve">инструментом и оборудованием, обеспечивающим полное выполнение всего объема </w:t>
      </w:r>
      <w:r>
        <w:rPr>
          <w:b w:val="false"/>
          <w:sz w:val="24"/>
          <w:szCs w:val="24"/>
          <w:lang w:val="ru-RU"/>
        </w:rPr>
        <w:t>оказываемых услуг</w:t>
      </w:r>
      <w:r>
        <w:rPr>
          <w:b w:val="false"/>
          <w:sz w:val="24"/>
          <w:szCs w:val="24"/>
        </w:rPr>
        <w:t>, указанного в настоящих технических требованиях и в соответствии с требованиями заводской документации.</w:t>
      </w:r>
      <w:bookmarkEnd w:id="15"/>
    </w:p>
    <w:p>
      <w:pPr>
        <w:pStyle w:val="Normal"/>
        <w:rPr>
          <w:rFonts w:ascii="Times New Roman" w:hAnsi="Times New Roman"/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Heading1"/>
        <w:numPr>
          <w:ilvl w:val="0"/>
          <w:numId w:val="50"/>
        </w:numPr>
        <w:ind w:left="426" w:hanging="0"/>
        <w:rPr>
          <w:rFonts w:ascii="Times New Roman" w:hAnsi="Times New Roman"/>
          <w:sz w:val="24"/>
          <w:szCs w:val="24"/>
        </w:rPr>
      </w:pPr>
      <w:bookmarkStart w:id="16" w:name="_Toc194039422"/>
      <w:bookmarkStart w:id="17" w:name="_Toc51339693"/>
      <w:bookmarkStart w:id="18" w:name="_Toc50125126"/>
      <w:bookmarkStart w:id="19" w:name="_Toc46743510"/>
      <w:bookmarkEnd w:id="18"/>
      <w:bookmarkEnd w:id="19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51"/>
        </w:numPr>
        <w:ind w:left="1224" w:hanging="432"/>
        <w:rPr>
          <w:rFonts w:ascii="Times New Roman" w:hAnsi="Times New Roman"/>
          <w:sz w:val="24"/>
          <w:szCs w:val="24"/>
        </w:rPr>
      </w:pPr>
      <w:bookmarkStart w:id="20" w:name="_Toc194039423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52"/>
        </w:numPr>
        <w:ind w:left="1224" w:hanging="504"/>
        <w:rPr>
          <w:rFonts w:ascii="Times New Roman" w:hAnsi="Times New Roman"/>
          <w:sz w:val="24"/>
          <w:szCs w:val="24"/>
        </w:rPr>
      </w:pPr>
      <w:bookmarkStart w:id="21" w:name="_Toc194039424"/>
      <w:r>
        <w:rPr>
          <w:sz w:val="24"/>
          <w:szCs w:val="24"/>
        </w:rPr>
        <w:t>Требования к перечню и объему услуг</w:t>
      </w:r>
      <w:bookmarkEnd w:id="21"/>
    </w:p>
    <w:p>
      <w:pPr>
        <w:pStyle w:val="Heading1"/>
        <w:numPr>
          <w:ilvl w:val="0"/>
          <w:numId w:val="0"/>
        </w:numPr>
        <w:ind w:left="426" w:hanging="0"/>
        <w:rPr>
          <w:rFonts w:ascii="Times New Roman" w:hAnsi="Times New Roman"/>
          <w:sz w:val="24"/>
          <w:szCs w:val="24"/>
        </w:rPr>
      </w:pPr>
      <w:bookmarkStart w:id="22" w:name="_Toc194039425"/>
      <w:bookmarkStart w:id="23" w:name="_Toc51339695"/>
      <w:r>
        <w:rPr>
          <w:b w:val="false"/>
          <w:sz w:val="24"/>
          <w:szCs w:val="24"/>
        </w:rPr>
        <w:t xml:space="preserve">Таблица 2. Перечень </w:t>
      </w:r>
      <w:bookmarkEnd w:id="23"/>
      <w:r>
        <w:rPr>
          <w:b w:val="false"/>
          <w:sz w:val="24"/>
          <w:szCs w:val="24"/>
        </w:rPr>
        <w:t>и объем оказываемых услуг</w:t>
      </w:r>
      <w:bookmarkEnd w:id="22"/>
    </w:p>
    <w:tbl>
      <w:tblPr>
        <w:tblW w:w="963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0"/>
        <w:gridCol w:w="6105"/>
        <w:gridCol w:w="1418"/>
        <w:gridCol w:w="1555"/>
      </w:tblGrid>
      <w:tr>
        <w:trPr>
          <w:trHeight w:val="725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услуг/этапа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426" w:leader="none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rHeight w:val="351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.1.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Шлифовка диска подпятника (выполнение суперфиниширования зеркальной поверхности диска подпятника). Приведение параметров рабочих поверхностей диска подпятника требованиям:</w:t>
            </w:r>
          </w:p>
          <w:p>
            <w:pPr>
              <w:pStyle w:val="BodyText"/>
              <w:widowControl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 Чертежа 1М52.325 Диск подпятника;</w:t>
            </w:r>
          </w:p>
          <w:p>
            <w:pPr>
              <w:pStyle w:val="BodyText"/>
              <w:widowControl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 РД 34.31.501-97 методические указания по эксплуатации подпятников вертикальных гидроагрегатов;</w:t>
            </w:r>
          </w:p>
          <w:p>
            <w:pPr>
              <w:pStyle w:val="BodyText"/>
              <w:widowControl w:val="fals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 СТО 17330282.27.140.001–2006 «Методика оценки технического состояния основного оборудования».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69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ind w:left="34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и согласование с Заказчиком и собственником оборудования (Филиал ПАО «РусГидро»-«Новосибирская ГЭС») исполнительной документации (формуляр, справки замеров, и т.д.).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269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360"/>
              <w:ind w:left="34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 передача изделий для последующей транспортировки.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Усл.ед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53"/>
        </w:numPr>
        <w:ind w:left="1224" w:hanging="504"/>
        <w:rPr>
          <w:rFonts w:ascii="Times New Roman" w:hAnsi="Times New Roman"/>
          <w:sz w:val="24"/>
          <w:szCs w:val="24"/>
        </w:rPr>
      </w:pPr>
      <w:bookmarkStart w:id="24" w:name="_Toc194039426"/>
      <w:bookmarkStart w:id="25" w:name="_Toc51339696"/>
      <w:r>
        <w:rPr>
          <w:sz w:val="24"/>
          <w:szCs w:val="24"/>
        </w:rPr>
        <w:t xml:space="preserve">Требования </w:t>
      </w:r>
      <w:bookmarkEnd w:id="25"/>
      <w:r>
        <w:rPr>
          <w:sz w:val="24"/>
          <w:szCs w:val="24"/>
        </w:rPr>
        <w:t>к срокам оказания услуг</w:t>
      </w:r>
      <w:bookmarkEnd w:id="24"/>
    </w:p>
    <w:p>
      <w:pPr>
        <w:pStyle w:val="Heading1"/>
        <w:numPr>
          <w:ilvl w:val="0"/>
          <w:numId w:val="0"/>
        </w:numPr>
        <w:ind w:left="426" w:hanging="0"/>
        <w:rPr>
          <w:rFonts w:ascii="Times New Roman" w:hAnsi="Times New Roman"/>
          <w:b/>
          <w:bCs/>
          <w:sz w:val="24"/>
          <w:szCs w:val="24"/>
        </w:rPr>
      </w:pPr>
      <w:bookmarkStart w:id="26" w:name="_Toc194039427"/>
      <w:bookmarkStart w:id="27" w:name="_Toc51339697"/>
      <w:bookmarkStart w:id="28" w:name="_Toc50125127"/>
      <w:bookmarkStart w:id="29" w:name="_Toc50125126_Копия_1"/>
      <w:bookmarkEnd w:id="29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</w:rPr>
        <w:t xml:space="preserve">. </w:t>
      </w:r>
      <w:bookmarkStart w:id="30" w:name="_Hlk50465284"/>
      <w:r>
        <w:rPr>
          <w:b/>
          <w:bCs/>
          <w:sz w:val="24"/>
          <w:szCs w:val="24"/>
        </w:rPr>
        <w:t xml:space="preserve">Требования </w:t>
      </w:r>
      <w:r>
        <w:rPr>
          <w:b/>
          <w:bCs/>
          <w:sz w:val="24"/>
          <w:szCs w:val="24"/>
          <w:lang w:val="ru-RU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27"/>
      <w:bookmarkEnd w:id="28"/>
      <w:bookmarkEnd w:id="30"/>
      <w:r>
        <w:rPr>
          <w:b/>
          <w:bCs/>
          <w:sz w:val="24"/>
          <w:szCs w:val="24"/>
          <w:lang w:val="ru-RU"/>
        </w:rPr>
        <w:t>оказания услуг</w:t>
      </w:r>
      <w:bookmarkEnd w:id="26"/>
    </w:p>
    <w:tbl>
      <w:tblPr>
        <w:tblW w:w="9630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4"/>
        <w:gridCol w:w="4832"/>
        <w:gridCol w:w="1842"/>
        <w:gridCol w:w="2401"/>
      </w:tblGrid>
      <w:tr>
        <w:trPr/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806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9"/>
              <w:widowControl w:val="false"/>
              <w:shd w:val="clear" w:color="auto" w:fill="auto"/>
              <w:spacing w:lineRule="auto" w:line="240" w:before="0" w:after="261"/>
              <w:ind w:left="60" w:hanging="0"/>
              <w:contextualSpacing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sz w:val="24"/>
                <w:szCs w:val="24"/>
                <w:shd w:fill="auto" w:val="clear"/>
                <w:lang w:eastAsia="x-none"/>
              </w:rPr>
              <w:t>ОКПД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 25.62.20.000 Ок</w:t>
            </w:r>
            <w:r>
              <w:rPr>
                <w:rStyle w:val="Style8"/>
                <w:rFonts w:eastAsia="Calibri"/>
                <w:b w:val="false"/>
                <w:bCs/>
                <w:i w:val="false"/>
                <w:sz w:val="24"/>
                <w:szCs w:val="24"/>
                <w:shd w:fill="auto" w:val="clear"/>
                <w:lang w:eastAsia="x-none"/>
              </w:rPr>
              <w:t>азание услуг по шлифовке диска подпятника гидроагрегата ст.№1 Новосибирской ГЭС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21.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.2026</w:t>
            </w:r>
          </w:p>
        </w:tc>
      </w:tr>
      <w:tr>
        <w:trPr/>
        <w:tc>
          <w:tcPr>
            <w:tcW w:w="9629" w:type="dxa"/>
            <w:gridSpan w:val="4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numPr>
                <w:ilvl w:val="0"/>
              </w:numPr>
              <w:spacing w:before="120" w:after="60"/>
              <w:ind w:left="432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bCs w:val="false"/>
                <w:i/>
                <w:iCs/>
                <w:sz w:val="24"/>
                <w:szCs w:val="24"/>
              </w:rPr>
              <w:t>*Срок окончания оказания услуг обусловлен сроками по договору в п. 1.3.</w:t>
            </w:r>
          </w:p>
        </w:tc>
      </w:tr>
    </w:tbl>
    <w:p>
      <w:p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sectPr>
          <w:footerReference w:type="default" r:id="rId2"/>
          <w:type w:val="nextPage"/>
          <w:pgSz w:w="11906" w:h="16838"/>
          <w:pgMar w:left="1134" w:right="851" w:gutter="0" w:header="0" w:top="851" w:footer="737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Heading1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widowControl w:val="false"/>
        <w:numPr>
          <w:ilvl w:val="1"/>
          <w:numId w:val="54"/>
        </w:numPr>
        <w:spacing w:before="120" w:after="60"/>
        <w:ind w:left="1224" w:hanging="432"/>
        <w:rPr>
          <w:rFonts w:ascii="Times New Roman" w:hAnsi="Times New Roman"/>
          <w:sz w:val="24"/>
          <w:szCs w:val="24"/>
        </w:rPr>
      </w:pPr>
      <w:bookmarkStart w:id="31" w:name="_Toc194039428"/>
      <w:r>
        <w:rPr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качеству услуг</w:t>
      </w:r>
      <w:bookmarkEnd w:id="31"/>
    </w:p>
    <w:tbl>
      <w:tblPr>
        <w:tblStyle w:val="affffa"/>
        <w:tblW w:w="1456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3"/>
        <w:gridCol w:w="2686"/>
        <w:gridCol w:w="11176"/>
      </w:tblGrid>
      <w:tr>
        <w:trPr/>
        <w:tc>
          <w:tcPr>
            <w:tcW w:w="14565" w:type="dxa"/>
            <w:gridSpan w:val="3"/>
            <w:tcBorders/>
            <w:vAlign w:val="center"/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pacing w:before="120" w:after="60"/>
              <w:ind w:left="0" w:hanging="0"/>
              <w:rPr/>
            </w:pPr>
            <w:bookmarkStart w:id="32" w:name="_Toc194039429_Копия_1"/>
            <w:bookmarkStart w:id="33" w:name="_Toc51339698_Копия_1"/>
            <w:r>
              <w:rPr>
                <w:sz w:val="24"/>
                <w:szCs w:val="24"/>
              </w:rPr>
              <w:t>Таблица </w:t>
            </w:r>
            <w:r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</w:rPr>
              <w:t xml:space="preserve">. Требования к </w:t>
            </w:r>
            <w:bookmarkEnd w:id="33"/>
            <w:r>
              <w:rPr>
                <w:sz w:val="24"/>
                <w:szCs w:val="24"/>
                <w:lang w:val="ru-RU"/>
              </w:rPr>
              <w:t>качеству услуг</w:t>
            </w:r>
            <w:bookmarkEnd w:id="3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Style w:val="Style8"/>
                <w:rFonts w:eastAsia="Calibri"/>
                <w:b w:val="false"/>
                <w:i w:val="false"/>
                <w:sz w:val="24"/>
                <w:szCs w:val="24"/>
                <w:shd w:fill="auto" w:val="clear"/>
                <w:lang w:val="ru-RU" w:eastAsia="x-none"/>
              </w:rPr>
              <w:t>ОКПД</w:t>
            </w: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 25.62.20.000 Ок</w:t>
            </w:r>
            <w:r>
              <w:rPr>
                <w:rStyle w:val="Style8"/>
                <w:rFonts w:eastAsia="Calibri"/>
                <w:b w:val="false"/>
                <w:i w:val="false"/>
                <w:sz w:val="24"/>
                <w:szCs w:val="24"/>
                <w:shd w:fill="auto" w:val="clear"/>
                <w:lang w:val="ru-RU" w:eastAsia="x-none"/>
              </w:rPr>
              <w:t>азание услуг по шлифовке диска подпятника гидроагрегата ст.№1 Новосибирской ГЭС</w:t>
            </w:r>
            <w:r>
              <w:rPr>
                <w:b w:val="false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70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8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117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4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4"/>
          </w:p>
        </w:tc>
        <w:tc>
          <w:tcPr>
            <w:tcW w:w="26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11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7" w:firstLine="142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>
          <w:trHeight w:val="1613" w:hRule="atLeast"/>
        </w:trPr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8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</w:t>
            </w:r>
          </w:p>
        </w:tc>
        <w:tc>
          <w:tcPr>
            <w:tcW w:w="1117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выполняться в соответствии с требованиями: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РД 34.31.501-97 методические указания по эксплуатации подпятников вертикальных гидроагрегатов;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СТО 17330282.27.140.001–2006 «Методика оценки технического состояния основного оборудования»;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ГОСТ 8.050-73 (СТ СЭВ 1155-78) Государственная система обеспечения единства измерений (ГСИ). Нормальные условия выполнения линейных и угловых измерений;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ГОСТ 8.051-81 (СТ СЭВ 303-76) Государственная система обеспечения единства измерений (ГСИ). Погрешности, допускаемые при измерении линейных размеров до 500 мм;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ГОСТ Р 8.563-2009 Государственная система обеспечения единства измерений (ГСИ). Методики (методы) измерений;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ГОСТ 2.314-68 Единая система конструкторской документации (ЕСКД). Указания на чертежах о маркировании и клеймении изделий.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Срок службы узлов трения </w:t>
            </w:r>
          </w:p>
        </w:tc>
        <w:tc>
          <w:tcPr>
            <w:tcW w:w="11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Не менее 20 лет 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6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Квалификация </w:t>
            </w:r>
          </w:p>
        </w:tc>
        <w:tc>
          <w:tcPr>
            <w:tcW w:w="11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у подрядчика рабочего персонала по квалификации и количественному составу, достаточному для оказания услуг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Результаты услуг</w:t>
            </w:r>
          </w:p>
        </w:tc>
        <w:tc>
          <w:tcPr>
            <w:tcW w:w="11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Результатом работ являются отшлифованный диск подпятника (выполнено суперфиниширование зеркальной поверхности диска подпятника), восстановление рабочих поверхностей диска подпятника в соответствии с требованиями: 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Чертежа 1М52.325 Диск подпятника;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РД 34.31.501-97 методические указания по эксплуатации подпятников вертикальных гидроагрегатов;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СТО 17330282.27.140.001–2006 «Методика оценки технического состояния основного оборудования».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386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-57" w:right="57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оказанные услуги</w:t>
            </w:r>
          </w:p>
        </w:tc>
        <w:tc>
          <w:tcPr>
            <w:tcW w:w="11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Не менее 36 (тридцати шести) месяцев с даты подписания </w:t>
            </w:r>
            <w:r>
              <w:rPr>
                <w:rFonts w:eastAsia="Times New Roman" w:cs="Times New Roman"/>
                <w:kern w:val="0"/>
                <w:sz w:val="24"/>
                <w:szCs w:val="28"/>
                <w:lang w:val="ru-RU" w:eastAsia="ru-RU" w:bidi="ar-SA"/>
              </w:rPr>
              <w:t>Актами сдачи-приемки оказанных Услуг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703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-113" w:right="0" w:hanging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3.2.</w:t>
            </w:r>
          </w:p>
        </w:tc>
        <w:tc>
          <w:tcPr>
            <w:tcW w:w="26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материал</w:t>
            </w:r>
          </w:p>
        </w:tc>
        <w:tc>
          <w:tcPr>
            <w:tcW w:w="111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Срок службы узлов трения не менее 20 лет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4. </w:t>
            </w:r>
          </w:p>
        </w:tc>
        <w:tc>
          <w:tcPr>
            <w:tcW w:w="13862" w:type="dxa"/>
            <w:gridSpan w:val="2"/>
            <w:tcBorders>
              <w:top w:val="nil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ascii="Times New Roman" w:hAnsi="Times New Roman"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упаковке и транспортировке деталей</w:t>
            </w:r>
          </w:p>
        </w:tc>
      </w:tr>
      <w:tr>
        <w:trPr/>
        <w:tc>
          <w:tcPr>
            <w:tcW w:w="70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60" w:after="60"/>
              <w:ind w:left="-113" w:right="-283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268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деталей</w:t>
            </w:r>
          </w:p>
        </w:tc>
        <w:tc>
          <w:tcPr>
            <w:tcW w:w="11176" w:type="dxa"/>
            <w:tcBorders>
              <w:top w:val="nil"/>
            </w:tcBorders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both"/>
              <w:outlineLvl w:val="2"/>
              <w:rPr>
                <w:rFonts w:ascii="Times New Roman" w:hAnsi="Times New Roman" w:cs="Times New Roman"/>
                <w:kern w:val="0"/>
                <w:sz w:val="24"/>
                <w:szCs w:val="24"/>
                <w:lang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 xml:space="preserve">Доставка ТМЦ до места оказания услуг и обратно осуществляется Заказчиком за счет собственных средств.  </w:t>
            </w:r>
          </w:p>
        </w:tc>
      </w:tr>
      <w:tr>
        <w:trPr/>
        <w:tc>
          <w:tcPr>
            <w:tcW w:w="703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4.2.</w:t>
            </w:r>
          </w:p>
        </w:tc>
        <w:tc>
          <w:tcPr>
            <w:tcW w:w="268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упаковке деталей</w:t>
            </w:r>
          </w:p>
        </w:tc>
        <w:tc>
          <w:tcPr>
            <w:tcW w:w="1117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надежную упаковку деталей и крепление их на транспортном средстве, исключающие повреждение поверхностей, попадание атмосферных осадков и механические повреждения при транспортировке на объект Заказчика. Способ упаковки и крепления должен быть согласован с представителем Заказчика перед отправкой деталей.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Тип упаковки – деревянные ящики, исключающие механические повреждения поверхностей оборудования, с фиксацией внутри ящиков в транспортировочные деревянные подставки с обмоткой целлофановой пленкой, предотвращающей попадание </w:t>
            </w:r>
            <w:bookmarkStart w:id="35" w:name="_GoBack_Копия_1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влаги </w:t>
            </w:r>
            <w:bookmarkEnd w:id="35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поверхность оборудования.</w:t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numPr>
          <w:ilvl w:val="0"/>
          <w:numId w:val="9"/>
        </w:numPr>
        <w:ind w:left="426" w:hanging="425"/>
        <w:jc w:val="center"/>
        <w:rPr>
          <w:rFonts w:ascii="Times New Roman" w:hAnsi="Times New Roman"/>
          <w:sz w:val="24"/>
          <w:szCs w:val="24"/>
        </w:rPr>
      </w:pPr>
      <w:r>
        <w:rPr>
          <w:b/>
          <w:bCs/>
          <w:sz w:val="24"/>
          <w:szCs w:val="24"/>
        </w:rPr>
        <w:t>Требования к документации по ценообразованию на этапе заключения договора</w:t>
      </w:r>
    </w:p>
    <w:p>
      <w:pPr>
        <w:pStyle w:val="ListParagraph"/>
        <w:numPr>
          <w:ilvl w:val="0"/>
          <w:numId w:val="0"/>
        </w:numPr>
        <w:spacing w:before="80" w:after="0"/>
        <w:ind w:left="0" w:hanging="0"/>
        <w:contextualSpacing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x-none" w:eastAsia="x-none" w:bidi="ar-SA"/>
        </w:rPr>
        <w:t xml:space="preserve">  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x-none" w:eastAsia="x-none" w:bidi="ar-SA"/>
        </w:rPr>
        <w:t>3.1.  Сметную документацию составлять и оформлять в соответствии с требованиями к оформлению и составлению сметной документации (Приложение 2 к настоящим техническим требованиям) с применением понижающего коэффициента, приводящего к стоимости, указанной в Коммерческом предложении участника, с которым принято решение заключить договор. Коэффициент начисляется в каждой локальной смете к итогу.</w:t>
      </w:r>
    </w:p>
    <w:p>
      <w:pPr>
        <w:pStyle w:val="ListParagraph"/>
        <w:numPr>
          <w:ilvl w:val="0"/>
          <w:numId w:val="0"/>
        </w:numPr>
        <w:spacing w:before="80" w:after="0"/>
        <w:ind w:left="0" w:hanging="0"/>
        <w:contextualSpacing/>
        <w:jc w:val="both"/>
        <w:rPr>
          <w:rFonts w:eastAsia="Calibri" w:cs="Times New Roman"/>
          <w:color w:val="auto"/>
          <w:kern w:val="0"/>
          <w:lang w:val="x-none" w:eastAsia="x-none" w:bidi="ar-SA"/>
        </w:rPr>
      </w:pPr>
      <w:r>
        <w:rPr>
          <w:rFonts w:eastAsia="Calibri" w:cs="Times New Roman"/>
          <w:color w:val="auto"/>
          <w:kern w:val="0"/>
          <w:lang w:val="x-none" w:eastAsia="x-none" w:bidi="ar-SA"/>
        </w:rPr>
      </w:r>
    </w:p>
    <w:p>
      <w:pPr>
        <w:pStyle w:val="Normal"/>
        <w:widowControl w:val="false"/>
        <w:numPr>
          <w:ilvl w:val="0"/>
          <w:numId w:val="9"/>
        </w:numPr>
        <w:spacing w:lineRule="auto" w:line="30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Приложения: </w:t>
      </w:r>
    </w:p>
    <w:p>
      <w:pPr>
        <w:pStyle w:val="BodyTex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1. Чертеж 1М52.325 Диск подпятника</w:t>
      </w:r>
      <w:r>
        <w:rPr>
          <w:sz w:val="24"/>
          <w:szCs w:val="24"/>
          <w:lang w:val="en-US"/>
        </w:rPr>
        <w:t>;</w:t>
      </w:r>
    </w:p>
    <w:p>
      <w:pPr>
        <w:pStyle w:val="BodyText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 СТО 17330282.27.140.001–2006 «Методика оценки технического состояния основного оборудования».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ageBreakBefore w:val="false"/>
        <w:jc w:val="both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default" r:id="rId5"/>
      <w:headerReference w:type="first" r:id="rId6"/>
      <w:footerReference w:type="default" r:id="rId7"/>
      <w:footerReference w:type="first" r:id="rId8"/>
      <w:type w:val="nextPage"/>
      <w:pgSz w:w="11906" w:h="16838"/>
      <w:pgMar w:left="1134" w:right="851" w:gutter="0" w:header="680" w:top="1134" w:footer="737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50072584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89406825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0113247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85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907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10"/>
    <w:lvlOverride w:ilvl="0">
      <w:startOverride w:val="1"/>
    </w:lvlOverride>
  </w:num>
  <w:num w:numId="34">
    <w:abstractNumId w:val="10"/>
  </w:num>
  <w:num w:numId="35">
    <w:abstractNumId w:val="10"/>
  </w:num>
  <w:num w:numId="36">
    <w:abstractNumId w:val="10"/>
  </w:num>
  <w:num w:numId="37">
    <w:abstractNumId w:val="10"/>
  </w:num>
  <w:num w:numId="38">
    <w:abstractNumId w:val="10"/>
  </w:num>
  <w:num w:numId="39">
    <w:abstractNumId w:val="10"/>
  </w:num>
  <w:num w:numId="40">
    <w:abstractNumId w:val="10"/>
  </w:num>
  <w:num w:numId="41">
    <w:abstractNumId w:val="10"/>
  </w:num>
  <w:num w:numId="42">
    <w:abstractNumId w:val="10"/>
  </w:num>
  <w:num w:numId="43">
    <w:abstractNumId w:val="10"/>
  </w:num>
  <w:num w:numId="44">
    <w:abstractNumId w:val="10"/>
    <w:lvlOverride w:ilvl="0">
      <w:startOverride w:val="1"/>
    </w:lvlOverride>
  </w:num>
  <w:num w:numId="45">
    <w:abstractNumId w:val="10"/>
  </w:num>
  <w:num w:numId="46">
    <w:abstractNumId w:val="10"/>
  </w:num>
  <w:num w:numId="47">
    <w:abstractNumId w:val="10"/>
  </w:num>
  <w:num w:numId="48">
    <w:abstractNumId w:val="10"/>
  </w:num>
  <w:num w:numId="49">
    <w:abstractNumId w:val="10"/>
  </w:num>
  <w:num w:numId="50">
    <w:abstractNumId w:val="10"/>
  </w:num>
  <w:num w:numId="51">
    <w:abstractNumId w:val="10"/>
  </w:num>
  <w:num w:numId="52">
    <w:abstractNumId w:val="10"/>
  </w:num>
  <w:num w:numId="53">
    <w:abstractNumId w:val="10"/>
  </w:num>
  <w:num w:numId="54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45728"/>
    <w:pPr>
      <w:keepNext w:val="true"/>
      <w:numPr>
        <w:ilvl w:val="2"/>
        <w:numId w:val="3"/>
      </w:numPr>
      <w:tabs>
        <w:tab w:val="clear" w:pos="708"/>
        <w:tab w:val="left" w:pos="851" w:leader="none"/>
        <w:tab w:val="left" w:pos="993" w:leader="none"/>
      </w:tabs>
      <w:spacing w:before="120" w:after="60"/>
      <w:ind w:left="1224" w:hanging="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left" w:pos="0" w:leader="none"/>
        <w:tab w:val="left" w:pos="851" w:leader="none"/>
        <w:tab w:val="left" w:pos="993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45728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3c12f6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fc560b"/>
    <w:rPr>
      <w:sz w:val="28"/>
      <w:szCs w:val="28"/>
    </w:rPr>
  </w:style>
  <w:style w:type="character" w:styleId="Style16" w:customStyle="1">
    <w:name w:val="Ссылка указателя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left" w:pos="567" w:leader="none"/>
        <w:tab w:val="left" w:pos="851" w:leader="none"/>
        <w:tab w:val="left" w:pos="993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qFormat/>
    <w:rsid w:val="003c12f6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2d5c4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rsid w:val="0014035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4.xml"/><Relationship Id="rId8" Type="http://schemas.openxmlformats.org/officeDocument/2006/relationships/footer" Target="footer5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C69C2-2D24-471A-8964-9E9C9FAF2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AlterOffice/3.4.0.9$Linux_X86_64 LibreOffice_project/b8daf9e823b1a5463a2f48435ddc2e8696e7d4fc</Application>
  <AppVersion>15.0000</AppVersion>
  <Pages>7</Pages>
  <Words>946</Words>
  <Characters>6573</Characters>
  <CharactersWithSpaces>7359</CharactersWithSpaces>
  <Paragraphs>157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2026-10-13T11:39:00Z</dcterms:created>
  <dc:creator>Быстров Олег Геннадьевич</dc:creator>
  <dc:description/>
  <dc:language>ru-RU</dc:language>
  <cp:lastModifiedBy>kuzmichevatav@corp.gidroogk.com</cp:lastModifiedBy>
  <cp:lastPrinted>2025-03-28T03:51:00Z</cp:lastPrinted>
  <dcterms:modified xsi:type="dcterms:W3CDTF">2026-10-27T09:19:30Z</dcterms:modified>
  <cp:revision>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