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7.xml" ContentType="application/vnd.openxmlformats-officedocument.wordprocessingml.head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Cs w:val="26"/>
        </w:rPr>
      </w:pPr>
      <w:r>
        <w:rPr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iCs/>
          <w:sz w:val="24"/>
          <w:szCs w:val="24"/>
        </w:rPr>
        <w:t>ОКПД2 28.15.24.114 Поставка редукторов червячных для Новосибирской ГЭС</w:t>
      </w:r>
    </w:p>
    <w:p>
      <w:pPr>
        <w:pStyle w:val="Normal"/>
        <w:keepNext w:val="true"/>
        <w:keepLines/>
        <w:jc w:val="center"/>
        <w:rPr>
          <w:rFonts w:eastAsia="Calibri"/>
        </w:rPr>
      </w:pPr>
      <w:r>
        <w:rPr>
          <w:rFonts w:eastAsia="Calibri"/>
        </w:rPr>
        <w:t>(</w:t>
      </w:r>
      <w:r>
        <w:rPr/>
        <w:t>Лот №</w:t>
      </w:r>
      <w:r>
        <w:rPr>
          <w:rFonts w:eastAsia="Calibri"/>
        </w:rPr>
        <w:t>…)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1"/>
        </w:numPr>
        <w:ind w:left="3686" w:hanging="360"/>
        <w:rPr>
          <w:caps/>
        </w:rPr>
      </w:pPr>
      <w:bookmarkStart w:id="0" w:name="_Toc51339692"/>
      <w:bookmarkStart w:id="1" w:name="_Toc54646395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1"/>
        </w:numPr>
        <w:rPr/>
      </w:pPr>
      <w:bookmarkStart w:id="2" w:name="_Toc46743506"/>
      <w:bookmarkStart w:id="3" w:name="_Toc54646397"/>
      <w:r>
        <w:rPr/>
        <w:t xml:space="preserve">Наименование </w:t>
      </w:r>
      <w:bookmarkEnd w:id="2"/>
      <w:bookmarkEnd w:id="3"/>
      <w:r>
        <w:rPr>
          <w:lang w:val="ru-RU"/>
        </w:rPr>
        <w:t>закупаемой продукции:</w:t>
      </w:r>
    </w:p>
    <w:p>
      <w:pPr>
        <w:pStyle w:val="Normal"/>
        <w:ind w:right="-1" w:hanging="0"/>
        <w:jc w:val="both"/>
        <w:rPr>
          <w:bCs/>
          <w:iCs/>
          <w:sz w:val="24"/>
          <w:szCs w:val="24"/>
        </w:rPr>
      </w:pPr>
      <w:r>
        <w:rPr>
          <w:rFonts w:eastAsia="Calibri"/>
          <w:b w:val="false"/>
          <w:bCs w:val="false"/>
          <w:iCs/>
          <w:sz w:val="24"/>
          <w:szCs w:val="24"/>
        </w:rPr>
        <w:t>ОКПД2 28.15.24.114 Поставка редукторов червячных для Новосибирской ГЭС</w:t>
      </w:r>
      <w:r>
        <w:rPr>
          <w:rFonts w:eastAsia="Calibri"/>
          <w:bCs/>
          <w:iCs/>
          <w:sz w:val="24"/>
          <w:szCs w:val="24"/>
        </w:rPr>
        <w:t xml:space="preserve"> (Далее – продукция)</w:t>
      </w:r>
      <w:r>
        <w:rPr>
          <w:bCs/>
          <w:iCs/>
          <w:sz w:val="24"/>
          <w:szCs w:val="24"/>
        </w:rPr>
        <w:t>.</w:t>
      </w:r>
    </w:p>
    <w:p>
      <w:pPr>
        <w:pStyle w:val="Heading4"/>
        <w:widowControl w:val="false"/>
        <w:numPr>
          <w:ilvl w:val="1"/>
          <w:numId w:val="1"/>
        </w:numPr>
        <w:tabs>
          <w:tab w:val="left" w:pos="0" w:leader="none"/>
          <w:tab w:val="left" w:pos="426" w:leader="none"/>
        </w:tabs>
        <w:ind w:left="431" w:hanging="431"/>
        <w:rPr>
          <w:rFonts w:eastAsia="GOSTTypeA"/>
          <w:lang w:val="ru-RU"/>
        </w:rPr>
      </w:pPr>
      <w:r>
        <w:rPr>
          <w:rFonts w:eastAsia="GOSTTypeA"/>
          <w:lang w:val="ru-RU"/>
        </w:rPr>
        <w:t>Цель использования закупаемой продукции:</w:t>
      </w:r>
    </w:p>
    <w:p>
      <w:pPr>
        <w:pStyle w:val="Normal"/>
        <w:jc w:val="both"/>
        <w:rPr/>
      </w:pPr>
      <w:r>
        <w:rPr>
          <w:rStyle w:val="Style8"/>
          <w:b w:val="false"/>
          <w:bCs/>
          <w:i w:val="false"/>
          <w:iCs/>
          <w:sz w:val="24"/>
          <w:szCs w:val="24"/>
          <w:shd w:fill="FFFFFF" w:val="clear"/>
        </w:rPr>
        <w:t>Исполнение обязательств:</w:t>
      </w:r>
    </w:p>
    <w:p>
      <w:pPr>
        <w:pStyle w:val="Normal"/>
        <w:jc w:val="both"/>
        <w:rPr/>
      </w:pPr>
      <w:r>
        <w:rPr>
          <w:rStyle w:val="Style8"/>
          <w:b w:val="false"/>
          <w:bCs/>
          <w:i w:val="false"/>
          <w:iCs/>
          <w:sz w:val="24"/>
          <w:szCs w:val="24"/>
          <w:shd w:fill="FFFFFF" w:val="clear"/>
        </w:rPr>
        <w:t>- по лоту №0062-ЭКСП-ПРОД-2027-НовосибГЭС «Услуги по эксплуатации подъёмных сооружений филиала ПАО «РусГидро» - «Новосибирская ГЭС»</w:t>
      </w:r>
      <w:r>
        <w:rPr>
          <w:sz w:val="24"/>
          <w:szCs w:val="24"/>
        </w:rPr>
        <w:t>, планирующийся к заключению между заключенный между филиалом ПАО «РусГидро»-«Новосибирская ГЭС» и АО «Гидроремонт-ВКК»</w:t>
      </w:r>
      <w:r>
        <w:rPr>
          <w:rStyle w:val="Style8"/>
          <w:b w:val="false"/>
          <w:bCs/>
          <w:i w:val="false"/>
          <w:iCs/>
          <w:sz w:val="24"/>
          <w:szCs w:val="24"/>
          <w:shd w:fill="FFFFFF" w:val="clear"/>
        </w:rPr>
        <w:t>.</w:t>
      </w:r>
    </w:p>
    <w:p>
      <w:pPr>
        <w:pStyle w:val="Heading1"/>
        <w:numPr>
          <w:ilvl w:val="0"/>
          <w:numId w:val="1"/>
        </w:numPr>
        <w:ind w:left="3686" w:hanging="360"/>
        <w:rPr>
          <w:caps/>
          <w:lang w:val="ru-RU"/>
        </w:rPr>
      </w:pPr>
      <w:r>
        <w:rPr/>
        <w:t>Требования к продукции</w:t>
      </w:r>
    </w:p>
    <w:p>
      <w:pPr>
        <w:pStyle w:val="Heading4"/>
        <w:numPr>
          <w:ilvl w:val="1"/>
          <w:numId w:val="1"/>
        </w:numPr>
        <w:rPr/>
      </w:pPr>
      <w:bookmarkStart w:id="4" w:name="_Toc54646404"/>
      <w:r>
        <w:rPr/>
        <w:t>Требования к объ</w:t>
      </w:r>
      <w:r>
        <w:rPr>
          <w:lang w:val="ru-RU"/>
        </w:rPr>
        <w:t>ё</w:t>
      </w:r>
      <w:r>
        <w:rPr/>
        <w:t xml:space="preserve">мам и срокам </w:t>
      </w:r>
      <w:bookmarkEnd w:id="4"/>
      <w:r>
        <w:rPr>
          <w:lang w:val="ru-RU"/>
        </w:rPr>
        <w:t>поставки</w:t>
      </w:r>
    </w:p>
    <w:p>
      <w:pPr>
        <w:pStyle w:val="Heading3"/>
        <w:numPr>
          <w:ilvl w:val="2"/>
          <w:numId w:val="1"/>
        </w:numPr>
        <w:rPr/>
      </w:pPr>
      <w:r>
        <w:rPr>
          <w:lang w:val="ru-RU"/>
        </w:rPr>
        <w:t>Перечень и объём закупаемой продукции</w:t>
      </w:r>
    </w:p>
    <w:p>
      <w:pPr>
        <w:pStyle w:val="Heading1"/>
        <w:tabs>
          <w:tab w:val="clear" w:pos="0"/>
        </w:tabs>
        <w:ind w:left="0" w:hanging="0"/>
        <w:rPr>
          <w:sz w:val="24"/>
          <w:lang w:val="ru-RU"/>
        </w:rPr>
      </w:pPr>
      <w:bookmarkStart w:id="5" w:name="_Toc54646406"/>
      <w:bookmarkStart w:id="6" w:name="_Toc51339695"/>
      <w:r>
        <w:rPr>
          <w:sz w:val="24"/>
        </w:rPr>
        <w:t xml:space="preserve">Таблица </w:t>
      </w:r>
      <w:r>
        <w:rPr>
          <w:sz w:val="24"/>
        </w:rPr>
        <w:t>1</w:t>
      </w:r>
      <w:r>
        <w:rPr>
          <w:sz w:val="24"/>
        </w:rPr>
        <w:t>.</w:t>
      </w:r>
      <w:r>
        <w:rPr>
          <w:sz w:val="24"/>
          <w:lang w:val="ru-RU"/>
        </w:rPr>
        <w:t>1.</w:t>
      </w:r>
      <w:r>
        <w:rPr>
          <w:sz w:val="24"/>
        </w:rPr>
        <w:t xml:space="preserve"> Перечень </w:t>
      </w:r>
      <w:bookmarkEnd w:id="6"/>
      <w:r>
        <w:rPr>
          <w:sz w:val="24"/>
        </w:rPr>
        <w:t xml:space="preserve">и </w:t>
      </w:r>
      <w:r>
        <w:rPr>
          <w:sz w:val="24"/>
          <w:szCs w:val="24"/>
        </w:rPr>
        <w:t>объ</w:t>
      </w:r>
      <w:r>
        <w:rPr>
          <w:sz w:val="24"/>
          <w:szCs w:val="24"/>
          <w:lang w:val="ru-RU"/>
        </w:rPr>
        <w:t>ё</w:t>
      </w:r>
      <w:r>
        <w:rPr>
          <w:sz w:val="24"/>
          <w:szCs w:val="24"/>
        </w:rPr>
        <w:t xml:space="preserve">м </w:t>
      </w:r>
      <w:bookmarkEnd w:id="5"/>
      <w:r>
        <w:rPr>
          <w:sz w:val="24"/>
          <w:szCs w:val="24"/>
          <w:lang w:val="ru-RU"/>
        </w:rPr>
        <w:t>закупаемой продукции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8"/>
        <w:gridCol w:w="5137"/>
        <w:gridCol w:w="1841"/>
        <w:gridCol w:w="1983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63" w:hanging="0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6" w:leader="none"/>
              </w:tabs>
              <w:jc w:val="both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Редуктор по чертежу ч. Р46 000 (Aw=300 мм., i=24,5)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16" w:leader="none"/>
              </w:tabs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16" w:leader="none"/>
              </w:tabs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1"/>
        </w:numPr>
        <w:rPr/>
      </w:pPr>
      <w:bookmarkStart w:id="7" w:name="_Toc54646407"/>
      <w:bookmarkStart w:id="8" w:name="_Toc51339696"/>
      <w:r>
        <w:rPr/>
        <w:t xml:space="preserve">Требования </w:t>
      </w:r>
      <w:bookmarkEnd w:id="8"/>
      <w:r>
        <w:rPr/>
        <w:t xml:space="preserve">к срокам </w:t>
      </w:r>
      <w:bookmarkEnd w:id="7"/>
      <w:r>
        <w:rPr>
          <w:lang w:val="ru-RU"/>
        </w:rPr>
        <w:t>поставки</w:t>
      </w:r>
    </w:p>
    <w:p>
      <w:pPr>
        <w:pStyle w:val="Heading1"/>
        <w:tabs>
          <w:tab w:val="clear" w:pos="0"/>
        </w:tabs>
        <w:spacing w:before="0" w:after="0"/>
        <w:ind w:left="0" w:hanging="0"/>
        <w:rPr>
          <w:sz w:val="24"/>
          <w:lang w:val="ru-RU"/>
        </w:rPr>
      </w:pPr>
      <w:bookmarkStart w:id="9" w:name="_Toc54646408"/>
      <w:bookmarkStart w:id="10" w:name="_Toc50125127"/>
      <w:bookmarkStart w:id="11" w:name="_Toc51339697"/>
      <w:r>
        <w:rPr>
          <w:sz w:val="24"/>
        </w:rPr>
        <w:t xml:space="preserve">Таблица </w:t>
      </w:r>
      <w:r>
        <w:rPr>
          <w:sz w:val="24"/>
        </w:rPr>
        <w:t>1</w:t>
      </w:r>
      <w:r>
        <w:rPr>
          <w:sz w:val="24"/>
          <w:lang w:val="ru-RU"/>
        </w:rPr>
        <w:t>.2.</w:t>
      </w:r>
      <w:r>
        <w:rPr>
          <w:sz w:val="24"/>
        </w:rPr>
        <w:t xml:space="preserve"> </w:t>
      </w:r>
      <w:bookmarkStart w:id="12" w:name="_Hlk50465284"/>
      <w:r>
        <w:rPr>
          <w:sz w:val="24"/>
        </w:rPr>
        <w:t xml:space="preserve">Требования по срокам </w:t>
      </w:r>
      <w:bookmarkEnd w:id="9"/>
      <w:bookmarkEnd w:id="10"/>
      <w:bookmarkEnd w:id="11"/>
      <w:bookmarkEnd w:id="12"/>
      <w:r>
        <w:rPr>
          <w:sz w:val="24"/>
          <w:lang w:val="ru-RU"/>
        </w:rPr>
        <w:t>поставки продукции</w:t>
      </w:r>
    </w:p>
    <w:tbl>
      <w:tblPr>
        <w:tblpPr w:bottomFromText="0" w:horzAnchor="margin" w:leftFromText="180" w:rightFromText="180" w:tblpX="0" w:tblpY="310" w:topFromText="0" w:vertAnchor="text"/>
        <w:tblW w:w="991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7"/>
        <w:gridCol w:w="4674"/>
        <w:gridCol w:w="2268"/>
        <w:gridCol w:w="2268"/>
      </w:tblGrid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iCs/>
                <w:sz w:val="24"/>
                <w:szCs w:val="24"/>
              </w:rPr>
              <w:t>ОКПД2 28.15.24.114 Поставка редукторов червячных для Новосибирской ГЭС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подписания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В течение</w:t>
            </w:r>
            <w:r>
              <w:rPr>
                <w:sz w:val="24"/>
                <w:shd w:fill="auto" w:val="clear"/>
              </w:rPr>
              <w:t xml:space="preserve"> 120 рабочих дн</w:t>
            </w:r>
            <w:r>
              <w:rPr>
                <w:sz w:val="24"/>
              </w:rPr>
              <w:t>ей с даты подписания Договора</w:t>
            </w:r>
          </w:p>
        </w:tc>
      </w:tr>
    </w:tbl>
    <w:p>
      <w:pPr>
        <w:pStyle w:val="ListParagraph"/>
        <w:widowControl w:val="false"/>
        <w:tabs>
          <w:tab w:val="clear" w:pos="720"/>
          <w:tab w:val="left" w:pos="0" w:leader="none"/>
        </w:tabs>
        <w:spacing w:before="120" w:after="120"/>
        <w:ind w:left="0" w:hanging="0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footerReference w:type="first" r:id="rId6"/>
          <w:type w:val="nextPage"/>
          <w:pgSz w:w="11906" w:h="16838"/>
          <w:pgMar w:left="1134" w:right="851" w:gutter="0" w:header="680" w:top="1134" w:footer="737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ListParagraph"/>
        <w:widowControl w:val="false"/>
        <w:tabs>
          <w:tab w:val="clear" w:pos="720"/>
          <w:tab w:val="left" w:pos="0" w:leader="none"/>
        </w:tabs>
        <w:spacing w:before="120" w:after="120"/>
        <w:ind w:left="0" w:hanging="0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Heading1"/>
        <w:tabs>
          <w:tab w:val="clear" w:pos="0"/>
        </w:tabs>
        <w:ind w:left="0" w:hanging="0"/>
        <w:rPr>
          <w:sz w:val="22"/>
          <w:lang w:val="ru-RU"/>
        </w:rPr>
      </w:pPr>
      <w:bookmarkStart w:id="13" w:name="_Toc54646410"/>
      <w:bookmarkStart w:id="14" w:name="_Toc50125131"/>
      <w:bookmarkStart w:id="15" w:name="_Toc51339698"/>
      <w:r>
        <w:rPr>
          <w:sz w:val="22"/>
        </w:rPr>
        <w:t>Таблица </w:t>
      </w:r>
      <w:r>
        <w:rPr>
          <w:sz w:val="22"/>
          <w:lang w:val="ru-RU"/>
        </w:rPr>
        <w:t>3</w:t>
      </w:r>
      <w:r>
        <w:rPr>
          <w:sz w:val="22"/>
        </w:rPr>
        <w:t xml:space="preserve">. Требования к </w:t>
      </w:r>
      <w:bookmarkEnd w:id="13"/>
      <w:bookmarkEnd w:id="14"/>
      <w:bookmarkEnd w:id="15"/>
      <w:r>
        <w:rPr>
          <w:sz w:val="22"/>
          <w:lang w:val="ru-RU"/>
        </w:rPr>
        <w:t>продукции</w:t>
      </w:r>
    </w:p>
    <w:p>
      <w:pPr>
        <w:pStyle w:val="Normal"/>
        <w:jc w:val="both"/>
        <w:rPr>
          <w:rFonts w:eastAsia="Calibri"/>
          <w:bCs/>
          <w:iCs/>
          <w:sz w:val="22"/>
          <w:szCs w:val="24"/>
        </w:rPr>
      </w:pPr>
      <w:r>
        <w:rPr>
          <w:b/>
          <w:bCs/>
          <w:sz w:val="22"/>
          <w:szCs w:val="24"/>
        </w:rPr>
        <w:t>Наименование продукции (позиции №</w:t>
      </w:r>
      <w:r>
        <w:rPr>
          <w:b/>
          <w:bCs/>
          <w:sz w:val="22"/>
          <w:szCs w:val="24"/>
          <w:lang w:val="en-US"/>
        </w:rPr>
        <w:t> </w:t>
      </w:r>
      <w:r>
        <w:rPr>
          <w:b/>
          <w:bCs/>
          <w:sz w:val="22"/>
          <w:szCs w:val="24"/>
        </w:rPr>
        <w:t>1</w:t>
      </w:r>
      <w:bookmarkStart w:id="16" w:name="_GoBack"/>
      <w:bookmarkEnd w:id="16"/>
      <w:r>
        <w:rPr>
          <w:b/>
          <w:bCs/>
          <w:sz w:val="22"/>
          <w:szCs w:val="24"/>
        </w:rPr>
        <w:t xml:space="preserve"> Таблицы </w:t>
      </w:r>
      <w:r>
        <w:rPr>
          <w:b/>
          <w:bCs/>
          <w:sz w:val="22"/>
          <w:szCs w:val="24"/>
        </w:rPr>
        <w:t>1</w:t>
      </w:r>
      <w:r>
        <w:rPr>
          <w:b/>
          <w:bCs/>
          <w:sz w:val="22"/>
          <w:szCs w:val="24"/>
        </w:rPr>
        <w:t xml:space="preserve">.1): </w:t>
      </w:r>
      <w:r>
        <w:rPr>
          <w:rFonts w:eastAsia="Calibri"/>
          <w:b/>
          <w:bCs/>
          <w:iCs/>
          <w:sz w:val="24"/>
          <w:szCs w:val="24"/>
        </w:rPr>
        <w:t>ОКПД2 28.15.24.114 Поставка редукторов червячных для Новосибирской ГЭС</w:t>
      </w:r>
      <w:r>
        <w:rPr>
          <w:rFonts w:eastAsia="Calibri"/>
          <w:b/>
          <w:bCs/>
          <w:iCs/>
          <w:sz w:val="22"/>
          <w:szCs w:val="24"/>
        </w:rPr>
        <w:t>.</w:t>
      </w:r>
    </w:p>
    <w:tbl>
      <w:tblPr>
        <w:tblpPr w:bottomFromText="0" w:horzAnchor="margin" w:leftFromText="180" w:rightFromText="180" w:tblpX="0" w:tblpXSpec="center" w:tblpY="1909" w:topFromText="0" w:vertAnchor="page"/>
        <w:tblW w:w="1528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5"/>
        <w:gridCol w:w="2265"/>
        <w:gridCol w:w="3185"/>
        <w:gridCol w:w="2988"/>
        <w:gridCol w:w="2331"/>
        <w:gridCol w:w="1927"/>
        <w:gridCol w:w="1853"/>
      </w:tblGrid>
      <w:tr>
        <w:trPr>
          <w:trHeight w:val="20" w:hRule="atLeast"/>
        </w:trPr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3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0" w:hRule="atLeast"/>
        </w:trPr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/>
                <w:b/>
                <w:sz w:val="22"/>
                <w:szCs w:val="22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/>
                <w:b/>
                <w:sz w:val="22"/>
                <w:szCs w:val="22"/>
              </w:rPr>
              <w:t>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/>
                <w:b/>
                <w:sz w:val="22"/>
                <w:szCs w:val="22"/>
              </w:rPr>
              <w:t>6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/>
                <w:b/>
                <w:sz w:val="22"/>
                <w:szCs w:val="22"/>
              </w:rPr>
              <w:t>7</w:t>
            </w:r>
          </w:p>
        </w:tc>
      </w:tr>
      <w:tr>
        <w:trPr>
          <w:trHeight w:val="348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454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644" w:hRule="atLeast"/>
        </w:trPr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ind w:left="360" w:hanging="50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Редуктор червячный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нормативным документом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чертеж Р46 000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46" w:hRule="atLeast"/>
        </w:trPr>
        <w:tc>
          <w:tcPr>
            <w:tcW w:w="73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ind w:left="360" w:hanging="50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Межосевое расстояние (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300</w:t>
            </w:r>
            <w:r>
              <w:rPr>
                <w:bCs/>
                <w:iCs/>
                <w:sz w:val="22"/>
                <w:szCs w:val="22"/>
                <w:lang w:val="en-US"/>
              </w:rPr>
              <w:t xml:space="preserve"> мм.</w:t>
            </w:r>
          </w:p>
        </w:tc>
        <w:tc>
          <w:tcPr>
            <w:tcW w:w="233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92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8" w:hRule="atLeast"/>
        </w:trPr>
        <w:tc>
          <w:tcPr>
            <w:tcW w:w="73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ind w:left="360" w:hanging="50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Передаточное число (</w:t>
            </w:r>
            <w:r>
              <w:rPr>
                <w:bCs/>
                <w:iCs/>
                <w:sz w:val="22"/>
                <w:szCs w:val="22"/>
              </w:rPr>
              <w:t>i</w:t>
            </w:r>
            <w:r>
              <w:rPr>
                <w:bCs/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24,5</w:t>
            </w:r>
          </w:p>
        </w:tc>
        <w:tc>
          <w:tcPr>
            <w:tcW w:w="233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92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96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Требования к разработке и согласованию рабочей документации</w:t>
            </w:r>
          </w:p>
        </w:tc>
        <w:tc>
          <w:tcPr>
            <w:tcW w:w="233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8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 xml:space="preserve">Поставщик обязан перед изготовлением продукции, направить на объект (Новосибирская ГЭС) специалистов для выполнения замеров габаритных размеров редукторов и выяснения всех необходимых нюансов для последующей разработки и согласования с Покупателем (АО «Гидроремонт-ВКК») и собственником оборудования (Новосибирская ГЭС) конструкторской документации (чертежи, спецификации и другое). 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 xml:space="preserve">При этом все командировочные и другие расходы (проезд, суточные, питание, проживание и другое) оплачиваются за счет Поставщика продукции. </w:t>
            </w:r>
          </w:p>
        </w:tc>
        <w:tc>
          <w:tcPr>
            <w:tcW w:w="233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617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Производственный участок АО «Гидроремонт-ВКК» в г. Новосибирск, 630056, Новосибирская обл., г. Новосибирск, ул. Новоморская, д. 4/1.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Приемка продукции</w:t>
            </w:r>
          </w:p>
        </w:tc>
        <w:tc>
          <w:tcPr>
            <w:tcW w:w="617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Приемка продукции осуществляется только в рабочие дни с 9-00 до 11-00 и с 13-00 до 16-00.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84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транспорта.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6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843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59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Сроки гарантии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hd w:val="clear" w:color="auto" w:fill="FFFFFF"/>
              <w:tabs>
                <w:tab w:val="clear" w:pos="720"/>
                <w:tab w:val="left" w:pos="1134" w:leader="none"/>
                <w:tab w:val="left" w:pos="1276" w:leader="none"/>
              </w:tabs>
              <w:spacing w:before="0" w:after="120"/>
              <w:contextualSpacing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На Продукцию устанавливается гарантийный срок, не менее 36 (тридцати шести)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right" w:pos="9911" w:leader="dot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false"/>
              <w:spacing w:before="0" w:after="60"/>
              <w:ind w:left="357" w:hanging="357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ab/>
              <w:t>Сертификат качества в 1 экз.;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ab/>
              <w:t>Технический паспорт на русском языке в 1 экз.;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ab/>
              <w:t>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ab/>
              <w:t>Упаковочный лист на Продукцию (каждую партию отгруженной Продукции) 1 экз.;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ab/>
              <w:t>Сертификат о происхождении Продукции в 1 экз.;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ab/>
              <w:t>Обязательные первичные документы: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shd w:fill="auto" w:val="clear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 или Транспортную накладную ((для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 (в ред. Постановления Правительства РФ от 21.12.2020 № 2200);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- Товарную накладную по форме ТОРГ-12 или Универсальный передаточный документ (УПД) с обязательным указанием номера и даты Заявки-Спецификации.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right" w:pos="9911" w:leader="dot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16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Прочие (дополнительные) требования к продукции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125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false"/>
              <w:spacing w:before="0" w:after="60"/>
              <w:ind w:left="357" w:hanging="357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8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быть новой, ранее не использовавшейся. 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 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right" w:pos="9911" w:leader="dot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type w:val="nextPage"/>
          <w:pgSz w:orient="landscape" w:w="16838" w:h="11906"/>
          <w:pgMar w:left="992" w:right="567" w:gutter="0" w:header="680" w:top="851" w:footer="737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1"/>
        </w:numPr>
        <w:ind w:left="0" w:hanging="0"/>
        <w:jc w:val="center"/>
        <w:rPr/>
      </w:pPr>
      <w:bookmarkStart w:id="17" w:name="_Toc54279844"/>
      <w:bookmarkStart w:id="18" w:name="_Toc54618151"/>
      <w:bookmarkStart w:id="19" w:name="_Toc54643137"/>
      <w:r>
        <w:rPr/>
        <w:t>Требования к документации по</w:t>
      </w:r>
      <w:r>
        <w:rPr>
          <w:lang w:val="ru-RU"/>
        </w:rPr>
        <w:t xml:space="preserve"> </w:t>
      </w:r>
      <w:r>
        <w:rPr/>
        <w:t>ценообразованию на этапе закупки</w:t>
      </w:r>
      <w:bookmarkEnd w:id="17"/>
      <w:bookmarkEnd w:id="18"/>
      <w:bookmarkEnd w:id="19"/>
    </w:p>
    <w:p>
      <w:pPr>
        <w:pStyle w:val="ListParagraph"/>
        <w:spacing w:before="80" w:after="0"/>
        <w:ind w:left="-142" w:firstLine="426"/>
        <w:contextualSpacing/>
        <w:jc w:val="both"/>
        <w:rPr>
          <w:rFonts w:eastAsia="MS PGothic"/>
          <w:lang w:eastAsia="ja-JP"/>
        </w:rPr>
      </w:pPr>
      <w:r>
        <w:rPr>
          <w:rFonts w:eastAsia="MS PGothic"/>
          <w:lang w:eastAsia="ja-JP"/>
        </w:rPr>
        <w:t xml:space="preserve">3.1. </w:t>
      </w:r>
      <w:r>
        <w:rPr>
          <w:iCs/>
        </w:rPr>
        <w:t xml:space="preserve">В обоснование стоимости своей заявки Участник предоставляет Коммерческое предложение по форме, приведённой в </w:t>
      </w:r>
      <w:r>
        <w:rPr>
          <w:rFonts w:eastAsia="MS PGothic"/>
          <w:lang w:eastAsia="ja-JP"/>
        </w:rPr>
        <w:t>Документации о закупке.</w:t>
      </w:r>
    </w:p>
    <w:p>
      <w:pPr>
        <w:pStyle w:val="ListParagraph"/>
        <w:spacing w:before="80" w:after="0"/>
        <w:ind w:left="-142" w:firstLine="426"/>
        <w:contextualSpacing/>
        <w:jc w:val="both"/>
        <w:rPr>
          <w:rFonts w:eastAsia="MS PGothic"/>
          <w:lang w:eastAsia="ja-JP"/>
        </w:rPr>
      </w:pPr>
      <w:r>
        <w:rPr>
          <w:rFonts w:eastAsia="MS PGothic"/>
          <w:lang w:eastAsia="ja-JP"/>
        </w:rPr>
        <w:t>3.2. Дополнительные документы по ценообразованию в состав заявки не включаются.</w:t>
      </w:r>
    </w:p>
    <w:p>
      <w:pPr>
        <w:pStyle w:val="Normal"/>
        <w:rPr>
          <w:sz w:val="20"/>
          <w:szCs w:val="20"/>
          <w:lang w:eastAsia="x-none"/>
        </w:rPr>
      </w:pPr>
      <w:r>
        <w:rPr>
          <w:sz w:val="20"/>
          <w:szCs w:val="20"/>
          <w:lang w:eastAsia="x-none"/>
        </w:rPr>
      </w:r>
    </w:p>
    <w:p>
      <w:pPr>
        <w:pStyle w:val="Normal"/>
        <w:keepNext w:val="true"/>
        <w:numPr>
          <w:ilvl w:val="0"/>
          <w:numId w:val="3"/>
        </w:numPr>
        <w:tabs>
          <w:tab w:val="clear" w:pos="720"/>
          <w:tab w:val="left" w:pos="-142" w:leader="none"/>
        </w:tabs>
        <w:spacing w:before="120" w:after="60"/>
        <w:ind w:left="0" w:firstLine="142"/>
        <w:jc w:val="both"/>
        <w:outlineLvl w:val="3"/>
        <w:rPr>
          <w:rFonts w:eastAsia="Calibri"/>
          <w:b/>
          <w:iCs/>
          <w:lang w:val="x-none"/>
        </w:rPr>
      </w:pPr>
      <w:bookmarkStart w:id="20" w:name="_Toc54646413"/>
      <w:r>
        <w:rPr>
          <w:rFonts w:eastAsia="Calibri"/>
          <w:b/>
          <w:iCs/>
          <w:lang w:val="x-none"/>
        </w:rPr>
        <w:t>Приложения</w:t>
      </w:r>
      <w:bookmarkEnd w:id="20"/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-142" w:leader="none"/>
        </w:tabs>
        <w:spacing w:before="120" w:after="60"/>
        <w:ind w:firstLine="142"/>
        <w:jc w:val="both"/>
        <w:outlineLvl w:val="3"/>
        <w:rPr>
          <w:sz w:val="20"/>
          <w:szCs w:val="20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>Приложение</w:t>
      </w:r>
      <w:r>
        <w:rPr>
          <w:lang w:val="en-US"/>
        </w:rPr>
        <w:t xml:space="preserve">: </w:t>
      </w:r>
      <w:r>
        <w:rPr>
          <w:bCs/>
          <w:iCs/>
          <w:sz w:val="24"/>
          <w:szCs w:val="24"/>
        </w:rPr>
        <w:t>чертеж Р46 000.</w:t>
      </w:r>
    </w:p>
    <w:sectPr>
      <w:headerReference w:type="default" r:id="rId11"/>
      <w:headerReference w:type="first" r:id="rId12"/>
      <w:footerReference w:type="default" r:id="rId13"/>
      <w:footerReference w:type="first" r:id="rId14"/>
      <w:type w:val="nextPage"/>
      <w:pgSz w:w="11906" w:h="16838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0604607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7152410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9234257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8878855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77198040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6810974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5B4911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B49112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i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i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ed75d2"/>
    <w:pPr>
      <w:keepNext w:val="true"/>
      <w:tabs>
        <w:tab w:val="clear" w:pos="720"/>
        <w:tab w:val="left" w:pos="0" w:leader="none"/>
      </w:tabs>
      <w:spacing w:before="120" w:after="60"/>
      <w:ind w:left="1224" w:hanging="504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ed75d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Нижний колонтитул Знак"/>
    <w:basedOn w:val="DefaultParagraphFont"/>
    <w:uiPriority w:val="99"/>
    <w:qFormat/>
    <w:rsid w:val="002c67f2"/>
    <w:rPr>
      <w:sz w:val="28"/>
      <w:szCs w:val="28"/>
    </w:rPr>
  </w:style>
  <w:style w:type="character" w:styleId="Linenumber">
    <w:name w:val="line number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30z1" w:customStyle="1">
    <w:name w:val="WW8Num30z1"/>
    <w:qFormat/>
    <w:rPr/>
  </w:style>
  <w:style w:type="character" w:styleId="WW8Num15z0" w:customStyle="1">
    <w:name w:val="WW8Num15z0"/>
    <w:qFormat/>
    <w:rPr/>
  </w:style>
  <w:style w:type="character" w:styleId="WW8Num16z0" w:customStyle="1">
    <w:name w:val="WW8Num16z0"/>
    <w:qFormat/>
    <w:rPr/>
  </w:style>
  <w:style w:type="character" w:styleId="WW8Num22z0" w:customStyle="1">
    <w:name w:val="WW8Num22z0"/>
    <w:qFormat/>
    <w:rPr/>
  </w:style>
  <w:style w:type="character" w:styleId="WW8Num18z0" w:customStyle="1">
    <w:name w:val="WW8Num18z0"/>
    <w:qFormat/>
    <w:rPr/>
  </w:style>
  <w:style w:type="character" w:styleId="WW8Num37z0" w:customStyle="1">
    <w:name w:val="WW8Num37z0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>
      <w:b w:val="false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Greenbg" w:customStyle="1">
    <w:name w:val="greenbg"/>
    <w:basedOn w:val="DefaultParagraphFont"/>
    <w:qFormat/>
    <w:rsid w:val="007319fe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1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14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4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tabs>
        <w:tab w:val="clear" w:pos="720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tabs>
        <w:tab w:val="clear" w:pos="720"/>
        <w:tab w:val="left" w:pos="357" w:leader="none"/>
      </w:tabs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tabs>
        <w:tab w:val="clear" w:pos="720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tabs>
        <w:tab w:val="clear" w:pos="720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tabs>
        <w:tab w:val="clear" w:pos="720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tabs>
        <w:tab w:val="clear" w:pos="720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tabs>
        <w:tab w:val="clear" w:pos="720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tabs>
        <w:tab w:val="clear" w:pos="720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tabs>
        <w:tab w:val="clear" w:pos="720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tabs>
        <w:tab w:val="clear" w:pos="720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tabs>
        <w:tab w:val="clear" w:pos="720"/>
        <w:tab w:val="left" w:pos="0" w:leader="none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1" w:customStyle="1">
    <w:name w:val="Обычный1"/>
    <w:qFormat/>
    <w:rsid w:val="009e6f9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29" w:customStyle="1">
    <w:name w:val="Обычный2"/>
    <w:qFormat/>
    <w:rsid w:val="009e6f9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andard" w:customStyle="1">
    <w:name w:val="Standard"/>
    <w:qFormat/>
    <w:rsid w:val="00ae6338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eastAsia="en-US" w:val="ru-RU" w:bidi="ar-SA"/>
    </w:rPr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WW8Num30" w:customStyle="1">
    <w:name w:val="WW8Num30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22" w:customStyle="1">
    <w:name w:val="WW8Num22"/>
    <w:qFormat/>
  </w:style>
  <w:style w:type="numbering" w:styleId="WW8Num18" w:customStyle="1">
    <w:name w:val="WW8Num18"/>
    <w:qFormat/>
  </w:style>
  <w:style w:type="numbering" w:styleId="WW8Num37" w:customStyle="1">
    <w:name w:val="WW8Num37"/>
    <w:qFormat/>
  </w:style>
  <w:style w:type="numbering" w:styleId="WW8Num29" w:customStyle="1">
    <w:name w:val="WW8Num29"/>
    <w:qFormat/>
  </w:style>
  <w:style w:type="numbering" w:styleId="WW8Num8" w:customStyle="1">
    <w:name w:val="WW8Num8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footer" Target="footer5.xml"/><Relationship Id="rId14" Type="http://schemas.openxmlformats.org/officeDocument/2006/relationships/footer" Target="footer6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B2962-485B-4EA8-ABB7-A41C15A3D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Application>AlterOffice/3.4.0.9$Linux_X86_64 LibreOffice_project/b8daf9e823b1a5463a2f48435ddc2e8696e7d4fc</Application>
  <AppVersion>15.0000</AppVersion>
  <Pages>6</Pages>
  <Words>784</Words>
  <Characters>5469</Characters>
  <CharactersWithSpaces>6131</CharactersWithSpaces>
  <Paragraphs>117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2026-08-12T01:50:00Z</dcterms:created>
  <dc:creator>Быстров Олег Геннадьевич</dc:creator>
  <dc:description/>
  <dc:language>ru-RU</dc:language>
  <cp:lastModifiedBy>kochetovsv@corp.gidroogk.com</cp:lastModifiedBy>
  <cp:lastPrinted>2024-05-21T13:52:00Z</cp:lastPrinted>
  <dcterms:modified xsi:type="dcterms:W3CDTF">2026-10-27T11:32:23Z</dcterms:modified>
  <cp:revision>22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