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ind w:left="3686"/>
        <w:rPr>
          <w:sz w:val="22"/>
          <w:szCs w:val="26"/>
        </w:rPr>
      </w:pPr>
      <w:r>
        <w:rPr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</w:rPr>
      </w:pPr>
      <w:r>
        <w:rPr>
          <w:rFonts w:eastAsia="Calibri"/>
          <w:b/>
          <w:sz w:val="24"/>
        </w:rPr>
        <w:t xml:space="preserve">Технические </w:t>
      </w:r>
      <w:r>
        <w:rPr>
          <w:rFonts w:eastAsia="Calibri"/>
          <w:b/>
          <w:sz w:val="24"/>
        </w:rPr>
        <w:t>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</w:rPr>
      </w:pPr>
      <w:r>
        <w:rPr>
          <w:rFonts w:eastAsia="Calibri"/>
          <w:b/>
          <w:sz w:val="24"/>
        </w:rPr>
        <w:t>на выполнение работ:</w:t>
      </w:r>
    </w:p>
    <w:p>
      <w:pPr>
        <w:pStyle w:val="Normal"/>
        <w:keepNext w:val="true"/>
        <w:keepLines/>
        <w:jc w:val="center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  <w:t>«ОКПД2 42.91.20.190. Монтаж гермозоны и системы кондиционирования щита автоматики САУ ГА№</w:t>
      </w:r>
      <w:r>
        <w:rPr>
          <w:b/>
          <w:bCs/>
          <w:sz w:val="24"/>
          <w:szCs w:val="26"/>
        </w:rPr>
        <w:t>4</w:t>
      </w:r>
      <w:r>
        <w:rPr>
          <w:b/>
          <w:bCs/>
          <w:sz w:val="24"/>
          <w:szCs w:val="26"/>
        </w:rPr>
        <w:t xml:space="preserve"> Чиркейской ГЭС»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</w:rPr>
      </w:pPr>
      <w:bookmarkStart w:id="0" w:name="_Toc54646395"/>
      <w:bookmarkStart w:id="1" w:name="_Toc51339692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54646396"/>
      <w:bookmarkStart w:id="3" w:name="_Toc46743505"/>
      <w:r>
        <w:rPr/>
        <w:t>Обозначения и сокращения</w:t>
      </w:r>
      <w:bookmarkEnd w:id="2"/>
      <w:bookmarkEnd w:id="3"/>
    </w:p>
    <w:tbl>
      <w:tblPr>
        <w:tblStyle w:val="affffb"/>
        <w:tblW w:w="9920" w:type="dxa"/>
        <w:jc w:val="left"/>
        <w:tblInd w:w="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05"/>
        <w:gridCol w:w="8214"/>
      </w:tblGrid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ГЭС</w:t>
            </w:r>
          </w:p>
        </w:tc>
        <w:tc>
          <w:tcPr>
            <w:tcW w:w="821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Гидроэлектростанция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ГА</w:t>
            </w:r>
          </w:p>
        </w:tc>
        <w:tc>
          <w:tcPr>
            <w:tcW w:w="821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en-US" w:eastAsia="ru-RU" w:bidi="ar-SA"/>
              </w:rPr>
              <w:t>Г</w:t>
            </w: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идроагрегат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ГГ</w:t>
            </w:r>
          </w:p>
        </w:tc>
        <w:tc>
          <w:tcPr>
            <w:tcW w:w="821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Гидрогенератор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СМР</w:t>
            </w:r>
          </w:p>
        </w:tc>
        <w:tc>
          <w:tcPr>
            <w:tcW w:w="8214" w:type="dxa"/>
            <w:tcBorders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jc w:val="both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С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троительно-монтажные работы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ПНР</w:t>
            </w:r>
          </w:p>
        </w:tc>
        <w:tc>
          <w:tcPr>
            <w:tcW w:w="821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Пусконаладочные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работы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СД</w:t>
            </w:r>
          </w:p>
        </w:tc>
        <w:tc>
          <w:tcPr>
            <w:tcW w:w="8214" w:type="dxa"/>
            <w:tcBorders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jc w:val="both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Сметная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документация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ТТ</w:t>
            </w:r>
          </w:p>
        </w:tc>
        <w:tc>
          <w:tcPr>
            <w:tcW w:w="8214" w:type="dxa"/>
            <w:tcBorders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jc w:val="both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Технические требования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ППР</w:t>
            </w:r>
          </w:p>
        </w:tc>
        <w:tc>
          <w:tcPr>
            <w:tcW w:w="8214" w:type="dxa"/>
            <w:tcBorders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jc w:val="both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Проект производства работ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САУ ГА</w:t>
            </w:r>
          </w:p>
        </w:tc>
        <w:tc>
          <w:tcPr>
            <w:tcW w:w="821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Система автоматизированного управления гидроагрегата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ФЗ</w:t>
            </w:r>
          </w:p>
        </w:tc>
        <w:tc>
          <w:tcPr>
            <w:tcW w:w="821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Федеральный закон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СТО</w:t>
            </w:r>
          </w:p>
        </w:tc>
        <w:tc>
          <w:tcPr>
            <w:tcW w:w="8214" w:type="dxa"/>
            <w:tcBorders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jc w:val="both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en-US" w:eastAsia="ru-RU" w:bidi="ar-SA"/>
              </w:rPr>
              <w:t>С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тандарт организации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ПУЭ</w:t>
            </w:r>
          </w:p>
        </w:tc>
        <w:tc>
          <w:tcPr>
            <w:tcW w:w="821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Правила устройства электроустановок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НПБ</w:t>
            </w:r>
          </w:p>
        </w:tc>
        <w:tc>
          <w:tcPr>
            <w:tcW w:w="821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Нормы промышленной безопасности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НТД</w:t>
            </w:r>
          </w:p>
        </w:tc>
        <w:tc>
          <w:tcPr>
            <w:tcW w:w="821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Нормативно-техническая документация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МТР</w:t>
            </w:r>
          </w:p>
        </w:tc>
        <w:tc>
          <w:tcPr>
            <w:tcW w:w="8214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Материально-технические ресурсы</w:t>
            </w:r>
          </w:p>
        </w:tc>
      </w:tr>
      <w:tr>
        <w:trPr/>
        <w:tc>
          <w:tcPr>
            <w:tcW w:w="170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ППБ</w:t>
            </w:r>
          </w:p>
        </w:tc>
        <w:tc>
          <w:tcPr>
            <w:tcW w:w="8214" w:type="dxa"/>
            <w:tcBorders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jc w:val="both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Правила пожарной безопасности</w:t>
            </w:r>
          </w:p>
        </w:tc>
      </w:tr>
    </w:tbl>
    <w:p>
      <w:pPr>
        <w:pStyle w:val="BodyText"/>
        <w:spacing w:before="0" w:after="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keepNext w:val="true"/>
        <w:keepLines/>
        <w:rPr>
          <w:b/>
          <w:sz w:val="24"/>
        </w:rPr>
      </w:pPr>
      <w:r>
        <w:rPr>
          <w:b/>
          <w:sz w:val="24"/>
        </w:rPr>
        <w:t xml:space="preserve">1.2. </w:t>
      </w:r>
      <w:bookmarkStart w:id="4" w:name="_Toc54646397"/>
      <w:bookmarkStart w:id="5" w:name="_Toc46743506"/>
      <w:r>
        <w:rPr>
          <w:b/>
          <w:sz w:val="24"/>
        </w:rPr>
        <w:t xml:space="preserve">Наименование </w:t>
      </w:r>
      <w:bookmarkEnd w:id="4"/>
      <w:bookmarkEnd w:id="5"/>
      <w:r>
        <w:rPr>
          <w:b/>
          <w:sz w:val="24"/>
        </w:rPr>
        <w:t>Работ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iCs/>
          <w:sz w:val="24"/>
          <w:szCs w:val="24"/>
        </w:rPr>
        <w:t>Выполнение работ по монтажу алюминиевых конструкций и системы кондиционирования гермозоны Чиркейской ГЭС.</w:t>
      </w:r>
    </w:p>
    <w:p>
      <w:pPr>
        <w:pStyle w:val="Heading4"/>
        <w:spacing w:before="240" w:after="60"/>
        <w:ind w:hanging="0" w:left="0"/>
        <w:rPr/>
      </w:pPr>
      <w:r>
        <w:rPr>
          <w:bCs w:val="false"/>
        </w:rPr>
        <w:t>1.3.</w:t>
      </w:r>
      <w:r>
        <w:rPr>
          <w:b w:val="false"/>
          <w:bCs w:val="false"/>
        </w:rPr>
        <w:t xml:space="preserve"> </w:t>
      </w:r>
      <w:bookmarkStart w:id="6" w:name="_Toc54646398"/>
      <w:bookmarkStart w:id="7" w:name="_Toc46743507"/>
      <w:r>
        <w:rPr/>
        <w:t>Цель</w:t>
      </w:r>
      <w:bookmarkEnd w:id="7"/>
      <w:r>
        <w:rPr/>
        <w:t xml:space="preserve"> выполнения работ</w:t>
      </w:r>
      <w:bookmarkEnd w:id="6"/>
    </w:p>
    <w:p>
      <w:pPr>
        <w:pStyle w:val="Normal"/>
        <w:tabs>
          <w:tab w:val="clear" w:pos="708"/>
          <w:tab w:val="left" w:pos="142" w:leader="none"/>
        </w:tabs>
        <w:jc w:val="both"/>
        <w:rPr>
          <w:iCs/>
        </w:rPr>
      </w:pPr>
      <w:r>
        <w:rPr>
          <w:rFonts w:cs="Tahoma"/>
          <w:bCs/>
          <w:iCs/>
          <w:sz w:val="24"/>
          <w:szCs w:val="24"/>
        </w:rPr>
        <w:t xml:space="preserve">Целью работы является </w:t>
      </w:r>
      <w:r>
        <w:rPr>
          <w:iCs/>
          <w:sz w:val="24"/>
          <w:szCs w:val="24"/>
        </w:rPr>
        <w:t>выполнение комплекса строительно-монтажных и пусконаладочных работ с целью о</w:t>
      </w:r>
      <w:r>
        <w:rPr>
          <w:rFonts w:cs="Tahoma"/>
          <w:bCs/>
          <w:iCs/>
          <w:sz w:val="24"/>
          <w:szCs w:val="24"/>
        </w:rPr>
        <w:t>беспечения контролируемого микроклимата и круглосуточного поддержания в помещении температуры для нормальной работы активного и пассивного телекоммуникационного оборудования, а также исключения негативного воздействия строительной пыли, образующейся в ходе реконструкции в машинном зале Чиркейской ГЭС.</w:t>
      </w:r>
    </w:p>
    <w:p>
      <w:pPr>
        <w:pStyle w:val="Heading4"/>
        <w:ind w:hanging="0" w:left="0"/>
        <w:rPr/>
      </w:pPr>
      <w:r>
        <w:rPr>
          <w:bCs w:val="false"/>
        </w:rPr>
        <w:t>1.4.</w:t>
      </w:r>
      <w:r>
        <w:rPr/>
        <w:t xml:space="preserve"> </w:t>
      </w:r>
      <w:bookmarkStart w:id="8" w:name="_Toc46743508"/>
      <w:bookmarkStart w:id="9" w:name="_Toc54646399"/>
      <w:r>
        <w:rPr/>
        <w:t>Существующее положени</w:t>
      </w:r>
      <w:bookmarkEnd w:id="8"/>
      <w:bookmarkEnd w:id="9"/>
      <w:r>
        <w:rPr/>
        <w:t>е</w:t>
      </w:r>
    </w:p>
    <w:p>
      <w:pPr>
        <w:pStyle w:val="Normal"/>
        <w:spacing w:before="120" w:after="60"/>
        <w:jc w:val="both"/>
        <w:rPr>
          <w:iCs/>
        </w:rPr>
      </w:pPr>
      <w:r>
        <w:rPr>
          <w:iCs/>
          <w:sz w:val="24"/>
          <w:szCs w:val="24"/>
        </w:rPr>
        <w:t xml:space="preserve">В связи с демонтажом устаревшей конструкции гермозоны, возникла необходимость установки новой гермозоны, оснащенной системой кондиционирования.  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b w:val="false"/>
          <w:sz w:val="24"/>
          <w:szCs w:val="24"/>
        </w:rPr>
      </w:pPr>
      <w:r>
        <w:rPr>
          <w:sz w:val="24"/>
          <w:szCs w:val="24"/>
        </w:rPr>
        <w:t>1.5.</w:t>
      </w:r>
      <w:r>
        <w:rPr>
          <w:b w:val="false"/>
          <w:sz w:val="24"/>
          <w:szCs w:val="24"/>
        </w:rPr>
        <w:t xml:space="preserve"> </w:t>
      </w:r>
      <w:bookmarkStart w:id="10" w:name="_Hlk48209761"/>
      <w:r>
        <w:rPr>
          <w:sz w:val="24"/>
          <w:szCs w:val="24"/>
        </w:rPr>
        <w:t>Особые условия выполнения работ: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iCs/>
        </w:rPr>
      </w:pPr>
      <w:r>
        <w:rPr>
          <w:iCs/>
          <w:sz w:val="24"/>
          <w:szCs w:val="24"/>
        </w:rPr>
        <w:t>Производство работ осуществляется на территории действующего предприятия с наличием следующих факторов: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iCs/>
        </w:rPr>
      </w:pPr>
      <w:r>
        <w:rPr>
          <w:iCs/>
          <w:sz w:val="24"/>
          <w:szCs w:val="24"/>
        </w:rPr>
        <w:t>- работы проводятся вблизи объектов, находящихся под напряжением;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iCs/>
        </w:rPr>
      </w:pPr>
      <w:r>
        <w:rPr>
          <w:iCs/>
          <w:sz w:val="24"/>
          <w:szCs w:val="24"/>
        </w:rPr>
        <w:t>- производство работ осуществляется в помещениях эксплуатируемого объекта капитального строительства без остановки рабочего процесса предприятия, при этом в зоне производства работ отсутствует загромождающие помещения предметы и оборудование (Здание ГЭС).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1.6.</w:t>
      </w:r>
      <w:r>
        <w:rPr>
          <w:b/>
          <w:bCs/>
          <w:sz w:val="24"/>
          <w:szCs w:val="24"/>
        </w:rPr>
        <w:t xml:space="preserve"> Основные требования к системе кондиционирования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1.6.1. Для кондиционирования воздуха в серверном помещении необходимо использовать два полупромышленных кассетных кондиционера потолочного типа. Расчет требуемой мощности на отдельно на каждый кондиционер осуществляется исходя из представленных исходных данных (Приложение №5 к ТЗ), относительно фактической потребляемой мощности установленных шкафов САУ ГА№</w:t>
      </w:r>
      <w:r>
        <w:rPr>
          <w:iCs/>
          <w:sz w:val="24"/>
          <w:szCs w:val="24"/>
        </w:rPr>
        <w:t>4</w:t>
      </w:r>
      <w:r>
        <w:rPr>
          <w:iCs/>
          <w:sz w:val="24"/>
          <w:szCs w:val="24"/>
        </w:rPr>
        <w:t>, с учетом запаса мощности 15%. Также необходимо предусмотреть устройство ротации кондиционеров (чередование работы) двух кондиционеров с заданным периодом времени или совместную работу двух кондиционеров для обеспечения нормального температурного режима в помещении при различных внешних климатических условиях и изменяющейся выделяемой мощности работающим оборудованием. Время ротации от 1 до 48 часов.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Внешний блок кондиционера необходимо разместить на стене вблизи гермозоны.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Слив конденсата от кондиционера необходимо предусмотреть самотеком в дренажную систему станции.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1.6.2. Требования к электроснабжению и автоматизации системы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Электроснабжение должно быть обеспечено от щита электроснабжения. Определение точек подключения кондиционеров является зоной ответственности Заказчика.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tabs>
          <w:tab w:val="left" w:pos="0" w:leader="none"/>
          <w:tab w:val="left" w:pos="993" w:leader="none"/>
        </w:tabs>
        <w:ind w:firstLine="709" w:left="0"/>
        <w:rPr>
          <w:sz w:val="24"/>
          <w:szCs w:val="24"/>
        </w:rPr>
      </w:pPr>
      <w:bookmarkStart w:id="11" w:name="_Toc46743510"/>
      <w:bookmarkStart w:id="12" w:name="_Toc54646403"/>
      <w:bookmarkStart w:id="13" w:name="_Toc51339693"/>
      <w:bookmarkEnd w:id="10"/>
      <w:bookmarkEnd w:id="11"/>
      <w:r>
        <w:rPr>
          <w:iCs/>
          <w:sz w:val="24"/>
        </w:rPr>
        <w:t>Требования к выполнению Работ</w:t>
      </w:r>
      <w:bookmarkStart w:id="14" w:name="_Toc54646406"/>
      <w:bookmarkStart w:id="15" w:name="_Toc51339695"/>
      <w:bookmarkEnd w:id="12"/>
      <w:bookmarkEnd w:id="13"/>
    </w:p>
    <w:p>
      <w:pPr>
        <w:pStyle w:val="Heading1"/>
        <w:keepLines/>
        <w:tabs>
          <w:tab w:val="left" w:pos="0" w:leader="none"/>
          <w:tab w:val="left" w:pos="1418" w:leader="none"/>
        </w:tabs>
        <w:ind w:hanging="0" w:left="709"/>
        <w:rPr>
          <w:sz w:val="24"/>
          <w:szCs w:val="24"/>
        </w:rPr>
      </w:pPr>
      <w:r>
        <w:rPr>
          <w:sz w:val="24"/>
          <w:szCs w:val="24"/>
        </w:rPr>
        <w:t xml:space="preserve">Таблица 2. Перечень </w:t>
      </w:r>
      <w:bookmarkEnd w:id="15"/>
      <w:r>
        <w:rPr>
          <w:sz w:val="24"/>
          <w:szCs w:val="24"/>
        </w:rPr>
        <w:t>и объем выполняемых Бабот</w:t>
      </w:r>
      <w:bookmarkEnd w:id="14"/>
    </w:p>
    <w:tbl>
      <w:tblPr>
        <w:tblW w:w="10230" w:type="dxa"/>
        <w:jc w:val="left"/>
        <w:tblInd w:w="103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5564"/>
        <w:gridCol w:w="831"/>
        <w:gridCol w:w="2985"/>
      </w:tblGrid>
      <w:tr>
        <w:trPr/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этапа</w:t>
            </w:r>
          </w:p>
        </w:tc>
        <w:tc>
          <w:tcPr>
            <w:tcW w:w="5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работ / этапа работ</w:t>
            </w:r>
          </w:p>
        </w:tc>
        <w:tc>
          <w:tcPr>
            <w:tcW w:w="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Требование Заказчика</w:t>
            </w:r>
          </w:p>
        </w:tc>
      </w:tr>
      <w:tr>
        <w:trPr/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>
        <w:trPr>
          <w:trHeight w:val="1550" w:hRule="atLeast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ind w:hanging="160"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Строительно-монтажные конструкции гермозоны: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подготовительные работы (ознакомление с местом производства работ, разработка календарного графика производства работ, разработка ППР, поставка материалов, оборудования и комплектующих):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монтаж каркаса конструкции гермозоны;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монтаж потолочного перекрытия (класс пожарной опасности К0, К1) на обе гермозоны;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монтаж витража и дверей и окон;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монтаж освещения в помещении гермозоны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412" w:leader="none"/>
              </w:tabs>
              <w:ind w:hanging="0" w:left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отделочные работы внутренней бетонной стены гермозоны с применением гипсокартона, металлического профиля, крепежных комплектующих, сухих смесей, включая окончательную отделку поверхности (грунтование, шпатлевка, побелка).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предоставление Заказчику актов и исполнительной документации.</w:t>
            </w:r>
          </w:p>
        </w:tc>
        <w:tc>
          <w:tcPr>
            <w:tcW w:w="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Комп.</w:t>
            </w:r>
          </w:p>
        </w:tc>
        <w:tc>
          <w:tcPr>
            <w:tcW w:w="2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приложением №1 к Т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 (Эскиз гермозоны).</w:t>
            </w:r>
          </w:p>
        </w:tc>
      </w:tr>
      <w:tr>
        <w:trPr>
          <w:trHeight w:val="556" w:hRule="atLeast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ind w:hanging="160"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Требования к системе кондиционирования: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Поставка, монтаж и подключение к системе электроснабжения кассетных кондиционеров потолочного типа;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монтаж дренажной системы (отвод конденсата)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пусконаладочные работы системы кондиционирования;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приёмо-сдаточные испытания;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предоставление Заказчику актов и исполнитель-ной документации.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Параметры требуемых кондиционеров: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Внутренний блок кондиционера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Тип. Кассетный, круглопоточный.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Холодопроизводительность. Не менее 10 кВт.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Теплопроизводительность. Не менее 11 кВт.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Расход воздуха. Не менее 1300 м³/ч.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Уровень шума. Не более 50 дБ.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Напряжение питания. 220 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Наружный блок кондиционера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Уровень шума. Не более 60 дБ.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Диапазон рабочих температур. Охлаждение: от −40 °C до +46 °C; обогрев: от −15 °C до +15,5 °C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12" w:leader="none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Электропитание. 220 В.</w:t>
            </w:r>
          </w:p>
        </w:tc>
        <w:tc>
          <w:tcPr>
            <w:tcW w:w="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Комп.</w:t>
            </w:r>
          </w:p>
        </w:tc>
        <w:tc>
          <w:tcPr>
            <w:tcW w:w="2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 требуемой мощности отдельно на каждый кондиционер осуществляется исходя из представленных исходных данных (Приложение №5 к ТТ), относительно фактической потребляемой мощности установленных шкафов САУ ГА№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, с учетом запаса мощности 15%.</w:t>
            </w:r>
          </w:p>
          <w:p>
            <w:pPr>
              <w:pStyle w:val="Normal"/>
              <w:widowControl w:val="false"/>
              <w:shd w:val="clear" w:color="auto" w:fill="FFFFFF" w:themeFill="background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  <w:bookmarkStart w:id="16" w:name="_Toc46743510"/>
      <w:bookmarkStart w:id="17" w:name="_Toc46743510"/>
      <w:bookmarkEnd w:id="17"/>
    </w:p>
    <w:p>
      <w:pPr>
        <w:pStyle w:val="Heading4"/>
        <w:numPr>
          <w:ilvl w:val="1"/>
          <w:numId w:val="3"/>
        </w:numPr>
        <w:rPr/>
      </w:pPr>
      <w:bookmarkStart w:id="18" w:name="_Toc54646410"/>
      <w:r>
        <w:rPr/>
        <w:t>Требования к качеству Работ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19" w:name="_Toc51339698"/>
      <w:r>
        <w:rPr>
          <w:sz w:val="24"/>
          <w:szCs w:val="24"/>
        </w:rPr>
        <w:t xml:space="preserve">Таблица 4. Требования к </w:t>
      </w:r>
      <w:bookmarkEnd w:id="19"/>
      <w:r>
        <w:rPr>
          <w:sz w:val="24"/>
          <w:szCs w:val="24"/>
        </w:rPr>
        <w:t>качеству работ</w:t>
      </w:r>
      <w:bookmarkEnd w:id="18"/>
    </w:p>
    <w:tbl>
      <w:tblPr>
        <w:tblW w:w="1021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1"/>
        <w:gridCol w:w="2516"/>
        <w:gridCol w:w="6868"/>
      </w:tblGrid>
      <w:tr>
        <w:trPr>
          <w:trHeight w:val="253" w:hRule="atLeast"/>
        </w:trPr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6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</w:tr>
      <w:tr>
        <w:trPr>
          <w:trHeight w:val="253" w:hRule="atLeast"/>
        </w:trPr>
        <w:tc>
          <w:tcPr>
            <w:tcW w:w="8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5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6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Общие требования к выполнению работ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Работы выполняются в соответствии эскизом гермозоны (Приложение №1 к ТЗ)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При выполнении работ Подрядчик должен руководствоваться Национальными, отраслевыми и корпоративными (ПАО «РусГидро») нормативно-техническими документами и нормативными документами с последними изменениями и дополнениями (в действующей редакции):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«Правил устройства электроустановок» издание 7, утв. Приказом Минэнерго РФ от 08.07.2002 N 204;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«Правил технической эксплуатации электрических станций и сетей РФ», утвержденными приказом Минэнерго РФ от 19.06.2003 № 229;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Правила технического обслуживания устройств и комплексов релейной защиты и автоматики. Утверждены приказом Минэнерго России от 13.07.2020 № 555 «Об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систем, надежности и безопасности объектов электроэнергетики и энергопринимающих установок;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«Правила организации технического обслуживания и ремонта объектов электроэнергетики», утвержденные приказом Минэнерго России от 25 октября 2017 г. № 1013».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Приказа Минэнерго России от 4 октября 2022 г. № 1070 «Об утверждении Правил технической эксплуатации электрических станций и сетей Российской Федерации.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 xml:space="preserve">СП 76.13330.2016 — свод правил «Электротехнические устройства», актуализированная редакция СНиП 3.05.06-85, </w:t>
            </w:r>
            <w:hyperlink r:id="rId2">
              <w:r>
                <w:rPr>
                  <w:rStyle w:val="Hyperlink"/>
                  <w:iCs/>
                  <w:sz w:val="22"/>
                  <w:szCs w:val="22"/>
                </w:rPr>
                <w:t>https://docs.cntd.ru/document/456050591</w:t>
              </w:r>
            </w:hyperlink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Соблюдение при выполнении работ норм и правил нормативно-технических документов</w:t>
            </w:r>
          </w:p>
          <w:p>
            <w:pPr>
              <w:pStyle w:val="Style3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contextualSpacing/>
              <w:jc w:val="left"/>
              <w:outlineLvl w:val="2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При выполнении работ 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0"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Правилами технической эксплуатации электрических станций и сетей Российской Федерации. (утв. приказом Минэнерго Российской Федерации от 19.06.2003 №229);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0"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Положением</w:t>
            </w:r>
            <w:r>
              <w:rPr>
                <w:rFonts w:eastAsia="Times New Roman"/>
                <w:b/>
                <w:iCs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bCs/>
                <w:iCs/>
                <w:sz w:val="22"/>
                <w:szCs w:val="22"/>
              </w:rPr>
              <w:t>об организации и выполнении технического обслуживания и ремонта оборудования 21-002-2019</w:t>
            </w:r>
            <w:r>
              <w:rPr>
                <w:iCs/>
                <w:spacing w:val="-4"/>
                <w:sz w:val="22"/>
                <w:szCs w:val="22"/>
              </w:rPr>
              <w:t>. При выполнении работ Подрядчик должен руководствоваться следующими национальными, отраслевыми и корпоративными НТД: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</w:t>
            </w:r>
            <w:r>
              <w:rPr>
                <w:iCs/>
                <w:spacing w:val="-4"/>
                <w:sz w:val="22"/>
                <w:szCs w:val="22"/>
              </w:rPr>
              <w:t>Федеральный закон №7-ФЗ от 10.01.2002 «Об охране окружающей среды»;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</w:t>
            </w:r>
            <w:r>
              <w:rPr>
                <w:iCs/>
                <w:spacing w:val="-4"/>
                <w:sz w:val="22"/>
                <w:szCs w:val="22"/>
              </w:rPr>
              <w:t>Федеральный закон №89-ФЗ от 24.06.1998 «Об отходах производства и потребления»;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</w:t>
            </w:r>
            <w:r>
              <w:rPr>
                <w:iCs/>
                <w:spacing w:val="-4"/>
                <w:sz w:val="22"/>
                <w:szCs w:val="22"/>
              </w:rPr>
              <w:t>Федеральный закон от 22 июля 2008 г. N 123-ФЗ «Технический регламент о требованиях пожарной безопасности»;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</w:t>
            </w:r>
            <w:r>
              <w:rPr>
                <w:iCs/>
                <w:spacing w:val="-4"/>
                <w:sz w:val="22"/>
                <w:szCs w:val="22"/>
              </w:rPr>
              <w:t>Постановление Правительства РФ от 16 сентября 2020 года № 1479 «Об утверждении Правил противопожарного режима в Российской Федерации»;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</w:t>
            </w:r>
            <w:r>
              <w:rPr>
                <w:iCs/>
                <w:spacing w:val="-4"/>
                <w:sz w:val="22"/>
                <w:szCs w:val="22"/>
              </w:rPr>
              <w:t>«Правила по охране труда при эксплуатации электроустановок», утвержденные Приказом Минтруда от 15 декабря 2020 года N 903н;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</w:t>
            </w:r>
            <w:r>
              <w:rPr>
                <w:iCs/>
                <w:spacing w:val="-4"/>
                <w:sz w:val="22"/>
                <w:szCs w:val="22"/>
              </w:rPr>
              <w:t>«Правила безопасности опасных производственных объектов, на которых используются подъемные сооружения" (далее - ФНП) N 461, от 26.11.2020;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 • </w:t>
            </w:r>
            <w:r>
              <w:rPr>
                <w:iCs/>
                <w:spacing w:val="-4"/>
                <w:sz w:val="22"/>
                <w:szCs w:val="22"/>
              </w:rPr>
              <w:t>«Правила по охране труда при строительстве, реконструкции и ремонте» от 11.12.2020 N 883н (ред. от 29.04.2025).;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 </w:t>
            </w:r>
            <w:r>
              <w:rPr>
                <w:iCs/>
                <w:spacing w:val="-4"/>
                <w:sz w:val="22"/>
                <w:szCs w:val="22"/>
              </w:rPr>
              <w:t>СП 48.13330.2019 Свод правил. Организация строительства, СНиП 12-01-2004 (редакция от 28.03.2022);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</w:t>
            </w:r>
            <w:r>
              <w:rPr>
                <w:iCs/>
                <w:spacing w:val="-4"/>
                <w:sz w:val="22"/>
                <w:szCs w:val="22"/>
              </w:rPr>
              <w:t>Правила организации технического обслуживания и ремонта объектов электроэнергетики от 25 октября 2017 г. N 1013 (редакция от 19.12.2023);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</w:t>
            </w:r>
            <w:r>
              <w:rPr>
                <w:iCs/>
                <w:spacing w:val="-4"/>
                <w:sz w:val="22"/>
                <w:szCs w:val="22"/>
              </w:rPr>
              <w:t>Правила по охране труда при выполнении электросварочных и газосварочных работ от 11.12.2020 N 884н (редакция от 29.04.2025);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</w:t>
            </w:r>
            <w:r>
              <w:rPr>
                <w:iCs/>
                <w:spacing w:val="-4"/>
                <w:sz w:val="22"/>
                <w:szCs w:val="22"/>
              </w:rPr>
              <w:t>Приказ Министерства труда и социальной защиты РФ от 27 ноября 2020 г. N 835н "Об утверждении Правил по охране труда при работе с инструментом и приспособлениями" (редакция от 29.04.2025);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</w:t>
            </w:r>
            <w:r>
              <w:rPr>
                <w:iCs/>
                <w:spacing w:val="-4"/>
                <w:sz w:val="22"/>
                <w:szCs w:val="22"/>
              </w:rPr>
              <w:t>«Правил по охране труда при работе на высоте», утверждёнными приказом Минтруда РФ от 28.03.2014 № 155н (редакция от 29.04.2025);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</w:t>
            </w:r>
            <w:r>
              <w:rPr>
                <w:iCs/>
                <w:spacing w:val="-4"/>
                <w:sz w:val="22"/>
                <w:szCs w:val="22"/>
              </w:rPr>
              <w:t>СНиП 12-03-2001 «Безопасность труда в строительстве» ч.1,2;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</w:t>
            </w:r>
            <w:r>
              <w:rPr>
                <w:iCs/>
                <w:spacing w:val="-4"/>
                <w:sz w:val="22"/>
                <w:szCs w:val="22"/>
              </w:rPr>
              <w:t>СТО РусГидро 01.02.115-2019 Приёмка и ввод в эксплуатацию. Правила приёмки и ввода в эксплуатацию полностью законченных строительством объектов и отдельных этапов строительства;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</w:t>
            </w:r>
            <w:r>
              <w:rPr>
                <w:iCs/>
                <w:spacing w:val="-4"/>
                <w:sz w:val="22"/>
                <w:szCs w:val="22"/>
              </w:rPr>
              <w:t>СТО РусГидро 07.01.66-2022 от 12.02.2026 №110 «Порядок расследования и учета аварий, инцидентов и повреждения оборудования. Нормы и требования»;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iCs/>
                <w:spacing w:val="-4"/>
                <w:sz w:val="22"/>
                <w:szCs w:val="22"/>
              </w:rPr>
              <w:t xml:space="preserve">    • </w:t>
            </w:r>
            <w:r>
              <w:rPr>
                <w:iCs/>
                <w:spacing w:val="-4"/>
                <w:sz w:val="22"/>
                <w:szCs w:val="22"/>
              </w:rPr>
              <w:t>СТО 01.02.132-2015 Гидроэлектростанции. Контроль качества производства работ в процессе строительства. Нормы и требования.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Организационно-технические мероприятия по допуску персонала подрядчика</w:t>
            </w:r>
          </w:p>
          <w:p>
            <w:pPr>
              <w:pStyle w:val="Style3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jc w:val="left"/>
              <w:outlineLvl w:val="2"/>
              <w:rPr>
                <w:rFonts w:eastAsia="Times New Roman"/>
                <w:b w:val="false"/>
                <w:iCs/>
                <w:sz w:val="22"/>
                <w:szCs w:val="22"/>
              </w:rPr>
            </w:pPr>
            <w:r>
              <w:rPr>
                <w:rFonts w:eastAsia="Times New Roman"/>
                <w:b w:val="false"/>
                <w:iCs/>
                <w:sz w:val="22"/>
                <w:szCs w:val="22"/>
              </w:rPr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Допуск персонала Подрядчика для производства работ на территорию объекта Филиала осуществляется в соответствии с Методикой допуска персонала подрядных организаций к выполнению работ на объектах ПАО «РусГидро» (Приложение №3 к ТЗ);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Пропуск персонала подрядчика а также персонала нанятых им субподрядчиков на территорию ОП «Чиркейская ГЭС» филиала ПАО «РусГидро»- «Дагестанский филиал», обеспечивается в соответствии  с Инструкцией о пропускном и внутриобъектовом режимах в Филиале  ПАО «РусГидро» - «Дагестанский филиал» (Приложение №4 к ТТ), регулирующего порядок доступа на объекты и пропускной режим.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b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Подготовку рабочих мест и допуск к выполнению работ выполняет персонал заказчика.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Обязанности Подрядчика перед началом выполнением работ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Разрешение на начало работ Подрядчик получает после согласования с Заказчиком проекта производства работ (ППР);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Подрядчик должен направить на согласование с Заказчиком проект производства работ (ППР) не позднее 15 дней до начала производства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До начала выполнения работ Подрядчик должен обеспечить прохождение персоналом Подрядчика вводного инструктажа в службе охраны труда и производственного контроля Заказчика и первичного инструктаж по безопасности труда на рабочем месте;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Организация производства работ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Организационно-технические мероприятия по допуску персонала Подрядчика: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Все работы выполняются с соблюдением нарядно-допускной системы в соответствии с Методикой допуска персонала подрядных организаций к выполнению работ на объектах ПАО «РусГидро» (Приложение №3  к ТЗ) 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Наряд-допуск выдает персонал Подрядчика, допуск осуществляет персонал Заказчика;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Специализированные виды работ (работы на высоте, работы с применением подъемных средств) осуществляются Подрядчиком по отдельному наряду-допуску (Подрядчик выдает наряд и допускает к специализированным видам работ);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Подрядчик обеспечивает, направляемых работников СИЗ, соответствующих условиям предстоящих работ и установленным нормам;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Определение и согласование со службами заказчика мест подключения временных коммуникаций (технические условия на подключения выдаются после получения от подрядчика официального запроса с указанием потребных ресурсов в количественных и качественных показателях);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 </w:t>
            </w:r>
            <w:r>
              <w:rPr>
                <w:iCs/>
                <w:sz w:val="22"/>
                <w:szCs w:val="22"/>
              </w:rPr>
              <w:t>Организация и проведение совместного технического совещания с участием служб Заказчика, Подрядчика по вопросам организации и осуществления строительного контроля, технического и надзора за ходом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до начала производства работ Подрядчик утверждает положение о строительном контроле; назначает ИТР ответственных за осуществление СК, с закреплением за ними объектов и видов контролируемых работ; организовывает ведение журналов общих работ, журналов работ, журналов специальных работ и специальных журналов учета выполнения работ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Разработка и согласование  ППР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ППР на выполнение Работ разрабатывается в соответствии с МДС 12-81.2007 «Методические рекомендации по разработке и оформлению проекта организации строительства и проекта производства работ» и МДС 12-29.2006 «Методические рекомендации по разработке и оформлению технологической карты» и должен включать календарный план производства Работ по виду Работ (устанавливается последовательность выполнения Работ, а также указание производства совмещенных Работ);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Требования к используемым запасным частям и материалам</w:t>
            </w:r>
          </w:p>
          <w:p>
            <w:pPr>
              <w:pStyle w:val="Style3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jc w:val="left"/>
              <w:outlineLvl w:val="2"/>
              <w:rPr>
                <w:rFonts w:eastAsia="Times New Roman"/>
                <w:b w:val="false"/>
                <w:iCs/>
                <w:sz w:val="22"/>
                <w:szCs w:val="22"/>
              </w:rPr>
            </w:pPr>
            <w:r>
              <w:rPr>
                <w:rFonts w:eastAsia="Times New Roman"/>
                <w:b w:val="false"/>
                <w:iCs/>
                <w:sz w:val="22"/>
                <w:szCs w:val="22"/>
              </w:rPr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Все материалы и оборудование, необходимые для выполнения строительно-монтажных работ за исключением Давальческих материалов Заказчика, поставляет Подрядчик.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Замена материала не должна приводить к изменению срока выполнения работ по этапу и договору в соответствие с Календарным графиком выполнения работ.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Материалы поставки Подрядчика должны быть новыми, не бывшими в употреблении, без повреждений, сертифицированы в установленном порядке и иметь сертификаты соответствия, качества, безопасности, паспорта, санитарно-эпидемиологические заключения и гигиенические заключения, разрешения на применение, прочие обязательные документы. Подрядчик обязан представить Заказчику все копии сертификатов, заключений, разрешений.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 Под новыми следует понимать материалы, которые не были в употреблении, не проходили ремонт, в том числе восстановление, замену составных частей, восстановление потребительских свойств.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 При проведении работ должны использоваться сертифицированные материалы (класс пожарной опасности К0, К1) на основании федеральных законов РФ №184-ФЗ от 27.12.2002г. (редакция от 23.07.2025) «О техническом регулировании» и №123-ФЗ от 22.07.2008г. (редакция от 31.07.2025) «Технический регламент о требованиях пожарной безопасности».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6. Материалы поставки Подрядчика должны быть поставлены в упаковке производителя, не нарушенной, без следов воздействия влаги. Упаковка и/или тара должна обеспечивать их сохранность от всякого рода повреждений при перевозке любыми видами транспорта, предохранять поставляемые материалы от внешних воздействий, а также обеспечивать их сохранность при проведении погрузо-разгрузочных работ вручную или механизированными средствами.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7. Гарантия на материалы, поставляемые Подрядчиком, составляет срок не менее гарантийного срока, установленного заводом изготовителем.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8. Доставка материалов на место производства работ выполняется не позднее чем за 10 рабочих дней до начала СМР;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   Подрядчик письменно предупреждает Заказчика за 5 рабочих дней до поставки материалов на территории ГЭС. Подрядчик за свой счет осуществляет транспортировку, приемку адресованных ему материалов, их выгрузку, складирование и хранение. (при необходимости, включая праздничные и выходные дни).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Контроль качества используемых запасных частей и материалов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6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Порядок осуществления строительного контроля регламентируется положениями статьи 53 Градостроительного Кодекса РФ № 190-ФЗ, СП 48.13330.2019 (СНиП 12-01-2004, редакция от 28.03.2022) «Организация строительства», Постановлением Правительства РФ от 21 июня 2010 г. n 468 (редакция от 06.05.2024) «О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строительства»</w:t>
            </w:r>
          </w:p>
          <w:p>
            <w:pPr>
              <w:pStyle w:val="Normal"/>
              <w:widowControl w:val="false"/>
              <w:spacing w:before="0" w:after="6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Контроль качества включает в себя:</w:t>
            </w:r>
          </w:p>
          <w:p>
            <w:pPr>
              <w:pStyle w:val="Normal"/>
              <w:widowControl w:val="false"/>
              <w:spacing w:before="0" w:after="6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входной контроль материалов, изделий и конструкций:</w:t>
            </w:r>
          </w:p>
          <w:p>
            <w:pPr>
              <w:pStyle w:val="Normal"/>
              <w:widowControl w:val="false"/>
              <w:spacing w:before="0" w:after="6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соответствие показателей качества применяемых материалов, изделий и конструкций требованиям стандартов, технических условий или технических свидетельств на них, указанных в проектной документации;</w:t>
            </w:r>
          </w:p>
          <w:p>
            <w:pPr>
              <w:pStyle w:val="Normal"/>
              <w:widowControl w:val="false"/>
              <w:spacing w:before="0" w:after="6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наличие паспортов качества, сертификатов, документов, подтверждающих качество материалов, изделий и конструкций.</w:t>
            </w:r>
          </w:p>
          <w:p>
            <w:pPr>
              <w:pStyle w:val="Normal"/>
              <w:widowControl w:val="false"/>
              <w:spacing w:before="0" w:after="6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операционный контроль при производстве работ:</w:t>
            </w:r>
          </w:p>
          <w:p>
            <w:pPr>
              <w:pStyle w:val="Normal"/>
              <w:widowControl w:val="false"/>
              <w:spacing w:before="0" w:after="6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соблюдение технологии выполнения работ;</w:t>
            </w:r>
          </w:p>
          <w:p>
            <w:pPr>
              <w:pStyle w:val="Normal"/>
              <w:widowControl w:val="false"/>
              <w:spacing w:before="0" w:after="6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соответствие выполненных работ чертежам, нормам, правилам, стандартам.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9.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Квалификация персонала подрядчика, привлекаемого к выполнению работ</w:t>
            </w:r>
          </w:p>
          <w:p>
            <w:pPr>
              <w:pStyle w:val="Style30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jc w:val="left"/>
              <w:outlineLvl w:val="2"/>
              <w:rPr>
                <w:rFonts w:eastAsia="Times New Roman"/>
                <w:b w:val="false"/>
                <w:iCs/>
                <w:sz w:val="22"/>
                <w:szCs w:val="22"/>
              </w:rPr>
            </w:pPr>
            <w:r>
              <w:rPr>
                <w:rFonts w:eastAsia="Times New Roman"/>
                <w:b w:val="false"/>
                <w:iCs/>
                <w:sz w:val="22"/>
                <w:szCs w:val="22"/>
              </w:rPr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Подрядчик должен иметь квалифицированный персонал, прошедший проверку знаний в соответствии с  Приказом «Правила работы с персоналом в организациях электроэнергетики Российской Федерации» утверждены приказом Минэнерго России от 22.09.2020 №796 (с изменениями на 9 декабря 2024 года).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Работники Подрядчика (руководители, специалисты и рабочие) должны быть обучены и иметь удостоверения по проверке знания правил охраны и безопасности труда, соответствующую группу допуска по электробезопасности с учетом должности, профессии.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Подрядчик должен представить список рабочего и административно-технического персонала, который будет привлекаться для выполнения работ, с указанием ФИО, образования, групп по электробезопасности, квалификации и количественного состава;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До начала выполнения работ на объекте Заказчика все работники Подрядчика должны быть ознакомлены под роспись в журнале инструктажа с общими, для всех организаций и лиц на данной территории, мероприятиями по обеспечению безопасности труда согласно акту – допуску и графику совмещенных работ, а также пройти инструктаж в установленном порядке.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Все работники подрядных организаций должны иметь оформленный в соответствии с законодательством Российской Федерации трудовой договор/ договор гражданско-правового характера с данной организацией;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Персонал подрядчика при выполнении работ на высоте должен пройти проверку знаний по охране труда и иметь соответствующую группу по безопасности работ на высоте согласно п.14 и п.15 Правил по охране труда при работе на высоте (Приказ Минтруда России от 16.11.2020 № 782н, редакция от 29.04.2025).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Для осуществления строительного контроля Подрядчик должен иметь специалиста, включенного в национальный реестр специалистов в области строительства.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До начала проведения работ в рамках исполнения договора, после его заключения Подрядчик предоставляет список персонала с указанием сведений о квалификации персонала, группе по электробезопасности, о допуске к работам на высоте с приложением копий удостоверений.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При производстве работ подрядная организация обеспечивает пожарную безопасность и соблюдение требований по охране труда в местах производства работ.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На территории ГЭС при выполнении работ Подрядчик должен соблюдать технологическую, производственную и трудовую дисциплину.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Круг лиц, имеющих право доступа на строительную площадку (место выполнения работ), ограничивается персоналом Подрядчика, а также персоналом нанятых им субподрядчиков. Доступ на строительную площадку персонала Подрядчика, а также персонала нанятых им субподрядчиков обеспечивается в соответствии с требованиями нарядно-допускной системы и нормативных документов Заказчика, регулирующих порядок доступа на объекты и пропускной режим.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b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Требования к безопасности выполняемых работ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Для обеспечения безопасности выполняемых работ Подрядчик должен осуществлять производство работ в соответствии с Методикой допуска персонала подрядных организаций к выполнению работ на объектах ПАО «РусГидро» (Приложение №3 к ТЗ).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Подрядчик обязан: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направлять на объекты Заказчика работников, обученных правилам безопасного ведения работ и имеющих право быть при работах по наряду-допуску и распоряжению ответственными лицами за безопасное ведение работ: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выдающим наряд - не менее 1 человека;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руководителем работ - не менее 1 человека;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производителями работ - не менее 2 человек.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До начала проведения работ в рамках исполнения договора после его заключения Подрядчик не позднее чем за 10 дней до начала выполнения работ предоставляет следующие документы: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а) копии протоколов о проверке знаний персонала постоянно действующей экзаменационной комиссией (далее – ПДЭК) организации;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б) копии протоколов на всех членов ПДЭК (не менее 3-х человек) о проверке знаний в комиссии вышестоящих надзорных органов;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г) копии приказа о создании комиссии по проверке знаний (ППБ, НТД в области промышленной безопасности) у своего персонала.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 своей повседневной деятельности Подрядчик руководствуются следующими нормативными документами по технике безопасности: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При производстве работ соблюдать требования: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При выполнении высотных работ – правила по охране труда при работе на высоте, утверждённые приказом Министерства труда и социальной защиты российской федерации 16.11.2020 г. №782н, (редакция от 29.04.2025);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При выполнении монтажных работ – СП 49.13330.2010  Безопасность труда в строительстве. Часть 1. Общие требования  «СНиП 12-03-2001 «Безопасность труда в строительстве»; СНиП 12-04-2002 «Безопасность труда в строительстве. Часть 2. Строительное производство»;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При работах с применением грузоподъёмных машин и механизмов, а также погрузочно-разгрузочных работ – Федеральных норм и правил в области промышленной безопасности Приказ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от 26 ноября 2020 г. N 461 (редакция от 22.01.2024) «Правила безопасности опасных производственных объектов, на которых используются подъёмные сооружения»;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При выполнении электромонтажных и наладочных работ – СНиП 12-04-2002 и правилами по охране труда при эксплуатации электроустановок, утверждёнными приказом Минтруда России от 15.12.2020 г №903н (редакция от 29.04.2025);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При выполнении наладочных работ РД 34.45-51.300-97 «Объемы и нормы испытаний электрооборудования».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Требования оперативного указания ОУ-09-2024 (ОТ)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Обеспечить применение средств индивидуальной защиты (комплектов) от термических рисков электрической дуги персонала, при выполнении работ в электроустановке (пункт 3 Оперативного указания ПАО «РусГидро» ОУ-12-2021 (ОТ) от 06.09.2021 Вн-8963.КС «О недопустимости расширения рабочего места и отсутствия контроля за производством работ»).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13.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Приемка скрытых работ и промежуточных этапов работ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Подрядчик должен известить Заказчика (комиссию Заказчика) не менее, чем за 24 часа о времени освидетельствования скрытых работ или приемки этапа работ.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Если закрытие скрытых работ последующими работами выполнено без информирования Заказчика или информировании его с опозданием, то по требованию последнего Подрядчик обязан за свой счет вскрыть любую часть скрытых работ согласно требованиям Заказчика, а затем восстановить ее за свой счет.</w:t>
            </w:r>
          </w:p>
        </w:tc>
      </w:tr>
      <w:tr>
        <w:trPr>
          <w:trHeight w:val="653" w:hRule="atLeast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14.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Разработка «Программы и методики испытаний»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Для проведения каждого из всех видов испытаний Подрядчик должен представить за 10 рабочих дней до начала испытаний документ «Программа и методика испытаний», которые утверждает Заказчик. В течение 3 рабочих дней Заказчик согласовывает и утверждает документ или выдает обоснованные замечания, которые Подрядчик в течение 3 рабочих дней должен устранить и направить документ на повторное согласование. Документ «Программа и методика испытаний» должен определять необходимый и достаточный объем испытаний, обеспечивающий заданную достоверность получаемых результатов.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Приемка выполненных работ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Приемка выполненных работ осуществляется в соответствии с: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Требованиями СТО РусГидро 01.02.115-2019 «Приемка и ввод в эксплуатацию. Правила приемки и ввода в эксплуатацию полностью законченных строительством объектов и отдельных этапов строительства».(изм. в соотв. с приказом №572 от 11.07.2025)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Приемку Работ производит комиссия Заказчика, персональный состав которой устанавливается приказом Заказчика (далее – Комиссия). Представитель Подрядчика также включается в состав комиссии.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Подрядчик не позднее, чем за 5 (пять) рабочих дней до окончания работ письменно уведомляет Заказчика о завершении работ по Объекту для организации Заказчиком приемки работ.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Подрядчик предъявляет Комиссии необходимую исполнительную документацию и приемо-сдаточную документацию.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Требования к оформлению документации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Документацию выполнить в соответствии: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Приказ Минстрой РФ № 344/пр от 16.05.2023 (редакция от 23.06.2025)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строительства».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Приказ Минстроя России от 02.12.2022 N1026/пр (редакция от 02.12.2022) "Об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строительства"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Распоряжения ПАО «РусГидро» от 14.08.2023 №358р «О порядке предоставления и согласования исполнительной документации на выполненные работы при реализации инвестиционных проектов в ходе строительства, технического перевооружения и реконструкции объектов Группы РусГидро».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17.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Основные документы исполнительной документации, составляемые при выполнении Работ и предъявляемые Комиссии при сдаче Работ и приемке объекта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Представить Заказчику с актами выполненных работ исполнительную документацию, протоколы пусконаладочных работ и акты испытаний, акты скрытых работ и т.д. том числе: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Реестр исполнительной документации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Проекты производства работ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Акт входного контроля на оборудование и материалы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Ведомость смонтированного оборудования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Исполнительные схемы. План расположения.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Исполнительная схема прокладки кабелей и монтажа оборудования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Акт освидетельствования скрытых работ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Акт монтажа оборудования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Акт об окончании монтажных работ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Протоколы измерения сопротивления изоляции;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Акт сдачи-приёмки пусконаладочных работ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Протоколы проверок, испытаний и измерений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Паспорта и сертификаты соответствия на применённые материалы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Акт проверки работоспособности системы кондиционирования</w:t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  • </w:t>
            </w:r>
            <w:r>
              <w:rPr>
                <w:iCs/>
                <w:sz w:val="22"/>
                <w:szCs w:val="22"/>
              </w:rPr>
              <w:t>Инструкции и технические описания по монтажу и эксплуатации смонтированного оборудования.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Оформление ИД  в электронном виде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Оформление документов ИД в электронном виде: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-Текстовые документы предоставляются в электронном виде в формате с возможностью правки.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-В электронном виде без возможности правки (с возможностью текстового поиска) в PDF. Формат предоставления А4-А3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-Графическая часть (схемы, чертежи, графики) могут предоставляться в электронном виде с возможностью правки.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-В электронном виде без возможности правки (с возможностью текстового поиска) в PDF. Формат предоставления А4, А3, А2 ,А1, А0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-Оформление документов ИД в электронном виде может производится  на электронном портале в соответствии с  распоряжением ПАО «РусГидро» от 14.08.2023 №358р «О порядке предоставления и согласования исполнительной документации на выполненные работы при реализации инвестиционных проектов в ходе строительства, технического перевооружения и реконструкции объектов Группы РусГидро».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19.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Оформление ИД  в бумажном виде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ИД предоставляются в бумажном виде с внесенными правками (при необходимости).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На ИД должна быть печать удостоверяющая, что данная документация является исполнительной.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На печати должна быть указана следующая информация: дата, Ф, И.О., должность, организация.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 бумажном виде Подрядчик передает не менее двух экземпляров ИД Заказчику.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Текстовые документы предоставляются в формате предоставления А4-А3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Графическая часть (схемы, чертежи, графики) Формат предоставления А4, А3, А2, А1, А0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0"/>
              <w:contextualSpacing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Гарантийный срок на результат работ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Гарантийный срок на результат работ составляет не менее 36 месяцев и начинает течь с даты подписания Сторонами Акта КС-11.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1"/>
        <w:keepLines/>
        <w:numPr>
          <w:ilvl w:val="0"/>
          <w:numId w:val="3"/>
        </w:numPr>
        <w:ind w:firstLine="426" w:left="0"/>
        <w:rPr>
          <w:sz w:val="24"/>
          <w:szCs w:val="24"/>
        </w:rPr>
      </w:pPr>
      <w:bookmarkStart w:id="20" w:name="_Toc54646412"/>
      <w:r>
        <w:rPr>
          <w:sz w:val="24"/>
          <w:szCs w:val="24"/>
        </w:rPr>
        <w:t>Требования к документации по ценообразованию на этапе заключения (исполнения) договора</w:t>
      </w:r>
      <w:bookmarkEnd w:id="20"/>
    </w:p>
    <w:p>
      <w:pPr>
        <w:pStyle w:val="Heading4"/>
        <w:tabs>
          <w:tab w:val="clear" w:pos="0"/>
        </w:tabs>
        <w:ind w:firstLine="426" w:left="0"/>
        <w:rPr>
          <w:iCs/>
        </w:rPr>
      </w:pPr>
      <w:r>
        <w:rPr>
          <w:b w:val="false"/>
          <w:iCs/>
          <w:lang w:eastAsia="zh-CN"/>
        </w:rPr>
        <w:t>3.1. Сметную документацию на выполнение на строительно-монтажных и пусконаладочных  необходимо составлять и оформлять  в соответствии с требованиями, указанными в  Приложении №2 к Т</w:t>
      </w:r>
      <w:r>
        <w:rPr>
          <w:b w:val="false"/>
          <w:iCs/>
          <w:lang w:eastAsia="zh-CN"/>
        </w:rPr>
        <w:t>Т</w:t>
      </w:r>
      <w:r>
        <w:rPr>
          <w:b w:val="false"/>
          <w:iCs/>
          <w:lang w:eastAsia="zh-CN"/>
        </w:rPr>
        <w:t>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left="454"/>
        <w:jc w:val="both"/>
        <w:rPr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  <w:lang w:eastAsia="zh-CN"/>
        </w:rPr>
        <w:t>3.2. П</w:t>
      </w:r>
      <w:r>
        <w:rPr>
          <w:rFonts w:eastAsia="Calibri"/>
          <w:iCs/>
          <w:sz w:val="24"/>
          <w:szCs w:val="24"/>
          <w:lang w:eastAsia="zh-CN"/>
        </w:rPr>
        <w:t xml:space="preserve">редусмотреть резерв средств на непредвиденные затраты в размере 3 % от суммы работ.   </w:t>
      </w:r>
    </w:p>
    <w:p>
      <w:pPr>
        <w:pStyle w:val="Heading1"/>
        <w:keepLines/>
        <w:numPr>
          <w:ilvl w:val="0"/>
          <w:numId w:val="3"/>
        </w:numPr>
        <w:ind w:firstLine="426" w:left="0"/>
        <w:rPr>
          <w:iCs/>
          <w:caps/>
          <w:sz w:val="24"/>
          <w:szCs w:val="24"/>
        </w:rPr>
      </w:pPr>
      <w:bookmarkStart w:id="21" w:name="_Toc54646413"/>
      <w:bookmarkStart w:id="22" w:name="_Toc46743519"/>
      <w:bookmarkStart w:id="23" w:name="_Toc51339699"/>
      <w:r>
        <w:rPr>
          <w:iCs/>
          <w:sz w:val="24"/>
          <w:szCs w:val="24"/>
        </w:rPr>
        <w:t>Приложения</w:t>
      </w:r>
      <w:bookmarkEnd w:id="21"/>
      <w:bookmarkEnd w:id="22"/>
      <w:bookmarkEnd w:id="23"/>
      <w:r>
        <w:rPr>
          <w:iCs/>
          <w:sz w:val="24"/>
          <w:szCs w:val="24"/>
          <w:lang w:val="en-US"/>
        </w:rPr>
        <w:t xml:space="preserve"> </w:t>
      </w:r>
      <w:r>
        <w:rPr>
          <w:iCs/>
          <w:sz w:val="24"/>
          <w:szCs w:val="24"/>
          <w:lang w:val="en-US"/>
        </w:rPr>
        <w:t>к ТТ</w:t>
      </w:r>
    </w:p>
    <w:p>
      <w:pPr>
        <w:pStyle w:val="Normal"/>
        <w:numPr>
          <w:ilvl w:val="0"/>
          <w:numId w:val="0"/>
        </w:numPr>
        <w:spacing w:before="0" w:after="60"/>
        <w:ind w:firstLine="426"/>
        <w:contextualSpacing/>
        <w:outlineLvl w:val="3"/>
        <w:rPr>
          <w:sz w:val="24"/>
          <w:szCs w:val="24"/>
        </w:rPr>
      </w:pPr>
      <w:r>
        <w:rPr>
          <w:rStyle w:val="Style8"/>
          <w:b w:val="false"/>
          <w:i w:val="false"/>
          <w:iCs/>
          <w:color w:val="000000"/>
          <w:sz w:val="24"/>
          <w:szCs w:val="24"/>
          <w:shd w:fill="auto" w:val="clear"/>
        </w:rPr>
        <w:t xml:space="preserve">4.1 </w:t>
      </w:r>
      <w:r>
        <w:rPr>
          <w:rStyle w:val="Style8"/>
          <w:b w:val="false"/>
          <w:i w:val="false"/>
          <w:iCs/>
          <w:color w:val="000000"/>
          <w:sz w:val="24"/>
          <w:szCs w:val="24"/>
          <w:shd w:fill="FFFFFF" w:val="clear"/>
        </w:rPr>
        <w:t>Приложение № 1 Эскиз</w:t>
      </w:r>
      <w:r>
        <w:rPr>
          <w:rStyle w:val="Style8"/>
          <w:b w:val="false"/>
          <w:i w:val="false"/>
          <w:iCs/>
          <w:color w:val="000000"/>
          <w:sz w:val="24"/>
          <w:szCs w:val="24"/>
          <w:shd w:fill="auto" w:val="clear"/>
        </w:rPr>
        <w:t xml:space="preserve"> гермозоны.</w:t>
      </w:r>
    </w:p>
    <w:p>
      <w:pPr>
        <w:pStyle w:val="Normal"/>
        <w:numPr>
          <w:ilvl w:val="0"/>
          <w:numId w:val="0"/>
        </w:numPr>
        <w:spacing w:before="0" w:after="60"/>
        <w:ind w:firstLine="426"/>
        <w:contextualSpacing/>
        <w:outlineLvl w:val="3"/>
        <w:rPr>
          <w:sz w:val="24"/>
          <w:szCs w:val="24"/>
        </w:rPr>
      </w:pPr>
      <w:r>
        <w:rPr>
          <w:b w:val="false"/>
          <w:i w:val="false"/>
          <w:sz w:val="24"/>
          <w:szCs w:val="24"/>
          <w:shd w:fill="FFFFFF" w:val="clear"/>
        </w:rPr>
      </w:r>
    </w:p>
    <w:sectPr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848" w:hanging="360"/>
      </w:pPr>
      <w:rPr/>
    </w:lvl>
    <w:lvl w:ilvl="1">
      <w:start w:val="1"/>
      <w:numFmt w:val="bullet"/>
      <w:lvlText w:val="◦"/>
      <w:lvlJc w:val="left"/>
      <w:pPr>
        <w:tabs>
          <w:tab w:val="num" w:pos="1208"/>
        </w:tabs>
        <w:ind w:left="120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68"/>
        </w:tabs>
        <w:ind w:left="156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28"/>
        </w:tabs>
        <w:ind w:left="1928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88"/>
        </w:tabs>
        <w:ind w:left="228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48"/>
        </w:tabs>
        <w:ind w:left="264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08"/>
        </w:tabs>
        <w:ind w:left="3008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68"/>
        </w:tabs>
        <w:ind w:left="336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28"/>
        </w:tabs>
        <w:ind w:left="3728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99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uiPriority w:val="9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Normal"/>
    <w:link w:val="4"/>
    <w:uiPriority w:val="9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rsid w:val="006c2f3f"/>
    <w:rPr>
      <w:color w:val="0000FF"/>
      <w:u w:val="single"/>
    </w:rPr>
  </w:style>
  <w:style w:type="character" w:styleId="Annotationreference">
    <w:name w:val="annotation reference"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</w:rPr>
  </w:style>
  <w:style w:type="character" w:styleId="1" w:customStyle="1">
    <w:name w:val="Заголовок 1 Знак"/>
    <w:uiPriority w:val="9"/>
    <w:qFormat/>
    <w:rsid w:val="00353a27"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</w:rPr>
  </w:style>
  <w:style w:type="character" w:styleId="4" w:customStyle="1">
    <w:name w:val="Заголовок 4 Знак"/>
    <w:uiPriority w:val="9"/>
    <w:qFormat/>
    <w:rsid w:val="006629c9"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uiPriority w:val="99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Основной текст с отступом Знак"/>
    <w:qFormat/>
    <w:rsid w:val="003915ae"/>
    <w:rPr>
      <w:sz w:val="24"/>
      <w:szCs w:val="24"/>
    </w:rPr>
  </w:style>
  <w:style w:type="character" w:styleId="Style15" w:customStyle="1">
    <w:name w:val="Ссылка указателя"/>
    <w:qFormat/>
    <w:rPr/>
  </w:style>
  <w:style w:type="character" w:styleId="FollowedHyperlink">
    <w:name w:val="FollowedHyperlink"/>
    <w:basedOn w:val="DefaultParagraphFont"/>
    <w:semiHidden/>
    <w:unhideWhenUsed/>
    <w:rsid w:val="00305a19"/>
    <w:rPr>
      <w:color w:val="954F72" w:themeColor="followedHyperlink"/>
      <w:u w:val="single"/>
    </w:rPr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character" w:styleId="Style17" w:customStyle="1">
    <w:name w:val="Символ нумерации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uiPriority w:val="99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qFormat/>
    <w:rsid w:val="001b6ab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54" w:customStyle="1">
    <w:name w:val="Style54"/>
    <w:basedOn w:val="Normal"/>
    <w:qFormat/>
    <w:rsid w:val="00ab3e6b"/>
    <w:pPr>
      <w:widowControl w:val="false"/>
      <w:spacing w:lineRule="exact" w:line="274"/>
      <w:ind w:firstLine="734"/>
      <w:jc w:val="both"/>
    </w:pPr>
    <w:rPr>
      <w:sz w:val="24"/>
      <w:szCs w:val="24"/>
    </w:rPr>
  </w:style>
  <w:style w:type="paragraph" w:styleId="312" w:customStyle="1">
    <w:name w:val="Основной текст с отступом 31"/>
    <w:basedOn w:val="Normal"/>
    <w:qFormat/>
    <w:rsid w:val="00cf6542"/>
    <w:pPr>
      <w:suppressAutoHyphens w:val="true"/>
      <w:spacing w:before="0" w:after="120"/>
      <w:ind w:left="283"/>
    </w:pPr>
    <w:rPr>
      <w:sz w:val="16"/>
      <w:szCs w:val="16"/>
      <w:lang w:eastAsia="zh-CN"/>
    </w:rPr>
  </w:style>
  <w:style w:type="paragraph" w:styleId="313" w:customStyle="1">
    <w:name w:val="Основной текст 31"/>
    <w:basedOn w:val="Normal"/>
    <w:qFormat/>
    <w:rsid w:val="00cf6542"/>
    <w:pPr>
      <w:suppressAutoHyphens w:val="true"/>
      <w:spacing w:before="0" w:after="120"/>
    </w:pPr>
    <w:rPr>
      <w:sz w:val="16"/>
      <w:szCs w:val="16"/>
      <w:lang w:eastAsia="zh-CN"/>
    </w:rPr>
  </w:style>
  <w:style w:type="paragraph" w:styleId="Standard" w:customStyle="1">
    <w:name w:val="Standard"/>
    <w:qFormat/>
    <w:rsid w:val="00d44f56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zh-CN" w:val="ru-RU" w:bidi="ar-SA"/>
    </w:rPr>
  </w:style>
  <w:style w:type="paragraph" w:styleId="Style36" w:customStyle="1">
    <w:name w:val="Содержимое таблицы"/>
    <w:basedOn w:val="Normal"/>
    <w:qFormat/>
    <w:rsid w:val="00f031a3"/>
    <w:pPr>
      <w:widowControl w:val="false"/>
      <w:suppressLineNumbers/>
      <w:suppressAutoHyphens w:val="true"/>
    </w:pPr>
    <w:rPr/>
  </w:style>
  <w:style w:type="paragraph" w:styleId="Style37" w:customStyle="1">
    <w:name w:val="Содержимое врезки"/>
    <w:basedOn w:val="Normal"/>
    <w:qFormat/>
    <w:pPr/>
    <w:rPr/>
  </w:style>
  <w:style w:type="paragraph" w:styleId="Style38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25702922721" w:customStyle="1">
    <w:name w:val="25702922721"/>
    <w:qFormat/>
  </w:style>
  <w:style w:type="numbering" w:styleId="22601644921" w:customStyle="1">
    <w:name w:val="22601644921"/>
    <w:qFormat/>
  </w:style>
  <w:style w:type="numbering" w:styleId="9333990071" w:customStyle="1">
    <w:name w:val="933399007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b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ocs.cntd.ru/document/456050591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242C4-B367-41C0-9AC5-751BC2466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Application>AlterOffice/2026.2.0.0$Linux_X86_64 LibreOffice_project/bc4ef1adf80b36c7a6365f8ed6cbf29021361edd</Application>
  <AppVersion>15.0000</AppVersion>
  <Pages>10</Pages>
  <Words>3396</Words>
  <Characters>23948</Characters>
  <CharactersWithSpaces>27338</CharactersWithSpaces>
  <Paragraphs>276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2024-07-20T13:15:00Z</dcterms:created>
  <dc:creator>Быстров Олег Геннадьевич</dc:creator>
  <dc:description/>
  <dc:language>ru-RU</dc:language>
  <cp:lastModifiedBy>abdurazakovaaa@corp.gidroogk.com</cp:lastModifiedBy>
  <cp:lastPrinted>2006-07-26T14:04:00Z</cp:lastPrinted>
  <dcterms:modified xsi:type="dcterms:W3CDTF">2026-10-27T09:00:01Z</dcterms:modified>
  <cp:revision>77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