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9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media/image1.png" ContentType="image/png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0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1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Техническим требованиям </w:t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hanging="10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hanging="10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9"/>
          <w:tab w:val="left" w:pos="1620" w:leader="none"/>
        </w:tabs>
        <w:ind w:firstLine="1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>сметной документации на работы по программе ремонтов, реконструкции и техническому перевооружению (не относящихся к работам, стоимость которых определяется в соответствии со Статьей 8.3 Градостроительного кодекса РФ).</w:t>
      </w:r>
    </w:p>
    <w:p>
      <w:pPr>
        <w:pStyle w:val="ConsPlusNormal1"/>
        <w:widowControl/>
        <w:tabs>
          <w:tab w:val="clear" w:pos="709"/>
          <w:tab w:val="left" w:pos="1620" w:leader="none"/>
        </w:tabs>
        <w:ind w:firstLine="18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ConsPlusNormal1"/>
        <w:widowControl/>
        <w:numPr>
          <w:ilvl w:val="0"/>
          <w:numId w:val="8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cs="Times New Roman" w:ascii="Times New Roman" w:hAnsi="Times New Roman"/>
          <w:sz w:val="22"/>
          <w:szCs w:val="22"/>
        </w:rPr>
        <w:t>Настоящие требования разработаны для единого подхода к оформлению и составлению сметной документации на работы по ремонтам, реконструкции и техническому перевооружению.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  <w:u w:val="single"/>
        </w:rPr>
      </w:pPr>
      <w:r>
        <w:rPr>
          <w:rFonts w:cs="Times New Roman" w:ascii="Times New Roman" w:hAnsi="Times New Roman"/>
          <w:sz w:val="22"/>
          <w:szCs w:val="22"/>
        </w:rPr>
        <w:t>Использование</w:t>
      </w:r>
      <w:r>
        <w:rPr>
          <w:rFonts w:ascii="Times New Roman" w:hAnsi="Times New Roman"/>
          <w:sz w:val="22"/>
          <w:szCs w:val="22"/>
        </w:rPr>
        <w:t xml:space="preserve"> нормативов ценообразования, не зарегистрированных и не вошедших в ФРСН, </w:t>
      </w:r>
      <w:r>
        <w:rPr>
          <w:rFonts w:ascii="Times New Roman" w:hAnsi="Times New Roman"/>
          <w:b/>
          <w:sz w:val="22"/>
          <w:szCs w:val="22"/>
          <w:u w:val="single"/>
        </w:rPr>
        <w:t>не допускается</w:t>
      </w:r>
      <w:r>
        <w:rPr>
          <w:rFonts w:ascii="Times New Roman" w:hAnsi="Times New Roman"/>
          <w:sz w:val="22"/>
          <w:szCs w:val="22"/>
        </w:rPr>
        <w:t>, кроме случаев, прямо указанных в настоящих требованиях.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cs="Times New Roman" w:ascii="Times New Roman" w:hAnsi="Times New Roman"/>
          <w:sz w:val="22"/>
          <w:szCs w:val="22"/>
        </w:rPr>
        <w:t xml:space="preserve">Версия программного комплекса «Гранд-Смета» (далее–ПК «Гранд-смета») </w:t>
      </w:r>
      <w:r>
        <w:rPr>
          <w:rFonts w:cs="Times New Roman" w:ascii="Times New Roman" w:hAnsi="Times New Roman"/>
          <w:sz w:val="22"/>
          <w:szCs w:val="22"/>
          <w:u w:val="single"/>
        </w:rPr>
        <w:t>должна быть не ниже 202</w:t>
      </w:r>
      <w:r>
        <w:rPr>
          <w:rFonts w:cs="Times New Roman" w:ascii="Times New Roman" w:hAnsi="Times New Roman"/>
          <w:sz w:val="22"/>
          <w:szCs w:val="22"/>
          <w:u w:val="single"/>
        </w:rPr>
        <w:t>4</w:t>
      </w:r>
      <w:r>
        <w:rPr>
          <w:rFonts w:cs="Times New Roman" w:ascii="Times New Roman" w:hAnsi="Times New Roman"/>
          <w:sz w:val="22"/>
          <w:szCs w:val="22"/>
          <w:u w:val="single"/>
        </w:rPr>
        <w:t>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left="0" w:firstLine="709"/>
        <w:jc w:val="both"/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составлении смет на ремонт, реконструкцию и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техперевооружению» с учетом дополнений и изменений </w:t>
        <w:br/>
        <w:t>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Энергоремонт». Поправочный индек</w:t>
      </w:r>
      <w:r>
        <w:rPr>
          <w:rFonts w:ascii="Times New Roman" w:hAnsi="Times New Roman"/>
          <w:sz w:val="22"/>
          <w:szCs w:val="22"/>
          <w:shd w:fill="auto" w:val="clear"/>
        </w:rPr>
        <w:t>с к Базовым ценам учитывать в размере, не превышающем предельный индекс, установленный для Филиала (ПО) ПАО «РусГидро».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left="0"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2"/>
          <w:szCs w:val="22"/>
          <w:shd w:fill="auto" w:val="clear"/>
        </w:rPr>
        <w:t>При составлении сметной документации необходимо использовать сметно-нормативную базу ФСНБ- 2022 (с изм. 1-14).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left="0"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2"/>
          <w:szCs w:val="22"/>
          <w:shd w:fill="auto" w:val="clear"/>
        </w:rPr>
        <w:t xml:space="preserve">Сметная стоимость работ определяется ресурсно-индексным методом (далее – РИМ) с использованием сметных норм, сметных цен строительных ресурсов в базисном уровне </w:t>
      </w:r>
      <w:r>
        <w:rPr>
          <w:rFonts w:ascii="Times New Roman" w:hAnsi="Times New Roman"/>
          <w:sz w:val="22"/>
          <w:szCs w:val="22"/>
          <w:shd w:fill="auto" w:val="clear"/>
        </w:rPr>
        <w:t>цен</w:t>
      </w:r>
      <w:r>
        <w:rPr>
          <w:rFonts w:ascii="Times New Roman" w:hAnsi="Times New Roman"/>
          <w:sz w:val="22"/>
          <w:szCs w:val="22"/>
          <w:shd w:fill="auto" w:val="clear"/>
        </w:rPr>
        <w:t xml:space="preserve"> и одновременным применением сметных цен строительных ресурсов в текущем уровне цен, информации об индексах изменения сметной стоимости с строительства по группам однородных строительных ресурсов и с учетом иной информации, используемой для определения сметной стоимости строительства, размещенных в ФГИС ЦС.</w:t>
      </w:r>
      <w:r>
        <w:rPr>
          <w:rFonts w:ascii="Times New Roman" w:hAnsi="Times New Roman"/>
          <w:sz w:val="22"/>
          <w:szCs w:val="22"/>
          <w:shd w:fill="auto" w:val="clear"/>
        </w:rPr>
        <w:t xml:space="preserve"> Сметная стоимость, определенная с применением ресурсно-индексного метода, приводится в ЛСР (ЛС) в текущем уровне цен. 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426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eastAsia="Times New Roman" w:cs="Arial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 xml:space="preserve">Для пересчета сметной стоимости в прогнозный уровень цен </w:t>
      </w:r>
      <w:r>
        <w:rPr>
          <w:rFonts w:eastAsia="Times New Roman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 xml:space="preserve">применяются текущие </w:t>
      </w: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 xml:space="preserve">индексы-дефляторы </w:t>
      </w:r>
      <w:r>
        <w:rPr>
          <w:rFonts w:eastAsia="Times New Roman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в соответствии с прогнозом Министерства экономического развития РФ (прогноз «базовый»), в соответствии с планируемым периодом выполнения работ</w:t>
      </w: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kern w:val="0"/>
          <w:sz w:val="22"/>
          <w:szCs w:val="22"/>
          <w:shd w:fill="auto" w:val="clear"/>
          <w:lang w:val="ru-RU" w:eastAsia="ru-RU" w:bidi="ar-SA"/>
        </w:rPr>
        <w:t>Для работ, выполняемых в 2027-2028гг. применять индексы-дефлятора, указанные в п. 9 настоящих требований.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426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eastAsia="Times New Roman" w:cs="Arial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Расчет индексов-дефляторов осуществлять на основании актуальных прогнозных среднегодовых индексов-дефляторов (ИПЦ базовый, по строке – Показатель инфляции / в среднем за год) по данным прогноза Министерства экономического развития РФ (</w:t>
      </w: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п</w:t>
      </w:r>
      <w:r>
        <w:rPr>
          <w:rFonts w:eastAsia="Times New Roman" w:cs="Arial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 xml:space="preserve">орядок применения индексов инфляции -  </w:t>
      </w:r>
      <w:r>
        <w:rPr>
          <w:rFonts w:eastAsia="Times New Roman" w:cs="Arial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представлен в п</w:t>
      </w:r>
      <w:r>
        <w:rPr>
          <w:rFonts w:eastAsia="Times New Roman" w:cs="Arial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риложен</w:t>
      </w:r>
      <w:r>
        <w:rPr>
          <w:rFonts w:eastAsia="Times New Roman" w:cs="Arial" w:ascii="Times New Roman" w:hAnsi="Times New Roman"/>
          <w:b w:val="false"/>
          <w:bCs w:val="false"/>
          <w:color w:val="000000"/>
          <w:kern w:val="0"/>
          <w:sz w:val="22"/>
          <w:szCs w:val="22"/>
          <w:shd w:fill="auto" w:val="clear"/>
          <w:lang w:val="ru-RU" w:eastAsia="ru-RU" w:bidi="ar-SA"/>
        </w:rPr>
        <w:t>и</w:t>
      </w:r>
      <w:r>
        <w:rPr>
          <w:rFonts w:eastAsia="Times New Roman" w:cs="Arial" w:ascii="Times New Roman" w:hAnsi="Times New Roman"/>
          <w:b w:val="false"/>
          <w:bCs w:val="false"/>
          <w:color w:val="000000"/>
          <w:kern w:val="0"/>
          <w:sz w:val="22"/>
          <w:szCs w:val="22"/>
          <w:shd w:fill="auto" w:val="clear"/>
          <w:lang w:val="ru-RU" w:eastAsia="ru-RU" w:bidi="ar-SA"/>
        </w:rPr>
        <w:t>и</w:t>
      </w:r>
      <w:r>
        <w:rPr>
          <w:rFonts w:eastAsia="Times New Roman" w:cs="Arial" w:ascii="Times New Roman" w:hAnsi="Times New Roman"/>
          <w:color w:val="000000"/>
          <w:kern w:val="0"/>
          <w:sz w:val="22"/>
          <w:szCs w:val="22"/>
          <w:shd w:fill="auto" w:val="clear"/>
          <w:lang w:val="ru-RU" w:eastAsia="ru-RU" w:bidi="ar-SA"/>
        </w:rPr>
        <w:t xml:space="preserve"> № 3 </w:t>
      </w:r>
      <w:r>
        <w:rPr>
          <w:rFonts w:eastAsia="Times New Roman" w:cs="Arial" w:ascii="Times New Roman" w:hAnsi="Times New Roman"/>
          <w:color w:val="000000"/>
          <w:kern w:val="0"/>
          <w:sz w:val="22"/>
          <w:szCs w:val="22"/>
          <w:shd w:fill="auto" w:val="clear"/>
          <w:lang w:val="ru-RU" w:eastAsia="ru-RU" w:bidi="ar-SA"/>
        </w:rPr>
        <w:t>к настоящим требованиям</w:t>
      </w:r>
      <w:r>
        <w:rPr>
          <w:rFonts w:eastAsia="Times New Roman" w:cs="Arial" w:ascii="Times New Roman" w:hAnsi="Times New Roman"/>
          <w:color w:val="000000"/>
          <w:kern w:val="0"/>
          <w:sz w:val="22"/>
          <w:szCs w:val="22"/>
          <w:shd w:fill="auto" w:val="clear"/>
          <w:lang w:val="ru-RU" w:eastAsia="ru-RU" w:bidi="ar-SA"/>
        </w:rPr>
        <w:t>)</w:t>
      </w: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. В настоящий момент актуальным является прогноз от 30.09.2025 года :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jc w:val="both"/>
        <w:rPr/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На 2025 год – 109,0%;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jc w:val="both"/>
        <w:rPr/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На 2026 год – 105,1%;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jc w:val="both"/>
        <w:rPr/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На 2027 год – 104,0%;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jc w:val="both"/>
        <w:rPr/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На 2028 год – 104,0%.</w:t>
      </w:r>
    </w:p>
    <w:p>
      <w:pPr>
        <w:pStyle w:val="ListParagraph"/>
        <w:numPr>
          <w:ilvl w:val="0"/>
          <w:numId w:val="0"/>
        </w:numPr>
        <w:spacing w:before="0" w:after="0"/>
        <w:ind w:left="502" w:hanging="0"/>
        <w:contextualSpacing/>
        <w:jc w:val="both"/>
        <w:rPr/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 xml:space="preserve">        </w:t>
      </w:r>
    </w:p>
    <w:p>
      <w:pPr>
        <w:pStyle w:val="ListParagraph"/>
        <w:numPr>
          <w:ilvl w:val="0"/>
          <w:numId w:val="0"/>
        </w:numPr>
        <w:spacing w:before="0" w:after="0"/>
        <w:ind w:left="502" w:hanging="0"/>
        <w:contextualSpacing/>
        <w:jc w:val="both"/>
        <w:rPr>
          <w:rFonts w:ascii="Times New Roman" w:hAnsi="Times New Roman" w:eastAsia="Times New Roman" w:cs="Arial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ListParagraph"/>
        <w:numPr>
          <w:ilvl w:val="0"/>
          <w:numId w:val="0"/>
        </w:numPr>
        <w:spacing w:before="0" w:after="0"/>
        <w:ind w:left="502" w:hanging="0"/>
        <w:contextualSpacing/>
        <w:jc w:val="both"/>
        <w:rPr>
          <w:rFonts w:ascii="Times New Roman" w:hAnsi="Times New Roman" w:eastAsia="Times New Roman" w:cs="Arial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ListParagraph"/>
        <w:numPr>
          <w:ilvl w:val="0"/>
          <w:numId w:val="0"/>
        </w:numPr>
        <w:spacing w:before="0" w:after="0"/>
        <w:ind w:left="502" w:hanging="0"/>
        <w:contextualSpacing/>
        <w:jc w:val="both"/>
        <w:rPr>
          <w:rFonts w:ascii="Times New Roman" w:hAnsi="Times New Roman" w:eastAsia="Times New Roman" w:cs="Arial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ListParagraph"/>
        <w:numPr>
          <w:ilvl w:val="0"/>
          <w:numId w:val="0"/>
        </w:numPr>
        <w:spacing w:before="0" w:after="0"/>
        <w:ind w:left="502" w:hanging="0"/>
        <w:contextualSpacing/>
        <w:jc w:val="both"/>
        <w:rPr/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  <w:t>Размер расчетных индексов-дефляторов  по календарному графику представлен в таблице.</w:t>
      </w:r>
    </w:p>
    <w:p>
      <w:pPr>
        <w:pStyle w:val="ListParagraph"/>
        <w:numPr>
          <w:ilvl w:val="0"/>
          <w:numId w:val="0"/>
        </w:numPr>
        <w:spacing w:before="0" w:after="0"/>
        <w:ind w:left="502" w:hanging="0"/>
        <w:contextualSpacing/>
        <w:jc w:val="both"/>
        <w:rPr>
          <w:rFonts w:ascii="Times New Roman" w:hAnsi="Times New Roman" w:eastAsia="Times New Roman" w:cs="Arial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2" w:type="dxa"/>
          <w:bottom w:w="0" w:type="dxa"/>
          <w:right w:w="12" w:type="dxa"/>
        </w:tblCellMar>
      </w:tblPr>
      <w:tblGrid>
        <w:gridCol w:w="1293"/>
        <w:gridCol w:w="6814"/>
        <w:gridCol w:w="1816"/>
      </w:tblGrid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339" w:leader="none"/>
              </w:tabs>
              <w:spacing w:before="0" w:after="200"/>
              <w:ind w:left="502" w:hanging="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Размер индекса- дефлятора</w:t>
            </w:r>
          </w:p>
        </w:tc>
      </w:tr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ind w:left="0" w:right="0" w:hanging="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Индекс-дефлятор для объекта СТК-А (период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декабрь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2027г. -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май 2028г.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,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месяц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1,1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506</w:t>
            </w:r>
          </w:p>
        </w:tc>
      </w:tr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20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Индекс-дефлятор для объекта Плотина (период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декабрь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2027г. -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июнь 2028г.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,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7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месяц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1,1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525</w:t>
            </w:r>
          </w:p>
        </w:tc>
      </w:tr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20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Индекс-дефлятор для объекта входной портал БВС (период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декабрь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2027г. -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июль 2028г.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,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8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месяц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1,1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544</w:t>
            </w:r>
          </w:p>
        </w:tc>
      </w:tr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20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Индекс-дефлятор для объекта СТК-Б (период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ф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евраль 2028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г.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-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ноябрь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2028г.,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10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месяц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1,1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659</w:t>
            </w:r>
          </w:p>
        </w:tc>
      </w:tr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20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Индекс-дефлятор для объекта Щитовой блок (период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ф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евраль 2028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г.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-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ноябрь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2028г.,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10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месяц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1,1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659</w:t>
            </w:r>
          </w:p>
        </w:tc>
      </w:tr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20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Индекс-дефлятор для объекта МРВО (период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ф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евраль 2028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г.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-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ноябрь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2028г.,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10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месяц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1,1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659</w:t>
            </w:r>
          </w:p>
        </w:tc>
      </w:tr>
      <w:tr>
        <w:trPr/>
        <w:tc>
          <w:tcPr>
            <w:tcW w:w="129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7</w:t>
            </w:r>
          </w:p>
        </w:tc>
        <w:tc>
          <w:tcPr>
            <w:tcW w:w="68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200"/>
              <w:jc w:val="left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Индекс-дефлятор для объекта Хоз. блок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(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период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ф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евраль 2028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г.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-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ноябрь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2028г., 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10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месяц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ев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81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Style34"/>
              <w:widowControl w:val="false"/>
              <w:spacing w:before="0" w:after="200"/>
              <w:jc w:val="center"/>
              <w:rPr>
                <w:rFonts w:ascii="Times New Roman" w:hAnsi="Times New Roman" w:eastAsia="Times New Roman" w:cs="Arial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1,1</w:t>
            </w:r>
            <w:r>
              <w:rPr>
                <w:rFonts w:eastAsia="Times New Roman" w:cs="Arial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659</w:t>
            </w:r>
          </w:p>
        </w:tc>
      </w:tr>
    </w:tbl>
    <w:p>
      <w:pPr>
        <w:pStyle w:val="ConsPlusNormal1"/>
        <w:tabs>
          <w:tab w:val="clear" w:pos="709"/>
          <w:tab w:val="left" w:pos="426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eastAsia="Times New Roman" w:cs="Arial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284" w:leader="none"/>
          <w:tab w:val="left" w:pos="1134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</w:t>
      </w:r>
      <w:r>
        <w:rPr>
          <w:rFonts w:ascii="Times New Roman" w:hAnsi="Times New Roman"/>
          <w:i/>
        </w:rPr>
        <w:t>отсутствия</w:t>
      </w:r>
      <w:r>
        <w:rPr>
          <w:rFonts w:ascii="Times New Roman" w:hAnsi="Times New Roman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284" w:leader="none"/>
          <w:tab w:val="left" w:pos="1134" w:leader="none"/>
        </w:tabs>
        <w:spacing w:before="0" w:after="0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</w:t>
      </w:r>
      <w:r>
        <w:rPr>
          <w:rFonts w:ascii="Times New Roman" w:hAnsi="Times New Roman"/>
          <w:i/>
        </w:rPr>
        <w:t xml:space="preserve">отсутствии </w:t>
      </w:r>
      <w:r>
        <w:rPr>
          <w:rFonts w:ascii="Times New Roman" w:hAnsi="Times New Roman"/>
        </w:rPr>
        <w:t xml:space="preserve">информации о сметных ценах в ФГИС ЦС и ФССЦ по материальным ресурсам и оборудованию, их сметная цена определяется по наиболее экономичному варианту, определенному на основании сбора информации о текущих ценах (конъюнктурный анализ) в соответствии с Методикой определения сметной стоимости строительства (Приказ Минстроя России от 04.08.2020г. №421/пр, п.13). Результаты конъюнктурного анализа оформляются в соответствии с формой, приведенной в Приложении №1 к Методике определения сметной стоимости строительства. 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>
        <w:rPr>
          <w:rFonts w:cs="Times New Roman" w:ascii="Times New Roman" w:hAnsi="Times New Roman"/>
          <w:color w:val="FF0000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284" w:leader="none"/>
          <w:tab w:val="left" w:pos="1134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Транспортные затраты определяются следующими методами:</w:t>
      </w:r>
    </w:p>
    <w:p>
      <w:pPr>
        <w:pStyle w:val="ListParagraph"/>
        <w:numPr>
          <w:ilvl w:val="1"/>
          <w:numId w:val="8"/>
        </w:numPr>
        <w:tabs>
          <w:tab w:val="clear" w:pos="709"/>
          <w:tab w:val="left" w:pos="284" w:leader="none"/>
          <w:tab w:val="left" w:pos="1134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доставке материальных ресурсов:</w:t>
      </w:r>
      <w:r>
        <w:rPr>
          <w:rFonts w:ascii="Times New Roman" w:hAnsi="Times New Roman"/>
        </w:rPr>
        <w:t xml:space="preserve"> </w:t>
      </w:r>
    </w:p>
    <w:p>
      <w:pPr>
        <w:pStyle w:val="ConsPlusNormal1"/>
        <w:numPr>
          <w:ilvl w:val="0"/>
          <w:numId w:val="11"/>
        </w:numPr>
        <w:tabs>
          <w:tab w:val="clear" w:pos="709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11"/>
        </w:numPr>
        <w:tabs>
          <w:tab w:val="clear" w:pos="709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отсутствии информации во ФГИС ЦС транспортные затраты могут определяться по результатам конъюнктурного анализа в соответствии с пп. 13-21 Методики определения сметной стоимости (Приказ Минстроя России от 04.08.2020г. №421/пр). Результаты конъюнктурного анализа оформляются в соответствии с формой, приведенной в Приложении №1 к Методике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11"/>
        </w:numPr>
        <w:tabs>
          <w:tab w:val="clear" w:pos="709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>
      <w:pPr>
        <w:pStyle w:val="ListParagraph"/>
        <w:numPr>
          <w:ilvl w:val="1"/>
          <w:numId w:val="8"/>
        </w:numPr>
        <w:tabs>
          <w:tab w:val="clear" w:pos="709"/>
          <w:tab w:val="left" w:pos="284" w:leader="none"/>
          <w:tab w:val="left" w:pos="1134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по доставке оборудования</w:t>
      </w:r>
      <w:r>
        <w:rPr>
          <w:rFonts w:ascii="Times New Roman" w:hAnsi="Times New Roman"/>
        </w:rPr>
        <w:t>: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9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19"/>
        </w:numPr>
        <w:tabs>
          <w:tab w:val="clear" w:pos="709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отсутствии информации во ФГИС ЦС транспортные затраты могут определяться по результатам конъюнктурного анализа в соответствии с пп. 13-21 Методики определения сметной стоимости (Приказ Минстроя России от 04.08.2020г. №421/пр). Результаты конъюнктурного анализа оформляются в соответствии с формой, приведенной в Приложении №1 к Методике определения сметной стоимости строительства.</w:t>
      </w:r>
    </w:p>
    <w:p>
      <w:pPr>
        <w:pStyle w:val="ConsPlusNormal1"/>
        <w:numPr>
          <w:ilvl w:val="0"/>
          <w:numId w:val="20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размере до 3-х процентов от отпускной цены оборудования (при невозможности определить затраты</w:t>
      </w:r>
      <w:bookmarkStart w:id="0" w:name="_Hlk86255346"/>
      <w:r>
        <w:rPr>
          <w:rFonts w:cs="Times New Roman" w:ascii="Times New Roman" w:hAnsi="Times New Roman"/>
          <w:sz w:val="22"/>
          <w:szCs w:val="22"/>
        </w:rPr>
        <w:t xml:space="preserve"> </w:t>
      </w:r>
      <w:bookmarkEnd w:id="0"/>
      <w:r>
        <w:rPr>
          <w:rFonts w:cs="Times New Roman" w:ascii="Times New Roman" w:hAnsi="Times New Roman"/>
          <w:sz w:val="22"/>
          <w:szCs w:val="22"/>
        </w:rPr>
        <w:t>указанными выше способами), по решению заказчика.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284" w:leader="none"/>
          <w:tab w:val="left" w:pos="1134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транспортировка осуществляется заказчиком самостоятельно (самовывоз), данный показатель не учитывается.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851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Заготовительно-складские расходы определяются в % от суммы отпускной цены материалов, изделий, конструкций, оборудования и транспортных затрат:</w:t>
      </w:r>
    </w:p>
    <w:p>
      <w:pPr>
        <w:pStyle w:val="ConsPlusNormal1"/>
        <w:numPr>
          <w:ilvl w:val="0"/>
          <w:numId w:val="10"/>
        </w:numPr>
        <w:tabs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2% -для материальных ресурсов (кроме металлоконструкций);</w:t>
      </w:r>
    </w:p>
    <w:p>
      <w:pPr>
        <w:pStyle w:val="ConsPlusNormal1"/>
        <w:numPr>
          <w:ilvl w:val="0"/>
          <w:numId w:val="10"/>
        </w:numPr>
        <w:tabs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0,75%- для металлоконструкций;</w:t>
      </w:r>
    </w:p>
    <w:p>
      <w:pPr>
        <w:pStyle w:val="ConsPlusNormal1"/>
        <w:numPr>
          <w:ilvl w:val="0"/>
          <w:numId w:val="10"/>
        </w:numPr>
        <w:tabs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1,2% - для оборудования.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Затраты на эксплуатацию строительной техники, не учтенной нормами и расценками, включенными в ФРСН, определяются по наиболее экономичному варианту, определенному на основании сбора информации о текущих ценах (конъюнктурный анализ) в соответствии с Методикой определения сметной стоимости (Приказ Минстроя России от 04.08.2020г. №421/пр, п.13), и включаются в Главу 9 ССРСС. Результаты конъюнктурного анализа оформляются в соответствии с формой, приведенной в Приложении №1 к Методике определения сметной стоимости строительства.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 составлении сметной документации корректировка наименования работ, принятой расценки недопустима. При не</w:t>
      </w:r>
      <w:r>
        <w:rPr>
          <w:rFonts w:ascii="Times New Roman" w:hAnsi="Times New Roman"/>
          <w:color w:val="000000"/>
          <w:shd w:fill="auto" w:val="clear"/>
        </w:rPr>
        <w:t>обходимости, вся дополнительная информация указывается в скобках, после указания наименования расценки (например, Разборка, очистка, замена уплотнения, сборка крышки ванны подшипника: диаметр шейки вала свыше 0.95 до 1,5</w:t>
      </w:r>
      <w:r>
        <w:rPr>
          <w:rFonts w:ascii="Times New Roman" w:hAnsi="Times New Roman"/>
          <w:color w:val="000000"/>
        </w:rPr>
        <w:t xml:space="preserve"> м (диаметр шейки вала – 1.3 м).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 внесении изменений в сметную документацию разрабатывается сводный сметный </w:t>
      </w:r>
    </w:p>
    <w:p>
      <w:pPr>
        <w:pStyle w:val="Normal"/>
        <w:tabs>
          <w:tab w:val="left" w:pos="284" w:leader="none"/>
          <w:tab w:val="left" w:pos="709" w:leader="none"/>
          <w:tab w:val="left" w:pos="851" w:leader="none"/>
        </w:tabs>
        <w:spacing w:lineRule="auto" w:line="240" w:before="40" w:after="4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Резерв средств </w:t>
      </w:r>
      <w:r>
        <w:rPr>
          <w:rFonts w:cs="Times New Roman" w:ascii="Times New Roman" w:hAnsi="Times New Roman"/>
          <w:sz w:val="22"/>
          <w:szCs w:val="22"/>
        </w:rPr>
        <w:t>на непредвиденные работы и затраты определять в Технических требованиях и начислять в смете в процентах в размере, указанном в утвержденных Технических требованиях. Порядок расчета за непредвиденные работы и затраты оговаривать в договоре подряда.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/>
      </w:pPr>
      <w:r>
        <w:rPr>
          <w:rFonts w:ascii="Times New Roman" w:hAnsi="Times New Roman"/>
          <w:color w:val="000000"/>
        </w:rPr>
        <w:t>В ЛСР (ЛС) указывать величину сметной прибыли и накладных расходов по видам строительных, ремонтно-</w:t>
      </w:r>
      <w:r>
        <w:rPr>
          <w:rFonts w:cs="Times New Roman" w:ascii="Times New Roman" w:hAnsi="Times New Roman"/>
          <w:color w:val="000000"/>
          <w:sz w:val="22"/>
          <w:szCs w:val="22"/>
        </w:rPr>
        <w:t>строительных, монтажных и пусконаладочных работ, на основании нормативных документов, внесенных в ФРСН.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Стоимость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(образец формы расчета представлен в</w:t>
      </w:r>
      <w:r>
        <w:rPr>
          <w:rFonts w:cs="Times New Roman" w:ascii="Times New Roman" w:hAnsi="Times New Roman"/>
          <w:color w:val="000000"/>
          <w:sz w:val="22"/>
          <w:szCs w:val="22"/>
          <w:shd w:fill="auto" w:val="clear"/>
        </w:rPr>
        <w:t xml:space="preserve"> Приложении № 2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перевооружению). Участник (подрядчик, контрагент) представляет смету на шеф-монтажные работы в соответствии с графиком выполнения работ.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 xml:space="preserve">В </w:t>
      </w:r>
      <w:r>
        <w:rPr>
          <w:rFonts w:ascii="Times New Roman" w:hAnsi="Times New Roman"/>
          <w:color w:val="000000"/>
          <w:shd w:fill="auto" w:val="clear"/>
        </w:rPr>
        <w:t>локальных</w:t>
      </w:r>
      <w:r>
        <w:rPr>
          <w:rFonts w:ascii="Times New Roman" w:hAnsi="Times New Roman"/>
          <w:shd w:fill="auto" w:val="clear"/>
        </w:rPr>
        <w:t xml:space="preserve"> сметных расчетах построчные и итоговые суммы </w:t>
      </w:r>
      <w:r>
        <w:rPr>
          <w:rFonts w:ascii="Times New Roman" w:hAnsi="Times New Roman"/>
          <w:b/>
          <w:u w:val="single"/>
          <w:shd w:fill="auto" w:val="clear"/>
        </w:rPr>
        <w:t>округлять:</w:t>
      </w:r>
    </w:p>
    <w:p>
      <w:pPr>
        <w:pStyle w:val="ConsPlusNormal1"/>
        <w:numPr>
          <w:ilvl w:val="0"/>
          <w:numId w:val="0"/>
        </w:numPr>
        <w:tabs>
          <w:tab w:val="clear" w:pos="709"/>
          <w:tab w:val="left" w:pos="900" w:leader="none"/>
        </w:tabs>
        <w:spacing w:before="40" w:after="40"/>
        <w:ind w:left="567" w:hanging="0"/>
        <w:jc w:val="both"/>
        <w:rPr/>
      </w:pPr>
      <w:r>
        <w:rPr>
          <w:rFonts w:cs="Times New Roman" w:ascii="Times New Roman" w:hAnsi="Times New Roman"/>
          <w:sz w:val="22"/>
          <w:szCs w:val="22"/>
          <w:shd w:fill="auto" w:val="clear"/>
        </w:rPr>
        <w:t>- при базисно-индексном методе до двух знаков после запятой (до копеек);</w:t>
      </w:r>
    </w:p>
    <w:p>
      <w:pPr>
        <w:pStyle w:val="ConsPlusNormal1"/>
        <w:numPr>
          <w:ilvl w:val="0"/>
          <w:numId w:val="0"/>
        </w:numPr>
        <w:tabs>
          <w:tab w:val="clear" w:pos="709"/>
          <w:tab w:val="left" w:pos="900" w:leader="none"/>
        </w:tabs>
        <w:spacing w:before="40" w:after="40"/>
        <w:ind w:left="567" w:hanging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2"/>
          <w:szCs w:val="22"/>
          <w:shd w:fill="auto" w:val="clear"/>
        </w:rPr>
        <w:t>- при ресурсно-индексном и ресурсным методах, а также в сметных расчетах на отдельные виды затрат - до двух знаков после запятой (до копеек);</w:t>
      </w:r>
    </w:p>
    <w:p>
      <w:pPr>
        <w:pStyle w:val="ConsPlusNormal1"/>
        <w:numPr>
          <w:ilvl w:val="0"/>
          <w:numId w:val="0"/>
        </w:numPr>
        <w:tabs>
          <w:tab w:val="clear" w:pos="709"/>
          <w:tab w:val="left" w:pos="900" w:leader="none"/>
        </w:tabs>
        <w:spacing w:before="40" w:after="40"/>
        <w:ind w:left="567" w:hanging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2"/>
          <w:szCs w:val="22"/>
          <w:shd w:fill="auto" w:val="clear"/>
        </w:rPr>
        <w:t>- 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Сметная</w:t>
      </w:r>
      <w:r>
        <w:rPr>
          <w:rFonts w:ascii="Times New Roman" w:hAnsi="Times New Roman"/>
        </w:rPr>
        <w:t xml:space="preserve"> стоимость пусконаладочных работ определяется на основании утвержденных </w:t>
      </w:r>
    </w:p>
    <w:p>
      <w:pPr>
        <w:pStyle w:val="ConsPlusNormal1"/>
        <w:widowControl/>
        <w:tabs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cs="Times New Roman" w:ascii="Times New Roman" w:hAnsi="Times New Roman"/>
          <w:sz w:val="22"/>
          <w:szCs w:val="22"/>
          <w:lang w:val="en-US"/>
        </w:rPr>
        <w:t>VII</w:t>
      </w:r>
      <w:r>
        <w:rPr>
          <w:rFonts w:cs="Times New Roman" w:ascii="Times New Roman" w:hAnsi="Times New Roman"/>
          <w:sz w:val="22"/>
          <w:szCs w:val="22"/>
        </w:rPr>
        <w:t xml:space="preserve">. Методики определения сметной стоимости строительства: </w:t>
      </w:r>
    </w:p>
    <w:p>
      <w:pPr>
        <w:pStyle w:val="ConsPlusNormal1"/>
        <w:numPr>
          <w:ilvl w:val="0"/>
          <w:numId w:val="6"/>
        </w:numPr>
        <w:tabs>
          <w:tab w:val="left" w:pos="709" w:leader="none"/>
          <w:tab w:val="left" w:pos="851" w:leader="none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ConsPlusNormal1"/>
        <w:numPr>
          <w:ilvl w:val="0"/>
          <w:numId w:val="6"/>
        </w:numPr>
        <w:tabs>
          <w:tab w:val="left" w:pos="709" w:leader="none"/>
          <w:tab w:val="left" w:pos="851" w:leader="none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>
      <w:pPr>
        <w:pStyle w:val="ConsPlusNormal1"/>
        <w:tabs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Данные работы оформляются отдельными локальными сметами в соответствии </w:t>
      </w:r>
      <w:r>
        <w:rPr>
          <w:rFonts w:cs="Times New Roman" w:ascii="Times New Roman" w:hAnsi="Times New Roman"/>
          <w:color w:val="000000"/>
          <w:sz w:val="22"/>
          <w:szCs w:val="22"/>
        </w:rPr>
        <w:t>с Приложением №</w:t>
      </w:r>
      <w:r>
        <w:rPr>
          <w:rFonts w:cs="Times New Roman" w:ascii="Times New Roman" w:hAnsi="Times New Roman"/>
          <w:color w:val="000000"/>
          <w:sz w:val="22"/>
          <w:szCs w:val="22"/>
          <w:shd w:fill="auto" w:val="clear"/>
        </w:rPr>
        <w:t xml:space="preserve"> 1.5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Стоимость</w:t>
      </w:r>
      <w:r>
        <w:rPr>
          <w:rFonts w:ascii="Times New Roman" w:hAnsi="Times New Roman"/>
        </w:rPr>
        <w:t xml:space="preserve">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>
        <w:rPr>
          <w:rFonts w:ascii="Times New Roman" w:hAnsi="Times New Roman"/>
          <w:color w:val="000000"/>
        </w:rPr>
        <w:t>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перевооружению).</w:t>
      </w:r>
      <w:r>
        <w:rPr>
          <w:rFonts w:ascii="Times New Roman" w:hAnsi="Times New Roman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определять в соответствии с Федеральным законодательством и с учетом норм, определяемых внутренним документом организации.</w:t>
      </w:r>
    </w:p>
    <w:p>
      <w:pPr>
        <w:pStyle w:val="ConsPlusNormal1"/>
        <w:widowControl/>
        <w:tabs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Лимиты командировочных расходов при производстве СМР и ПНР по статьям затрат следующие:</w:t>
      </w:r>
    </w:p>
    <w:p>
      <w:pPr>
        <w:pStyle w:val="ConsPlusNormal1"/>
        <w:numPr>
          <w:ilvl w:val="0"/>
          <w:numId w:val="6"/>
        </w:numPr>
        <w:tabs>
          <w:tab w:val="left" w:pos="284" w:leader="none"/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суточные - 700 руб./сутки;</w:t>
      </w:r>
    </w:p>
    <w:p>
      <w:pPr>
        <w:pStyle w:val="ConsPlusNormal1"/>
        <w:numPr>
          <w:ilvl w:val="0"/>
          <w:numId w:val="6"/>
        </w:numPr>
        <w:tabs>
          <w:tab w:val="left" w:pos="284" w:leader="none"/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проживание – 500 руб./сутки;</w:t>
      </w:r>
    </w:p>
    <w:p>
      <w:pPr>
        <w:pStyle w:val="ConsPlusNormal1"/>
        <w:numPr>
          <w:ilvl w:val="0"/>
          <w:numId w:val="6"/>
        </w:numPr>
        <w:tabs>
          <w:tab w:val="left" w:pos="284" w:leader="none"/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ConsPlusNormal1"/>
        <w:tabs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 w:cs="Times New Roman"/>
          <w:b/>
          <w:i/>
          <w:i/>
          <w:color w:val="000000" w:themeColor="text1"/>
          <w:sz w:val="22"/>
          <w:szCs w:val="22"/>
        </w:rPr>
      </w:pPr>
      <w:r>
        <w:rPr>
          <w:rFonts w:cs="Times New Roman" w:ascii="Times New Roman" w:hAnsi="Times New Roman"/>
          <w:b/>
          <w:i/>
          <w:color w:val="000000" w:themeColor="text1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color w:val="000000"/>
          <w:highlight w:val="none"/>
          <w:shd w:fill="FFFFFF" w:val="clear"/>
        </w:rPr>
      </w:pPr>
      <w:r>
        <w:rPr>
          <w:rFonts w:ascii="Times New Roman" w:hAnsi="Times New Roman"/>
          <w:color w:val="000000"/>
          <w:shd w:fill="FFFFFF" w:val="clear"/>
        </w:rPr>
        <w:t xml:space="preserve">В локальных сметных расчетах построчные и итоговые суммы </w:t>
      </w:r>
      <w:r>
        <w:rPr>
          <w:rFonts w:ascii="Times New Roman" w:hAnsi="Times New Roman"/>
          <w:b/>
          <w:color w:val="000000"/>
          <w:u w:val="single"/>
          <w:shd w:fill="FFFFFF" w:val="clear"/>
        </w:rPr>
        <w:t>округлять:</w:t>
      </w:r>
    </w:p>
    <w:p>
      <w:pPr>
        <w:pStyle w:val="ConsPlusNormal1"/>
        <w:numPr>
          <w:ilvl w:val="0"/>
          <w:numId w:val="6"/>
        </w:numPr>
        <w:tabs>
          <w:tab w:val="left" w:pos="709" w:leader="none"/>
          <w:tab w:val="left" w:pos="851" w:leader="none"/>
          <w:tab w:val="left" w:pos="1134" w:leader="none"/>
        </w:tabs>
        <w:spacing w:before="40" w:after="40"/>
        <w:ind w:left="0" w:firstLine="709"/>
        <w:jc w:val="both"/>
        <w:rPr>
          <w:color w:val="000000"/>
          <w:highlight w:val="none"/>
          <w:shd w:fill="FFFFFF" w:val="clear"/>
        </w:rPr>
      </w:pPr>
      <w:r>
        <w:rPr>
          <w:rFonts w:cs="Times New Roman" w:ascii="Times New Roman" w:hAnsi="Times New Roman"/>
          <w:color w:val="000000"/>
          <w:sz w:val="22"/>
          <w:szCs w:val="22"/>
          <w:shd w:fill="FFFFFF" w:val="clear"/>
        </w:rPr>
        <w:t xml:space="preserve">при ресурсно-индексном методе, а также в сметных расчетах на отдельные виды затрат - в рублях 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shd w:fill="FFFFFF" w:val="clear"/>
        </w:rPr>
        <w:t>до двух знаков после запятой;</w:t>
      </w:r>
    </w:p>
    <w:p>
      <w:pPr>
        <w:pStyle w:val="ConsPlusNormal1"/>
        <w:numPr>
          <w:ilvl w:val="0"/>
          <w:numId w:val="6"/>
        </w:numPr>
        <w:tabs>
          <w:tab w:val="left" w:pos="709" w:leader="none"/>
          <w:tab w:val="left" w:pos="851" w:leader="none"/>
          <w:tab w:val="left" w:pos="1134" w:leader="none"/>
        </w:tabs>
        <w:spacing w:before="40" w:after="40"/>
        <w:ind w:left="0" w:firstLine="709"/>
        <w:jc w:val="both"/>
        <w:rPr>
          <w:color w:val="000000"/>
          <w:highlight w:val="none"/>
          <w:shd w:fill="FFFFFF" w:val="clear"/>
        </w:rPr>
      </w:pPr>
      <w:r>
        <w:rPr>
          <w:rFonts w:cs="Times New Roman" w:ascii="Times New Roman" w:hAnsi="Times New Roman"/>
          <w:color w:val="000000"/>
          <w:sz w:val="22"/>
          <w:szCs w:val="22"/>
          <w:shd w:fill="FFFFFF" w:val="clear"/>
        </w:rPr>
        <w:t>в объектных сметных расчетах (сметах), сводном сметном расчете и сводке затрат - в рублях  до двух знаков после запятой. Величину НДС не указывать.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hd w:fill="auto" w:val="clear"/>
        </w:rPr>
        <w:t>Выходные</w:t>
      </w:r>
      <w:r>
        <w:rPr>
          <w:rFonts w:ascii="Times New Roman" w:hAnsi="Times New Roman"/>
          <w:shd w:fill="auto" w:val="clear"/>
        </w:rPr>
        <w:t xml:space="preserve"> формы сметных расчетов должны соответствовать Образцу согласно </w:t>
      </w:r>
      <w:r>
        <w:rPr>
          <w:rFonts w:ascii="Times New Roman" w:hAnsi="Times New Roman"/>
          <w:shd w:fill="auto" w:val="clear"/>
        </w:rPr>
        <w:t>Приложению 1.5.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предоставлением Заказчиком услуг, указанных в разделе Технических требований «Иные условия поставки товаров, выполнения работ, оказания услуг»</w:t>
      </w:r>
      <w:r>
        <w:rPr>
          <w:rStyle w:val="FootnoteReference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:</w:t>
      </w:r>
    </w:p>
    <w:p>
      <w:pPr>
        <w:pStyle w:val="ConsPlusNormal1"/>
        <w:widowControl/>
        <w:numPr>
          <w:ilvl w:val="1"/>
          <w:numId w:val="8"/>
        </w:numPr>
        <w:tabs>
          <w:tab w:val="left" w:pos="709" w:leader="none"/>
          <w:tab w:val="left" w:pos="851" w:leader="none"/>
          <w:tab w:val="left" w:pos="1560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В </w:t>
      </w:r>
      <w:r>
        <w:rPr>
          <w:rFonts w:cs="Times New Roman" w:ascii="Times New Roman" w:hAnsi="Times New Roman"/>
          <w:color w:val="000000"/>
          <w:sz w:val="22"/>
          <w:szCs w:val="22"/>
        </w:rPr>
        <w:t>сметной</w:t>
      </w:r>
      <w:r>
        <w:rPr>
          <w:rFonts w:cs="Times New Roman" w:ascii="Times New Roman" w:hAnsi="Times New Roman"/>
          <w:sz w:val="22"/>
          <w:szCs w:val="22"/>
        </w:rPr>
        <w:t xml:space="preserve"> документации при определении стоимости работ по расценкам, указанным в сборниках «Базовых цен на работы по ремонту энергетического оборудования», затраты на услуги, предоставляемые Заказчиком подрядным организациям не учитывать. </w:t>
      </w:r>
    </w:p>
    <w:p>
      <w:pPr>
        <w:pStyle w:val="ConsPlusNormal1"/>
        <w:widowControl/>
        <w:numPr>
          <w:ilvl w:val="1"/>
          <w:numId w:val="8"/>
        </w:numPr>
        <w:tabs>
          <w:tab w:val="left" w:pos="709" w:leader="none"/>
          <w:tab w:val="left" w:pos="851" w:leader="none"/>
          <w:tab w:val="left" w:pos="1560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Из норм и расценок, внесенных в ФРСН, при составлении сметной документации исключать затраты:</w:t>
      </w:r>
    </w:p>
    <w:p>
      <w:pPr>
        <w:pStyle w:val="ConsPlusNormal1"/>
        <w:widowControl/>
        <w:numPr>
          <w:ilvl w:val="2"/>
          <w:numId w:val="8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По предоставляемым грузоподъемным механизмам, учтенным в составе сметных норм и расценок:</w:t>
      </w:r>
    </w:p>
    <w:p>
      <w:pPr>
        <w:pStyle w:val="ConsPlusNormal1"/>
        <w:numPr>
          <w:ilvl w:val="0"/>
          <w:numId w:val="9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Исключать из норм и расценок предоставляемые грузоподъемные механизмы. </w:t>
      </w:r>
    </w:p>
    <w:p>
      <w:pPr>
        <w:pStyle w:val="ConsPlusNormal1"/>
        <w:widowControl/>
        <w:tabs>
          <w:tab w:val="left" w:pos="709" w:leader="none"/>
          <w:tab w:val="left" w:pos="851" w:leader="none"/>
          <w:tab w:val="left" w:pos="1418" w:leader="none"/>
        </w:tabs>
        <w:spacing w:before="40" w:after="4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случае использования подрядчиком собственных/арендованных механизмов полностью, либо частично, для выполнения конкретной работы на строительной площадке, из расценки на выполнение данных работ грузоподъемные механизмы не исключаются.</w:t>
      </w:r>
    </w:p>
    <w:p>
      <w:pPr>
        <w:pStyle w:val="ConsPlusNormal1"/>
        <w:widowControl/>
        <w:numPr>
          <w:ilvl w:val="2"/>
          <w:numId w:val="8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По предоставляемо</w:t>
      </w:r>
      <w:r>
        <w:rPr>
          <w:rFonts w:cs="Times New Roman" w:ascii="Times New Roman" w:hAnsi="Times New Roman"/>
          <w:sz w:val="22"/>
          <w:szCs w:val="22"/>
          <w:shd w:fill="auto" w:val="clear"/>
        </w:rPr>
        <w:t xml:space="preserve">й электроэнергии </w:t>
      </w:r>
      <w:r>
        <w:rPr>
          <w:rFonts w:cs="Times New Roman" w:ascii="Times New Roman" w:hAnsi="Times New Roman"/>
          <w:sz w:val="22"/>
          <w:szCs w:val="22"/>
        </w:rPr>
        <w:t>(в том числе, в составе стоимости машино-часа):</w:t>
      </w:r>
    </w:p>
    <w:p>
      <w:pPr>
        <w:pStyle w:val="ConsPlusNormal1"/>
        <w:numPr>
          <w:ilvl w:val="0"/>
          <w:numId w:val="9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Рассчитанная</w:t>
      </w:r>
      <w:r>
        <w:rPr>
          <w:rFonts w:ascii="Times New Roman" w:hAnsi="Times New Roman"/>
        </w:rPr>
        <w:t xml:space="preserve">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8.  </w:t>
      </w:r>
    </w:p>
    <w:p>
      <w:pPr>
        <w:pStyle w:val="ConsPlusNormal1"/>
        <w:widowControl/>
        <w:numPr>
          <w:ilvl w:val="2"/>
          <w:numId w:val="8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По предоставляемому сжатому воздуху:</w:t>
      </w:r>
    </w:p>
    <w:p>
      <w:pPr>
        <w:pStyle w:val="ConsPlusNormal1"/>
        <w:numPr>
          <w:ilvl w:val="0"/>
          <w:numId w:val="9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 норм и расценок исключать стоимость компрессоров. </w:t>
      </w:r>
    </w:p>
    <w:p>
      <w:pPr>
        <w:pStyle w:val="ConsPlusNormal1"/>
        <w:widowControl/>
        <w:numPr>
          <w:ilvl w:val="2"/>
          <w:numId w:val="8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По предоставляемой воде:</w:t>
      </w:r>
    </w:p>
    <w:p>
      <w:pPr>
        <w:pStyle w:val="ConsPlusNormal1"/>
        <w:numPr>
          <w:ilvl w:val="0"/>
          <w:numId w:val="9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 норм и расценок исключать стоимость воды.</w:t>
      </w:r>
    </w:p>
    <w:p>
      <w:pPr>
        <w:pStyle w:val="ConsPlusNormal1"/>
        <w:widowControl/>
        <w:numPr>
          <w:ilvl w:val="2"/>
          <w:numId w:val="8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Учтенные в составе накладных расходов:</w:t>
      </w:r>
    </w:p>
    <w:p>
      <w:pPr>
        <w:pStyle w:val="ConsPlusNormal1"/>
        <w:numPr>
          <w:ilvl w:val="0"/>
          <w:numId w:val="9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расходы по обеспечению санитарно-гигиенических и бытовых условий (удельный вес статьи затрат в накладных расходах - 3,02%);</w:t>
      </w:r>
    </w:p>
    <w:p>
      <w:pPr>
        <w:pStyle w:val="ConsPlusNormal1"/>
        <w:numPr>
          <w:ilvl w:val="0"/>
          <w:numId w:val="9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содержание пожарной и сторожевой охраны (удельный вес статьи затрат в накладных расходах - 2,01%);</w:t>
      </w:r>
    </w:p>
    <w:p>
      <w:pPr>
        <w:pStyle w:val="ConsPlusNormal1"/>
        <w:numPr>
          <w:ilvl w:val="0"/>
          <w:numId w:val="9"/>
        </w:numPr>
        <w:tabs>
          <w:tab w:val="left" w:pos="709" w:leader="none"/>
          <w:tab w:val="left" w:pos="851" w:leader="none"/>
          <w:tab w:val="left" w:pos="170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расходы</w:t>
      </w:r>
      <w:r>
        <w:rPr>
          <w:rFonts w:cs="Times New Roman" w:ascii="Times New Roman" w:hAnsi="Times New Roman"/>
          <w:sz w:val="22"/>
          <w:szCs w:val="22"/>
        </w:rPr>
        <w:t xml:space="preserve"> по благоустройству и содержанию строительных площадок (удельный вес статьи затрат в накладных расходах – 1,61%)</w:t>
      </w:r>
    </w:p>
    <w:p>
      <w:pPr>
        <w:pStyle w:val="Normal"/>
        <w:tabs>
          <w:tab w:val="left" w:pos="709" w:leader="none"/>
          <w:tab w:val="left" w:pos="851" w:leader="none"/>
          <w:tab w:val="left" w:pos="1418" w:leader="none"/>
        </w:tabs>
        <w:spacing w:lineRule="auto" w:line="240" w:before="40" w:after="4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исключаются путем применения понижающего коэффициента к нормативам накладных расходов на строительные работы в размере 0,9</w:t>
      </w:r>
      <w:r>
        <w:rPr>
          <w:rFonts w:ascii="Times New Roman" w:hAnsi="Times New Roman"/>
          <w:shd w:fill="auto" w:val="clear"/>
        </w:rPr>
        <w:t>3</w:t>
      </w:r>
      <w:r>
        <w:rPr>
          <w:rStyle w:val="FootnoteReference"/>
          <w:rFonts w:ascii="Times New Roman" w:hAnsi="Times New Roman"/>
          <w:color w:val="000000"/>
          <w:shd w:fill="auto" w:val="clear"/>
        </w:rPr>
        <w:footnoteReference w:id="3"/>
      </w:r>
      <w:r>
        <w:rPr>
          <w:rFonts w:ascii="Times New Roman" w:hAnsi="Times New Roman"/>
          <w:color w:val="000000"/>
          <w:shd w:fill="auto" w:val="clear"/>
        </w:rPr>
        <w:t>.</w:t>
      </w:r>
      <w:r>
        <w:rPr>
          <w:rFonts w:ascii="Times New Roman" w:hAnsi="Times New Roman"/>
        </w:rPr>
        <w:t xml:space="preserve">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ССРСС разрабатывается на объект строительства и (или) этап строительства на основании итоговых стоимостных показателей объектных и (или) локальных сметных расчетов (смет), а также сметных расчетов на отдельные виды затрат в текущем уровне цен. ССРСС составляется при наличии двух и более смет. Обязательными приложениями к ССРСС являются локальные сметы, подписанные инженером-сметчиком контрагента (подрядчика), с обязательным указанием должности, наименования организации, Ф.И.О. подписанта. Наименование и нумерация глав сводного сметного расчета не подлежат корректировке вне зависимости от состава включаемых затрат. В случае отсутствия затрат, предусматриваемых соответствующей главой сводного сметного расчета, эта глава пропускается без изменения номеров последующих глав. </w:t>
      </w:r>
      <w:r>
        <w:rPr>
          <w:rFonts w:ascii="Times New Roman" w:hAnsi="Times New Roman"/>
          <w:color w:val="000000"/>
        </w:rPr>
        <w:t>Формат ССРСС выполнять по Образцу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>
      <w:pPr>
        <w:pStyle w:val="ListParagraph"/>
        <w:numPr>
          <w:ilvl w:val="0"/>
          <w:numId w:val="8"/>
        </w:numPr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Сметная документация должна быть представлена </w:t>
      </w:r>
      <w:r>
        <w:rPr>
          <w:rFonts w:cs="Times New Roman" w:ascii="Times New Roman" w:hAnsi="Times New Roman"/>
          <w:sz w:val="22"/>
          <w:szCs w:val="22"/>
        </w:rPr>
        <w:t xml:space="preserve"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 </w:t>
      </w:r>
      <w:r>
        <w:rPr>
          <w:rFonts w:cs="Times New Roman" w:ascii="Times New Roman" w:hAnsi="Times New Roman"/>
          <w:sz w:val="22"/>
          <w:szCs w:val="22"/>
        </w:rPr>
        <w:t>В</w:t>
      </w:r>
      <w:r>
        <w:rPr>
          <w:rFonts w:cs="Times New Roman" w:ascii="Times New Roman" w:hAnsi="Times New Roman"/>
          <w:sz w:val="22"/>
          <w:szCs w:val="22"/>
        </w:rPr>
        <w:t xml:space="preserve"> формате ПК «Гранд-смета» выходная форма для печати указана ниже:</w:t>
      </w:r>
    </w:p>
    <w:p>
      <w:pPr>
        <w:pStyle w:val="ListParagraph"/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/>
      </w:r>
    </w:p>
    <w:p>
      <w:pPr>
        <w:pStyle w:val="ListParagraph"/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drawing>
          <wp:inline distT="0" distB="0" distL="0" distR="0">
            <wp:extent cx="5748020" cy="346138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3558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02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tabs>
          <w:tab w:val="left" w:pos="709" w:leader="none"/>
          <w:tab w:val="left" w:pos="851" w:leader="none"/>
          <w:tab w:val="left" w:pos="1276" w:leader="none"/>
        </w:tabs>
        <w:spacing w:lineRule="auto" w:line="240" w:before="40" w:after="40"/>
        <w:ind w:left="0" w:firstLine="709"/>
        <w:contextualSpacing w:val="false"/>
        <w:jc w:val="both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highlight w:val="yellow"/>
        </w:rPr>
      </w:pPr>
      <w:r>
        <w:rPr>
          <w:rFonts w:ascii="Times New Roman" w:hAnsi="Times New Roman"/>
          <w:color w:val="000000"/>
          <w:sz w:val="20"/>
          <w:szCs w:val="20"/>
          <w:highlight w:val="yellow"/>
        </w:rPr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Приложение 1 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 xml:space="preserve">к Требованиям к оформлению и составлению сметной документации 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color w:val="000000"/>
          <w:sz w:val="20"/>
          <w:u w:val="single"/>
        </w:rPr>
      </w:pPr>
      <w:r>
        <w:rPr>
          <w:rFonts w:ascii="Times New Roman" w:hAnsi="Times New Roman"/>
          <w:color w:val="000000"/>
          <w:sz w:val="20"/>
          <w:u w:val="single"/>
        </w:rPr>
        <w:t>на выполнение работ по программе ремонтов, реконструкции и техническому перевооружению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оформлению и составлению сводного сметного расчета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к договорам на реконструкцию, техническое перевооружение и ремонт и дополнительным соглашениям к указанным договорам.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При наличии двух и более сметных расчетов составлять ССРСС в текущем уровне цен по форме Приложения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№ 1.1 к </w:t>
      </w:r>
      <w:r>
        <w:rPr>
          <w:rFonts w:ascii="Times New Roman" w:hAnsi="Times New Roman"/>
          <w:color w:val="000000"/>
          <w:sz w:val="22"/>
          <w:szCs w:val="22"/>
        </w:rPr>
        <w:t xml:space="preserve">Требованиям к оформлению и составлению </w:t>
      </w:r>
      <w:r>
        <w:rPr>
          <w:rFonts w:cs="Times New Roman" w:ascii="Times New Roman" w:hAnsi="Times New Roman"/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 по образцу.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В случае заключений дополнительных соглашений к договору (далее - д/с), ССРСС необходимо выполнять в накопительной форме с учетом </w:t>
      </w:r>
      <w:r>
        <w:rPr>
          <w:rFonts w:cs="Times New Roman" w:ascii="Times New Roman" w:hAnsi="Times New Roman"/>
          <w:color w:val="000000"/>
          <w:sz w:val="22"/>
          <w:szCs w:val="22"/>
        </w:rPr>
        <w:t>ЛСР (</w:t>
      </w:r>
      <w:r>
        <w:rPr>
          <w:rFonts w:ascii="Times New Roman" w:hAnsi="Times New Roman"/>
          <w:color w:val="000000"/>
          <w:sz w:val="22"/>
        </w:rPr>
        <w:t xml:space="preserve">ЛС) к основному договору и ко всем заключенным д/с к нему. В итогах ССРСС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ССРСС очередного д/с и стоимостью основного договора. Форма ССРСС с учетом заключения д/с к договору приведена в Приложении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№ 1.2 к </w:t>
      </w:r>
      <w:r>
        <w:rPr>
          <w:rFonts w:ascii="Times New Roman" w:hAnsi="Times New Roman"/>
          <w:color w:val="000000"/>
          <w:sz w:val="22"/>
          <w:szCs w:val="22"/>
        </w:rPr>
        <w:t xml:space="preserve">Требованиям к оформлению и составлению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к Требованиям </w:t>
      </w:r>
      <w:r>
        <w:rPr>
          <w:rFonts w:ascii="Times New Roman" w:hAnsi="Times New Roman"/>
          <w:color w:val="000000"/>
          <w:sz w:val="22"/>
        </w:rPr>
        <w:t xml:space="preserve">к оформлению и составлению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ЛС являются приложениями к ССРСС. Нумерация приложений указывается по мере включения ЛС в ССР в накопительной форме - по порядку.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Разнесение затрат (сумм ЛС) по графам и главам ССРСС осуществлять в соответствии с указаниями Методики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В ССРСС, построчные и итоговые суммы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указывать </w:t>
      </w:r>
      <w:r>
        <w:rPr>
          <w:rFonts w:ascii="Times New Roman" w:hAnsi="Times New Roman"/>
          <w:color w:val="000000"/>
          <w:sz w:val="22"/>
        </w:rPr>
        <w:t>в рублях с округлением до двух знаков после запятой. Величину НДС не указывать.</w:t>
      </w:r>
    </w:p>
    <w:p>
      <w:pPr>
        <w:sectPr>
          <w:footerReference w:type="default" r:id="rId3"/>
          <w:footnotePr>
            <w:numFmt w:val="decimal"/>
            <w:numRestart w:val="eachSect"/>
          </w:footnotePr>
          <w:type w:val="nextPage"/>
          <w:pgSz w:w="11906" w:h="16838"/>
          <w:pgMar w:left="1276" w:right="707" w:gutter="0" w:header="0" w:top="851" w:footer="709" w:bottom="766"/>
          <w:pgNumType w:fmt="decimal"/>
          <w:formProt w:val="false"/>
          <w:textDirection w:val="lrTb"/>
          <w:docGrid w:type="default" w:linePitch="360" w:charSpace="0"/>
        </w:sect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ССРСС.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</w:t>
      </w:r>
    </w:p>
    <w:p>
      <w:pPr>
        <w:pStyle w:val="ConsPlusNormal1"/>
        <w:ind w:left="57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</w:rPr>
        <w:t>Приложение № 1.1</w:t>
      </w:r>
    </w:p>
    <w:p>
      <w:pPr>
        <w:pStyle w:val="ConsPlusNormal1"/>
        <w:ind w:left="57" w:firstLine="720"/>
        <w:rPr>
          <w:rFonts w:ascii="Times New Roman" w:hAnsi="Times New Roman"/>
        </w:rPr>
      </w:pPr>
      <w:r>
        <w:rPr>
          <w:rFonts w:ascii="Times New Roman" w:hAnsi="Times New Roman"/>
          <w:b/>
          <w:sz w:val="22"/>
          <w:szCs w:val="22"/>
        </w:rPr>
        <w:t xml:space="preserve">ОБРАЗЕЦ </w:t>
      </w: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>
      <w:pPr>
        <w:pStyle w:val="ConsPlusNormal1"/>
        <w:ind w:left="5811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сметной документации на выполнение работ по программе ремонтов, реконструкции и техническому перевооружению </w:t>
      </w:r>
    </w:p>
    <w:p>
      <w:pPr>
        <w:pStyle w:val="ConsPlusNormal1"/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Приложение №___                                                                                    к договору от_______№_____ </w:t>
      </w:r>
      <w:r>
        <w:rPr>
          <w:rFonts w:ascii="Times New Roman" w:hAnsi="Times New Roman"/>
          <w:lang w:val="en-US"/>
        </w:rPr>
        <w:t xml:space="preserve"> </w:t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1" w:name="P2530"/>
      <w:bookmarkStart w:id="2" w:name="P3258"/>
      <w:bookmarkStart w:id="3" w:name="P2506"/>
      <w:bookmarkStart w:id="4" w:name="P2522"/>
      <w:bookmarkStart w:id="5" w:name="P2523"/>
      <w:bookmarkStart w:id="6" w:name="P2524"/>
      <w:bookmarkStart w:id="7" w:name="P2525"/>
      <w:bookmarkStart w:id="8" w:name="P2526"/>
      <w:bookmarkStart w:id="9" w:name="P2527"/>
      <w:bookmarkStart w:id="10" w:name="P2529"/>
      <w:bookmarkStart w:id="11" w:name="P2531"/>
      <w:bookmarkStart w:id="12" w:name="P2546"/>
      <w:bookmarkStart w:id="13" w:name="P2566"/>
      <w:bookmarkStart w:id="14" w:name="P2616"/>
      <w:bookmarkStart w:id="15" w:name="P2736"/>
      <w:bookmarkStart w:id="16" w:name="P2746"/>
      <w:bookmarkStart w:id="17" w:name="P2945"/>
      <w:bookmarkStart w:id="18" w:name="P2528"/>
      <w:bookmarkStart w:id="19" w:name="P2530"/>
      <w:bookmarkStart w:id="20" w:name="P3258"/>
      <w:bookmarkStart w:id="21" w:name="P2506"/>
      <w:bookmarkStart w:id="22" w:name="P2522"/>
      <w:bookmarkStart w:id="23" w:name="P2523"/>
      <w:bookmarkStart w:id="24" w:name="P2524"/>
      <w:bookmarkStart w:id="25" w:name="P2525"/>
      <w:bookmarkStart w:id="26" w:name="P2526"/>
      <w:bookmarkStart w:id="27" w:name="P2527"/>
      <w:bookmarkStart w:id="28" w:name="P2529"/>
      <w:bookmarkStart w:id="29" w:name="P2531"/>
      <w:bookmarkStart w:id="30" w:name="P2546"/>
      <w:bookmarkStart w:id="31" w:name="P2566"/>
      <w:bookmarkStart w:id="32" w:name="P2616"/>
      <w:bookmarkStart w:id="33" w:name="P2736"/>
      <w:bookmarkStart w:id="34" w:name="P2746"/>
      <w:bookmarkStart w:id="35" w:name="P2945"/>
      <w:bookmarkStart w:id="36" w:name="P252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tbl>
      <w:tblPr>
        <w:tblW w:w="10915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464"/>
        <w:gridCol w:w="7450"/>
      </w:tblGrid>
      <w:tr>
        <w:trPr>
          <w:trHeight w:val="1158" w:hRule="atLeast"/>
        </w:trPr>
        <w:tc>
          <w:tcPr>
            <w:tcW w:w="3464" w:type="dxa"/>
            <w:tcBorders/>
            <w:shd w:color="auto" w:fill="auto" w:val="clear"/>
          </w:tcPr>
          <w:p>
            <w:pPr>
              <w:pStyle w:val="ConsPlusNormal1"/>
              <w:widowControl w:val="false"/>
              <w:ind w:left="283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СОГЛАСОВАНО</w:t>
            </w:r>
            <w:r>
              <w:rPr>
                <w:rFonts w:cs="Times New Roman" w:ascii="Times New Roman" w:hAnsi="Times New Roman"/>
              </w:rPr>
              <w:t>:</w:t>
            </w:r>
          </w:p>
          <w:p>
            <w:pPr>
              <w:pStyle w:val="ConsPlusNormal1"/>
              <w:widowControl w:val="false"/>
              <w:ind w:right="-909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______________(Подрядчик )</w:t>
            </w:r>
          </w:p>
          <w:p>
            <w:pPr>
              <w:pStyle w:val="ConsPlusNormal1"/>
              <w:widowControl w:val="false"/>
              <w:tabs>
                <w:tab w:val="clear" w:pos="709"/>
                <w:tab w:val="left" w:pos="0" w:leader="none"/>
              </w:tabs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_______________(ФИО)</w:t>
            </w:r>
          </w:p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1"/>
              <w:widowControl w:val="false"/>
              <w:ind w:left="142" w:hanging="142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Заказчик:______________________</w:t>
            </w:r>
          </w:p>
        </w:tc>
        <w:tc>
          <w:tcPr>
            <w:tcW w:w="7450" w:type="dxa"/>
            <w:tcBorders/>
            <w:shd w:color="auto" w:fill="auto" w:val="clear"/>
          </w:tcPr>
          <w:p>
            <w:pPr>
              <w:pStyle w:val="ConsPlusNormal1"/>
              <w:widowControl w:val="false"/>
              <w:ind w:right="-3855" w:firstLine="7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УТВЕРЖДАЮ:</w:t>
            </w:r>
          </w:p>
          <w:p>
            <w:pPr>
              <w:pStyle w:val="ConsPlusNormal1"/>
              <w:widowControl w:val="false"/>
              <w:ind w:right="-909" w:hanging="0"/>
              <w:rPr>
                <w:rFonts w:ascii="Times New Roman" w:hAnsi="Times New Roman" w:cs="Times New Roman"/>
                <w:sz w:val="22"/>
              </w:rPr>
            </w:pPr>
            <w:r>
              <w:rPr>
                <w:rFonts w:cs="Times New Roman" w:ascii="Times New Roman" w:hAnsi="Times New Roman"/>
                <w:b/>
              </w:rPr>
              <w:t xml:space="preserve">                                                              </w:t>
            </w:r>
            <w:r>
              <w:rPr>
                <w:rFonts w:cs="Times New Roman" w:ascii="Times New Roman" w:hAnsi="Times New Roman"/>
                <w:b/>
                <w:sz w:val="22"/>
              </w:rPr>
              <w:t xml:space="preserve">                             </w:t>
            </w:r>
            <w:r>
              <w:rPr>
                <w:rFonts w:cs="Times New Roman" w:ascii="Times New Roman" w:hAnsi="Times New Roman"/>
                <w:sz w:val="22"/>
              </w:rPr>
              <w:t>_____________(Заказчик )</w:t>
            </w:r>
          </w:p>
          <w:p>
            <w:pPr>
              <w:pStyle w:val="ConsPlusNormal1"/>
              <w:widowControl w:val="false"/>
              <w:ind w:left="2551" w:firstLine="7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sz w:val="22"/>
              </w:rPr>
              <w:t xml:space="preserve">                  </w:t>
            </w:r>
            <w:r>
              <w:rPr>
                <w:rFonts w:cs="Times New Roman" w:ascii="Times New Roman" w:hAnsi="Times New Roman"/>
                <w:sz w:val="22"/>
              </w:rPr>
              <w:t>______________(</w:t>
            </w:r>
            <w:r>
              <w:rPr>
                <w:rFonts w:cs="Times New Roman" w:ascii="Times New Roman" w:hAnsi="Times New Roman"/>
              </w:rPr>
              <w:t>ФИО)</w:t>
            </w:r>
          </w:p>
        </w:tc>
      </w:tr>
      <w:tr>
        <w:trPr/>
        <w:tc>
          <w:tcPr>
            <w:tcW w:w="3464" w:type="dxa"/>
            <w:tcBorders/>
            <w:shd w:color="auto" w:fill="auto" w:val="clear"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(наименование организации)</w:t>
            </w:r>
          </w:p>
        </w:tc>
        <w:tc>
          <w:tcPr>
            <w:tcW w:w="7450" w:type="dxa"/>
            <w:tcBorders/>
            <w:shd w:color="auto" w:fill="auto" w:val="clea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914" w:type="dxa"/>
            <w:gridSpan w:val="2"/>
            <w:tcBorders/>
            <w:shd w:color="auto" w:fill="auto" w:val="clea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Утвержден: __ ______________202__ г.</w:t>
            </w:r>
          </w:p>
        </w:tc>
      </w:tr>
    </w:tbl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09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215"/>
        <w:gridCol w:w="2664"/>
        <w:gridCol w:w="3098"/>
      </w:tblGrid>
      <w:tr>
        <w:trPr/>
        <w:tc>
          <w:tcPr>
            <w:tcW w:w="5215" w:type="dxa"/>
            <w:tcBorders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 сметной стоимостью</w:t>
            </w:r>
          </w:p>
        </w:tc>
        <w:tc>
          <w:tcPr>
            <w:tcW w:w="2664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98" w:type="dxa"/>
            <w:tcBorders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руб.</w:t>
            </w:r>
          </w:p>
        </w:tc>
      </w:tr>
      <w:tr>
        <w:trPr/>
        <w:tc>
          <w:tcPr>
            <w:tcW w:w="1097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97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(ссылка на документ об утверждении)</w:t>
            </w:r>
          </w:p>
        </w:tc>
      </w:tr>
      <w:tr>
        <w:trPr/>
        <w:tc>
          <w:tcPr>
            <w:tcW w:w="10977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</w:t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ССРСС-________</w:t>
            </w:r>
          </w:p>
        </w:tc>
      </w:tr>
      <w:tr>
        <w:trPr>
          <w:trHeight w:val="22" w:hRule="atLeast"/>
        </w:trPr>
        <w:tc>
          <w:tcPr>
            <w:tcW w:w="1097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97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 стройки)</w:t>
            </w:r>
          </w:p>
        </w:tc>
      </w:tr>
      <w:tr>
        <w:trPr/>
        <w:tc>
          <w:tcPr>
            <w:tcW w:w="10977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jc w:val="center"/>
        <w:rPr/>
      </w:pPr>
      <w:r>
        <w:rPr/>
      </w:r>
    </w:p>
    <w:tbl>
      <w:tblPr>
        <w:tblW w:w="10982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633"/>
        <w:gridCol w:w="995"/>
        <w:gridCol w:w="282"/>
        <w:gridCol w:w="1271"/>
        <w:gridCol w:w="363"/>
        <w:gridCol w:w="1347"/>
        <w:gridCol w:w="426"/>
        <w:gridCol w:w="1131"/>
        <w:gridCol w:w="1558"/>
        <w:gridCol w:w="1433"/>
        <w:gridCol w:w="1541"/>
      </w:tblGrid>
      <w:tr>
        <w:trPr>
          <w:trHeight w:val="212" w:hRule="atLeast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</w:t>
            </w:r>
          </w:p>
        </w:tc>
        <w:tc>
          <w:tcPr>
            <w:tcW w:w="15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77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Сметная стоимость, руб.</w:t>
            </w:r>
          </w:p>
        </w:tc>
      </w:tr>
      <w:tr>
        <w:trPr>
          <w:trHeight w:val="1019" w:hRule="atLeast"/>
        </w:trPr>
        <w:tc>
          <w:tcPr>
            <w:tcW w:w="6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5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191" w:hanging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оборудования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3"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прочих затрат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всего</w:t>
            </w:r>
          </w:p>
        </w:tc>
      </w:tr>
      <w:tr>
        <w:trPr>
          <w:trHeight w:val="273" w:hRule="atLeast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27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9"/>
                <w:tab w:val="left" w:pos="567" w:leader="none"/>
                <w:tab w:val="left" w:pos="2091" w:leader="none"/>
              </w:tabs>
              <w:ind w:left="170" w:hanging="4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Руководитель</w:t>
            </w:r>
          </w:p>
          <w:p>
            <w:pPr>
              <w:pStyle w:val="ConsPlusNormal1"/>
              <w:widowControl w:val="false"/>
              <w:tabs>
                <w:tab w:val="clear" w:pos="709"/>
                <w:tab w:val="left" w:pos="851" w:leader="none"/>
              </w:tabs>
              <w:ind w:left="170" w:hanging="14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проектной организации</w:t>
            </w:r>
          </w:p>
        </w:tc>
        <w:tc>
          <w:tcPr>
            <w:tcW w:w="7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Главный инженер проекта</w:t>
            </w:r>
          </w:p>
        </w:tc>
        <w:tc>
          <w:tcPr>
            <w:tcW w:w="7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907" w:firstLine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Начальник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отдела</w:t>
            </w:r>
          </w:p>
        </w:tc>
        <w:tc>
          <w:tcPr>
            <w:tcW w:w="5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1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(наименование)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284" w:firstLine="2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Заказчик</w:t>
            </w:r>
          </w:p>
        </w:tc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</w:tbl>
    <w:p>
      <w:pPr>
        <w:pStyle w:val="Normal"/>
        <w:spacing w:lineRule="auto" w:line="240" w:before="0" w:after="0"/>
        <w:ind w:left="357" w:firstLine="7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left="357" w:firstLine="7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left="397"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ОБРАЗЕЦ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ind w:left="8646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>
      <w:pPr>
        <w:pStyle w:val="ConsPlusNormal1"/>
        <w:ind w:left="5811" w:firstLine="720"/>
        <w:jc w:val="left"/>
        <w:rPr>
          <w:rFonts w:ascii="Times New Roman" w:hAnsi="Times New Roman" w:eastAsia="Times New Roman" w:cs="Arial"/>
          <w:color w:val="auto"/>
          <w:kern w:val="0"/>
          <w:sz w:val="20"/>
          <w:szCs w:val="20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0"/>
          <w:szCs w:val="20"/>
          <w:lang w:val="ru-RU" w:eastAsia="ru-RU" w:bidi="ar-SA"/>
        </w:rPr>
        <w:t xml:space="preserve">к Требованиям к оформлению и составлению               </w:t>
      </w:r>
    </w:p>
    <w:p>
      <w:pPr>
        <w:pStyle w:val="ConsPlusNormal1"/>
        <w:ind w:left="5811" w:firstLine="720"/>
        <w:jc w:val="left"/>
        <w:rPr>
          <w:rFonts w:ascii="Times New Roman" w:hAnsi="Times New Roman" w:eastAsia="Times New Roman" w:cs="Arial"/>
          <w:color w:val="auto"/>
          <w:kern w:val="0"/>
          <w:sz w:val="20"/>
          <w:szCs w:val="20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0"/>
          <w:szCs w:val="20"/>
          <w:lang w:val="ru-RU" w:eastAsia="ru-RU" w:bidi="ar-SA"/>
        </w:rPr>
        <w:t xml:space="preserve">сметной документации на выполнение работ </w:t>
      </w:r>
    </w:p>
    <w:p>
      <w:pPr>
        <w:pStyle w:val="ConsPlusNormal1"/>
        <w:ind w:left="5811" w:firstLine="720"/>
        <w:jc w:val="left"/>
        <w:rPr>
          <w:rFonts w:ascii="Times New Roman" w:hAnsi="Times New Roman" w:eastAsia="Times New Roman" w:cs="Arial"/>
          <w:color w:val="auto"/>
          <w:kern w:val="0"/>
          <w:sz w:val="20"/>
          <w:szCs w:val="20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0"/>
          <w:szCs w:val="20"/>
          <w:lang w:val="ru-RU" w:eastAsia="ru-RU" w:bidi="ar-SA"/>
        </w:rPr>
        <w:t xml:space="preserve"> </w:t>
      </w:r>
      <w:r>
        <w:rPr>
          <w:rFonts w:eastAsia="Times New Roman" w:cs="Arial" w:ascii="Times New Roman" w:hAnsi="Times New Roman"/>
          <w:color w:val="auto"/>
          <w:kern w:val="0"/>
          <w:sz w:val="20"/>
          <w:szCs w:val="20"/>
          <w:lang w:val="ru-RU" w:eastAsia="ru-RU" w:bidi="ar-SA"/>
        </w:rPr>
        <w:t>по программе</w:t>
      </w:r>
    </w:p>
    <w:p>
      <w:pPr>
        <w:pStyle w:val="ConsPlusNormal1"/>
        <w:ind w:left="5811" w:firstLine="720"/>
        <w:jc w:val="left"/>
        <w:rPr>
          <w:rFonts w:ascii="Times New Roman" w:hAnsi="Times New Roman" w:eastAsia="Times New Roman" w:cs="Arial"/>
          <w:color w:val="auto"/>
          <w:kern w:val="0"/>
          <w:sz w:val="20"/>
          <w:szCs w:val="20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0"/>
          <w:szCs w:val="20"/>
          <w:lang w:val="ru-RU" w:eastAsia="ru-RU" w:bidi="ar-SA"/>
        </w:rPr>
        <w:t>ремонтов, реконструкции и</w:t>
      </w:r>
    </w:p>
    <w:p>
      <w:pPr>
        <w:pStyle w:val="ConsPlusNormal1"/>
        <w:ind w:left="5811" w:firstLine="720"/>
        <w:jc w:val="left"/>
        <w:rPr>
          <w:rFonts w:ascii="Times New Roman" w:hAnsi="Times New Roman" w:eastAsia="Times New Roman" w:cs="Arial"/>
          <w:color w:val="auto"/>
          <w:kern w:val="0"/>
          <w:sz w:val="20"/>
          <w:szCs w:val="20"/>
          <w:lang w:val="ru-RU" w:eastAsia="ru-RU" w:bidi="ar-SA"/>
        </w:rPr>
      </w:pPr>
      <w:r>
        <w:rPr>
          <w:rFonts w:eastAsia="Times New Roman" w:cs="Arial" w:ascii="Times New Roman" w:hAnsi="Times New Roman"/>
          <w:color w:val="auto"/>
          <w:kern w:val="0"/>
          <w:sz w:val="20"/>
          <w:szCs w:val="20"/>
          <w:lang w:val="ru-RU" w:eastAsia="ru-RU" w:bidi="ar-SA"/>
        </w:rPr>
        <w:t>техническому перевооружению</w:t>
      </w:r>
    </w:p>
    <w:p>
      <w:pPr>
        <w:pStyle w:val="ConsPlusNormal1"/>
        <w:ind w:left="5811" w:firstLine="72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tabs>
          <w:tab w:val="clear" w:pos="709"/>
          <w:tab w:val="left" w:pos="6804" w:leader="none"/>
        </w:tabs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>Приложение №___</w:t>
      </w:r>
    </w:p>
    <w:p>
      <w:pPr>
        <w:pStyle w:val="ConsPlusNormal1"/>
        <w:tabs>
          <w:tab w:val="clear" w:pos="709"/>
          <w:tab w:val="left" w:pos="6946" w:leader="none"/>
        </w:tabs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left="5811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к договору от________№_____ </w:t>
      </w:r>
    </w:p>
    <w:tbl>
      <w:tblPr>
        <w:tblW w:w="10915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223"/>
        <w:gridCol w:w="9691"/>
      </w:tblGrid>
      <w:tr>
        <w:trPr/>
        <w:tc>
          <w:tcPr>
            <w:tcW w:w="1223" w:type="dxa"/>
            <w:tcBorders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</w:t>
            </w:r>
            <w:r>
              <w:rPr>
                <w:rFonts w:cs="Times New Roman" w:ascii="Times New Roman" w:hAnsi="Times New Roman"/>
              </w:rPr>
              <w:t>Заказчик</w:t>
            </w:r>
          </w:p>
        </w:tc>
        <w:tc>
          <w:tcPr>
            <w:tcW w:w="9691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223" w:type="dxa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91" w:type="dxa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 организации)</w:t>
            </w:r>
          </w:p>
        </w:tc>
      </w:tr>
      <w:tr>
        <w:trPr/>
        <w:tc>
          <w:tcPr>
            <w:tcW w:w="10914" w:type="dxa"/>
            <w:gridSpan w:val="2"/>
            <w:tcBorders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Утвержден __ ______________ 20__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9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215"/>
        <w:gridCol w:w="2664"/>
        <w:gridCol w:w="3098"/>
      </w:tblGrid>
      <w:tr>
        <w:trPr/>
        <w:tc>
          <w:tcPr>
            <w:tcW w:w="5215" w:type="dxa"/>
            <w:tcBorders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 сметной стоимостью</w:t>
            </w:r>
          </w:p>
        </w:tc>
        <w:tc>
          <w:tcPr>
            <w:tcW w:w="2664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98" w:type="dxa"/>
            <w:tcBorders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руб.</w:t>
            </w:r>
          </w:p>
        </w:tc>
      </w:tr>
      <w:tr>
        <w:trPr/>
        <w:tc>
          <w:tcPr>
            <w:tcW w:w="1097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97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(ссылка на документ об утверждении)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9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0977"/>
      </w:tblGrid>
      <w:tr>
        <w:trPr/>
        <w:tc>
          <w:tcPr>
            <w:tcW w:w="10977" w:type="dxa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</w:t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ССРСС-________</w:t>
            </w:r>
          </w:p>
        </w:tc>
      </w:tr>
      <w:tr>
        <w:trPr/>
        <w:tc>
          <w:tcPr>
            <w:tcW w:w="10977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977" w:type="dxa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 стройки)</w:t>
            </w:r>
          </w:p>
        </w:tc>
      </w:tr>
      <w:tr>
        <w:trPr/>
        <w:tc>
          <w:tcPr>
            <w:tcW w:w="10977" w:type="dxa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706" w:type="dxa"/>
        <w:jc w:val="left"/>
        <w:tblInd w:w="4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09"/>
        <w:gridCol w:w="909"/>
        <w:gridCol w:w="296"/>
        <w:gridCol w:w="1633"/>
        <w:gridCol w:w="57"/>
        <w:gridCol w:w="1699"/>
        <w:gridCol w:w="14"/>
        <w:gridCol w:w="1264"/>
        <w:gridCol w:w="1427"/>
        <w:gridCol w:w="1141"/>
        <w:gridCol w:w="1755"/>
      </w:tblGrid>
      <w:tr>
        <w:trPr>
          <w:trHeight w:val="311" w:hRule="atLeast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ru-RU" w:eastAsia="ru-RU" w:bidi="ar-SA"/>
              </w:rPr>
              <w:t>п/п</w:t>
            </w:r>
          </w:p>
        </w:tc>
        <w:tc>
          <w:tcPr>
            <w:tcW w:w="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</w:t>
            </w:r>
          </w:p>
        </w:tc>
        <w:tc>
          <w:tcPr>
            <w:tcW w:w="19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73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Сметная стоимость, руб.</w:t>
            </w:r>
          </w:p>
        </w:tc>
      </w:tr>
      <w:tr>
        <w:trPr>
          <w:trHeight w:val="1294" w:hRule="atLeast"/>
        </w:trPr>
        <w:tc>
          <w:tcPr>
            <w:tcW w:w="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191" w:hanging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оборудования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113"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прочих затрат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всего</w:t>
            </w:r>
          </w:p>
        </w:tc>
      </w:tr>
      <w:tr>
        <w:trPr>
          <w:trHeight w:val="144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r>
          </w:p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107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Сметы основного договора</w:t>
            </w:r>
          </w:p>
        </w:tc>
      </w:tr>
      <w:tr>
        <w:trPr>
          <w:trHeight w:val="287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39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r>
          </w:p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по сметам основного договора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7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Включить дополнительным соглашением № 1</w:t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включено дополнительным соглашением № 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1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Исключить дополнительным соглашением № 2</w:t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uppressAutoHyphens w:val="true"/>
              <w:bidi w:val="0"/>
              <w:spacing w:before="0" w:after="0"/>
              <w:ind w:left="0" w:right="-170" w:firstLine="7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исключено дополнительным соглашением № 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по главе №: __________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по главам №№: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Всего по ССР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Справочно</w:t>
            </w: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.</w:t>
            </w:r>
          </w:p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Сумма основного договора, без НДС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Сумма изменения</w:t>
              <w:br/>
              <w:t>(увеличения/уменьшения) стоимости основного договора на основании ДС № 1, без НДС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Сумма изменения</w:t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347" w:type="dxa"/>
            <w:gridSpan w:val="4"/>
            <w:tcBorders/>
          </w:tcPr>
          <w:p>
            <w:pPr>
              <w:pStyle w:val="ConsPlusNormal1"/>
              <w:widowControl w:val="false"/>
              <w:tabs>
                <w:tab w:val="clear" w:pos="709"/>
                <w:tab w:val="left" w:pos="2091" w:leader="none"/>
              </w:tabs>
              <w:ind w:left="425" w:hanging="425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</w:t>
            </w:r>
            <w:r>
              <w:rPr>
                <w:rFonts w:cs="Times New Roman" w:ascii="Times New Roman" w:hAnsi="Times New Roman"/>
              </w:rPr>
              <w:t>Руководитель</w:t>
            </w:r>
          </w:p>
          <w:p>
            <w:pPr>
              <w:pStyle w:val="ConsPlusNormal1"/>
              <w:widowControl w:val="false"/>
              <w:ind w:left="425" w:hanging="425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</w:t>
            </w:r>
            <w:r>
              <w:rPr>
                <w:rFonts w:cs="Times New Roman" w:ascii="Times New Roman" w:hAnsi="Times New Roman"/>
              </w:rPr>
              <w:t>проектной организации</w:t>
            </w:r>
          </w:p>
        </w:tc>
        <w:tc>
          <w:tcPr>
            <w:tcW w:w="7357" w:type="dxa"/>
            <w:gridSpan w:val="7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347" w:type="dxa"/>
            <w:gridSpan w:val="4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357" w:type="dxa"/>
            <w:gridSpan w:val="7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3347" w:type="dxa"/>
            <w:gridSpan w:val="4"/>
            <w:tcBorders/>
          </w:tcPr>
          <w:p>
            <w:pPr>
              <w:pStyle w:val="ConsPlusNormal1"/>
              <w:widowControl w:val="false"/>
              <w:ind w:left="141" w:hanging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Главный инженер проекта</w:t>
            </w:r>
          </w:p>
        </w:tc>
        <w:tc>
          <w:tcPr>
            <w:tcW w:w="7357" w:type="dxa"/>
            <w:gridSpan w:val="7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347" w:type="dxa"/>
            <w:gridSpan w:val="4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357" w:type="dxa"/>
            <w:gridSpan w:val="7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1714" w:type="dxa"/>
            <w:gridSpan w:val="3"/>
            <w:tcBorders/>
          </w:tcPr>
          <w:p>
            <w:pPr>
              <w:pStyle w:val="ConsPlusNormal1"/>
              <w:widowControl w:val="false"/>
              <w:ind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Начальник</w:t>
            </w:r>
          </w:p>
        </w:tc>
        <w:tc>
          <w:tcPr>
            <w:tcW w:w="1690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13" w:type="dxa"/>
            <w:gridSpan w:val="2"/>
            <w:tcBorders/>
          </w:tcPr>
          <w:p>
            <w:pPr>
              <w:pStyle w:val="ConsPlusNormal1"/>
              <w:widowControl w:val="false"/>
              <w:ind w:hanging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отдела</w:t>
            </w:r>
          </w:p>
        </w:tc>
        <w:tc>
          <w:tcPr>
            <w:tcW w:w="5587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714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ind w:hanging="19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(наименование)</w:t>
            </w:r>
          </w:p>
        </w:tc>
        <w:tc>
          <w:tcPr>
            <w:tcW w:w="1713" w:type="dxa"/>
            <w:gridSpan w:val="2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87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1714" w:type="dxa"/>
            <w:gridSpan w:val="3"/>
            <w:tcBorders/>
          </w:tcPr>
          <w:p>
            <w:pPr>
              <w:pStyle w:val="ConsPlusNormal1"/>
              <w:widowControl w:val="false"/>
              <w:ind w:left="141" w:hanging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Заказчик</w:t>
            </w:r>
          </w:p>
        </w:tc>
        <w:tc>
          <w:tcPr>
            <w:tcW w:w="8990" w:type="dxa"/>
            <w:gridSpan w:val="8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714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90" w:type="dxa"/>
            <w:gridSpan w:val="8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[должность, подпись (инициалы, фамилия)]</w:t>
            </w:r>
          </w:p>
        </w:tc>
      </w:tr>
    </w:tbl>
    <w:p>
      <w:pPr>
        <w:sectPr>
          <w:footerReference w:type="default" r:id="rId4"/>
          <w:footerReference w:type="first" r:id="rId5"/>
          <w:footnotePr>
            <w:numFmt w:val="decimal"/>
            <w:numRestart w:val="eachSect"/>
          </w:footnotePr>
          <w:type w:val="nextPage"/>
          <w:pgSz w:w="11906" w:h="16838"/>
          <w:pgMar w:left="426" w:right="567" w:gutter="0" w:header="0" w:top="0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left="426" w:hanging="426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ОБРАЗЕЦ</w:t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>
      <w:pPr>
        <w:pStyle w:val="ConsPlusNormal1"/>
        <w:ind w:left="5811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 Требованиям к оформлению и составлению              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программе ремонтов, реконструкции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техническому перевооружению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</w:rPr>
        <w:t xml:space="preserve">к договору от_______№_____ </w:t>
      </w:r>
    </w:p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tbl>
      <w:tblPr>
        <w:tblW w:w="10206" w:type="dxa"/>
        <w:jc w:val="left"/>
        <w:tblInd w:w="5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4"/>
        <w:gridCol w:w="851"/>
        <w:gridCol w:w="850"/>
        <w:gridCol w:w="1277"/>
        <w:gridCol w:w="1277"/>
        <w:gridCol w:w="1699"/>
        <w:gridCol w:w="1716"/>
        <w:gridCol w:w="2110"/>
      </w:tblGrid>
      <w:tr>
        <w:trPr>
          <w:trHeight w:val="43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позиции сметного расчета (сметы) в ССР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2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357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br w:type="page"/>
      </w:r>
    </w:p>
    <w:p>
      <w:pPr>
        <w:pStyle w:val="Normal"/>
        <w:spacing w:lineRule="auto" w:line="240" w:before="0" w:after="0"/>
        <w:ind w:left="357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№1.4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Требованиям к оформлению и составлению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программе ремонтов, реконструкции </w:t>
      </w:r>
    </w:p>
    <w:p>
      <w:pPr>
        <w:pStyle w:val="ConsPlusNormal1"/>
        <w:ind w:left="5811" w:firstLine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техническому перевооружению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от_______№_____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Сопоставительная ведомость объемов работ</w:t>
      </w:r>
    </w:p>
    <w:p>
      <w:pPr>
        <w:pStyle w:val="ConsPlusNormal1"/>
        <w:jc w:val="both"/>
        <w:rPr>
          <w:b/>
        </w:rPr>
      </w:pPr>
      <w:r>
        <w:rPr>
          <w:b/>
        </w:rPr>
      </w:r>
    </w:p>
    <w:tbl>
      <w:tblPr>
        <w:tblW w:w="10773" w:type="dxa"/>
        <w:jc w:val="left"/>
        <w:tblInd w:w="2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5"/>
        <w:gridCol w:w="710"/>
        <w:gridCol w:w="850"/>
        <w:gridCol w:w="1209"/>
        <w:gridCol w:w="915"/>
        <w:gridCol w:w="851"/>
        <w:gridCol w:w="853"/>
        <w:gridCol w:w="850"/>
        <w:gridCol w:w="851"/>
        <w:gridCol w:w="707"/>
        <w:gridCol w:w="567"/>
        <w:gridCol w:w="850"/>
        <w:gridCol w:w="1134"/>
      </w:tblGrid>
      <w:tr>
        <w:trPr>
          <w:trHeight w:val="880" w:hRule="atLeast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62"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№№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1360" w:hanging="141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Примечание</w:t>
            </w:r>
          </w:p>
        </w:tc>
      </w:tr>
      <w:tr>
        <w:trPr>
          <w:trHeight w:val="62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797" w:firstLine="7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64"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позиции в сметном расчете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1308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firstLine="7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800" w:firstLine="7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увели</w:t>
            </w:r>
          </w:p>
          <w:p>
            <w:pPr>
              <w:pStyle w:val="ConsPlusNormal1"/>
              <w:widowControl w:val="false"/>
              <w:ind w:left="-800" w:firstLine="7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232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footerReference w:type="default" r:id="rId6"/>
          <w:footerReference w:type="first" r:id="rId7"/>
          <w:footnotePr>
            <w:numFmt w:val="decimal"/>
            <w:numRestart w:val="eachSect"/>
          </w:footnotePr>
          <w:type w:val="nextPage"/>
          <w:pgSz w:w="11906" w:h="16838"/>
          <w:pgMar w:left="426" w:right="924" w:gutter="0" w:header="0" w:top="284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1"/>
        <w:jc w:val="both"/>
        <w:rPr/>
      </w:pPr>
      <w:r>
        <w:rPr/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Приложение№1.5 </w:t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             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программе ремонтов, реконструкции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техническому перевооружению 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ОБРАЗЕЦ</w:t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3"/>
        <w:gridCol w:w="1985"/>
        <w:gridCol w:w="964"/>
        <w:gridCol w:w="1874"/>
        <w:gridCol w:w="849"/>
        <w:gridCol w:w="1099"/>
        <w:gridCol w:w="665"/>
        <w:gridCol w:w="1042"/>
        <w:gridCol w:w="1083"/>
        <w:gridCol w:w="665"/>
        <w:gridCol w:w="1043"/>
        <w:gridCol w:w="505"/>
        <w:gridCol w:w="687"/>
        <w:gridCol w:w="2239"/>
      </w:tblGrid>
      <w:tr>
        <w:trPr>
          <w:trHeight w:val="285" w:hRule="atLeast"/>
        </w:trPr>
        <w:tc>
          <w:tcPr>
            <w:tcW w:w="4082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18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4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>
        <w:trPr>
          <w:trHeight w:val="225" w:hRule="exact"/>
        </w:trPr>
        <w:tc>
          <w:tcPr>
            <w:tcW w:w="5956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39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5" w:hRule="atLeast"/>
        </w:trPr>
        <w:tc>
          <w:tcPr>
            <w:tcW w:w="113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330" w:hRule="atLeast"/>
        </w:trPr>
        <w:tc>
          <w:tcPr>
            <w:tcW w:w="311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_____________20   г</w:t>
            </w:r>
          </w:p>
        </w:tc>
        <w:tc>
          <w:tcPr>
            <w:tcW w:w="96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________2025 г</w:t>
            </w:r>
          </w:p>
        </w:tc>
      </w:tr>
      <w:tr>
        <w:trPr>
          <w:trHeight w:val="225" w:hRule="atLeast"/>
        </w:trPr>
        <w:tc>
          <w:tcPr>
            <w:tcW w:w="4082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редакции сметных нормативов</w:t>
            </w:r>
          </w:p>
        </w:tc>
        <w:tc>
          <w:tcPr>
            <w:tcW w:w="11751" w:type="dxa"/>
            <w:gridSpan w:val="11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4082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2723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ПК "ГРАНД-Смета 20 "</w:t>
            </w:r>
          </w:p>
        </w:tc>
        <w:tc>
          <w:tcPr>
            <w:tcW w:w="109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42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8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4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165" w:hRule="exac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>
        <w:trPr>
          <w:trHeight w:val="225" w:hRule="exact"/>
        </w:trPr>
        <w:tc>
          <w:tcPr>
            <w:tcW w:w="15833" w:type="dxa"/>
            <w:gridSpan w:val="1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>
        <w:trPr>
          <w:trHeight w:val="480" w:hRule="atLeast"/>
        </w:trPr>
        <w:tc>
          <w:tcPr>
            <w:tcW w:w="15833" w:type="dxa"/>
            <w:gridSpan w:val="1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ЛОКАЛЬНЫЙ СМЕТНЫЙ РАСЧЕТ (СМЕТА) №</w:t>
            </w:r>
          </w:p>
        </w:tc>
      </w:tr>
      <w:tr>
        <w:trPr>
          <w:trHeight w:val="165" w:hRule="exac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270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>
        <w:trPr>
          <w:trHeight w:val="300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Составлен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Ресурсно-индексным</w:t>
            </w:r>
            <w:r>
              <w:rPr>
                <w:sz w:val="16"/>
                <w:szCs w:val="16"/>
              </w:rPr>
              <w:t xml:space="preserve">       </w:t>
            </w:r>
          </w:p>
        </w:tc>
        <w:tc>
          <w:tcPr>
            <w:tcW w:w="9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18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6771" w:type="dxa"/>
            <w:gridSpan w:val="5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771" w:type="dxa"/>
            <w:gridSpan w:val="5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4082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Составлен(а) в текущем уровне цен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соответствующих периоду выполнения работ по договору</w:t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311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Сметная стоимость</w:t>
            </w:r>
          </w:p>
        </w:tc>
        <w:tc>
          <w:tcPr>
            <w:tcW w:w="9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9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5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</w:tr>
      <w:tr>
        <w:trPr>
          <w:trHeight w:val="255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монтажных работ</w:t>
            </w:r>
          </w:p>
        </w:tc>
        <w:tc>
          <w:tcPr>
            <w:tcW w:w="9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5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9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5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9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49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Расчетный измеритель конструктивного решения</w:t>
            </w:r>
          </w:p>
        </w:tc>
        <w:tc>
          <w:tcPr>
            <w:tcW w:w="119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195" w:hRule="exact"/>
        </w:trPr>
        <w:tc>
          <w:tcPr>
            <w:tcW w:w="113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№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27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22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 в базисном уровне цен (в текущем уровне цен (гр. 8) для ресурсов, отсутствующих в СНБ), руб.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Индексы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 в текущем уровне цен, руб.</w:t>
            </w:r>
          </w:p>
        </w:tc>
      </w:tr>
      <w:tr>
        <w:trPr>
          <w:trHeight w:val="735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68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79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1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9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68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5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225" w:hRule="atLeast"/>
        </w:trPr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sectPr>
          <w:footerReference w:type="default" r:id="rId8"/>
          <w:footerReference w:type="first" r:id="rId9"/>
          <w:footnotePr>
            <w:numFmt w:val="decimal"/>
            <w:numRestart w:val="eachSect"/>
          </w:footnotePr>
          <w:type w:val="nextPage"/>
          <w:pgSz w:orient="landscape" w:w="16838" w:h="11906"/>
          <w:pgMar w:left="720" w:right="284" w:gutter="0" w:header="0" w:top="426" w:footer="709" w:bottom="92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№ 2 </w:t>
      </w:r>
    </w:p>
    <w:p>
      <w:pPr>
        <w:pStyle w:val="Normal"/>
        <w:spacing w:lineRule="auto" w:line="240" w:before="0" w:after="0"/>
        <w:ind w:left="5811" w:firstLine="142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shd w:val="clear" w:color="auto" w:fill="FFFFFF"/>
        <w:spacing w:lineRule="auto" w:line="240" w:before="0" w:after="0"/>
        <w:ind w:left="142" w:hanging="14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Образец № 3п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89"/>
      </w:tblGrid>
      <w:tr>
        <w:trPr/>
        <w:tc>
          <w:tcPr>
            <w:tcW w:w="9989" w:type="dxa"/>
            <w:tcBorders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523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Приложение №_____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239" w:right="-284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 договору от ______№_______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239" w:right="-284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(дополнительному соглашению)</w:t>
            </w:r>
          </w:p>
          <w:tbl>
            <w:tblPr>
              <w:tblW w:w="956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430"/>
              <w:gridCol w:w="5133"/>
            </w:tblGrid>
            <w:tr>
              <w:trPr>
                <w:trHeight w:val="446" w:hRule="atLeast"/>
              </w:trPr>
              <w:tc>
                <w:tcPr>
                  <w:tcW w:w="4430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________________(Подрядчик)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 Ф.И.О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5133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left="1886" w:hanging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left="1886" w:hanging="0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left="1886" w:hang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_________________Ф.И.О.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Смета № </w:t>
              <w:br/>
              <w:t>на шеф - монтажные работы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монтажной организации 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организации заказчика 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1. Расчет заработной платы</w:t>
            </w:r>
            <w:r>
              <w:rPr>
                <w:rFonts w:ascii="Times New Roman" w:hAnsi="Times New Roman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9649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576"/>
              <w:gridCol w:w="2208"/>
              <w:gridCol w:w="1108"/>
              <w:gridCol w:w="1185"/>
              <w:gridCol w:w="1416"/>
              <w:gridCol w:w="1424"/>
              <w:gridCol w:w="1731"/>
            </w:tblGrid>
            <w:tr>
              <w:trPr>
                <w:tblHeader w:val="true"/>
              </w:trPr>
              <w:tc>
                <w:tcPr>
                  <w:tcW w:w="57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/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п.</w:t>
                  </w:r>
                </w:p>
              </w:tc>
              <w:tc>
                <w:tcPr>
                  <w:tcW w:w="2208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2293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141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1424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 1 день</w:t>
                  </w:r>
                </w:p>
              </w:tc>
              <w:tc>
                <w:tcPr>
                  <w:tcW w:w="1731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576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2208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10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количество</w:t>
                  </w:r>
                </w:p>
              </w:tc>
              <w:tc>
                <w:tcPr>
                  <w:tcW w:w="118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1416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424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731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5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08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08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85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3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>
              <w:trPr/>
              <w:tc>
                <w:tcPr>
                  <w:tcW w:w="576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2208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108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185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41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424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73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57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220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10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18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41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424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73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заработной платы, в руб. 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 Накладные расходы, %_______________________________________________________________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 Себестоимость работ 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 Уровень рентабельности, % 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 </w:t>
            </w:r>
            <w:r>
              <w:rPr>
                <w:rFonts w:ascii="Times New Roman" w:hAnsi="Times New Roman"/>
              </w:rPr>
              <w:t>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Командировочные расходы (по расчету)______________________________________________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(руб.)</w:t>
            </w:r>
            <w:r>
              <w:rPr>
                <w:rFonts w:ascii="Times New Roman" w:hAnsi="Times New Roman"/>
              </w:rPr>
              <w:t xml:space="preserve"> 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20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Составил:________/должность,организация/_______/подпись/___________/расшифровка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  <w:r>
        <w:br w:type="page"/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2.1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 Требованиям к оформлению и </w:t>
      </w:r>
    </w:p>
    <w:p>
      <w:pPr>
        <w:pStyle w:val="Normal"/>
        <w:spacing w:lineRule="auto" w:line="240" w:before="0" w:after="0"/>
        <w:ind w:left="5811" w:firstLine="857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0"/>
        </w:rPr>
        <w:t xml:space="preserve">составлению сметной документации </w:t>
      </w:r>
      <w:r>
        <w:rPr>
          <w:rFonts w:ascii="Times New Roman" w:hAnsi="Times New Roman"/>
          <w:color w:val="000000"/>
          <w:sz w:val="20"/>
        </w:rPr>
        <w:t>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 заполнению формы №3п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при составлении смет на шеф-монтажные, шеф-наладочные работы </w:t>
      </w:r>
    </w:p>
    <w:p>
      <w:pPr>
        <w:pStyle w:val="Normal"/>
        <w:tabs>
          <w:tab w:val="clear" w:pos="709"/>
          <w:tab w:val="left" w:pos="1080" w:leader="none"/>
        </w:tabs>
        <w:spacing w:lineRule="auto" w:line="240" w:before="0" w:after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ascii="Times New Roman" w:hAnsi="Times New Roman"/>
        </w:rPr>
        <w:t xml:space="preserve">Результаты вычислений и итоговые данные по разделам расчета </w:t>
      </w:r>
      <w:r>
        <w:rPr>
          <w:rFonts w:ascii="Times New Roman" w:hAnsi="Times New Roman"/>
          <w:u w:val="single"/>
        </w:rPr>
        <w:t>округлять до целых рублей.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Особенности заполнения формы 3п.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7 указывается заработная плата в рублях (</w:t>
      </w:r>
      <w:r>
        <w:rPr>
          <w:rFonts w:eastAsia="Calibri" w:ascii="Times New Roman" w:hAnsi="Times New Roman"/>
          <w:b/>
          <w:u w:val="single"/>
          <w:lang w:eastAsia="en-US"/>
        </w:rPr>
        <w:t>результат перемножения граф 5 и 6</w:t>
      </w:r>
      <w:r>
        <w:rPr>
          <w:rFonts w:eastAsia="Calibri" w:ascii="Times New Roman" w:hAnsi="Times New Roman"/>
          <w:lang w:eastAsia="en-US"/>
        </w:rPr>
        <w:t>);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Раздел 2. Расчет стоимости выполнения работ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Стоимость проезда необходимо указать по каждому виду транспорта отдельно туда и отдельно обратно.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Лимиты командировочных расходов: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суточные - 700 руб./сутки;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проживание - до 5000 руб./сутки;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проезд: поезд (купе) или самолет (</w:t>
      </w:r>
      <w:r>
        <w:rPr>
          <w:rFonts w:ascii="Times New Roman" w:hAnsi="Times New Roman"/>
          <w:color w:val="000000"/>
        </w:rPr>
        <w:t>класс–эконом с багажом до 20 (двадцати) кг, ручная кладь до 10 (десяти) кг</w:t>
      </w:r>
      <w:r>
        <w:rPr>
          <w:rFonts w:eastAsia="Calibri" w:ascii="Times New Roman" w:hAnsi="Times New Roman"/>
          <w:lang w:eastAsia="en-US"/>
        </w:rPr>
        <w:t>).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/>
          <w:b/>
          <w:i/>
          <w:i/>
          <w:color w:val="000000" w:themeColor="text1"/>
          <w:lang w:eastAsia="en-US"/>
        </w:rPr>
      </w:pPr>
      <w:r>
        <w:rPr>
          <w:rFonts w:ascii="Times New Roman" w:hAnsi="Times New Roman"/>
          <w:b/>
          <w:i/>
          <w:color w:val="000000" w:themeColor="text1"/>
        </w:rPr>
        <w:t>Данные лимиты могут быть пересмотрены на этапе согласования технических требований.</w:t>
      </w:r>
    </w:p>
    <w:p>
      <w:pPr>
        <w:pStyle w:val="Normal"/>
        <w:tabs>
          <w:tab w:val="clear" w:pos="709"/>
          <w:tab w:val="left" w:pos="567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При учете командировочных расходов стоимость проезда (авиа-, ж/д, …) и проживания определяется Методикой определения сметной стоимости строительства (Приказ Минстроя России от 04.08.2020г. №421/пр.</w:t>
      </w:r>
    </w:p>
    <w:p>
      <w:pPr>
        <w:sectPr>
          <w:footerReference w:type="default" r:id="rId10"/>
          <w:footerReference w:type="first" r:id="rId11"/>
          <w:footnotePr>
            <w:numFmt w:val="decimal"/>
            <w:numRestart w:val="eachSect"/>
          </w:footnotePr>
          <w:type w:val="nextPage"/>
          <w:pgSz w:w="11906" w:h="16838"/>
          <w:pgMar w:left="993" w:right="924" w:gutter="0" w:header="0" w:top="568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9"/>
          <w:tab w:val="left" w:pos="567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lineRule="auto" w:line="240" w:before="0" w:after="0"/>
        <w:ind w:left="5811" w:hanging="0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№1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пояснительной записке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по заполнению формы 3П</w:t>
      </w:r>
    </w:p>
    <w:p>
      <w:pPr>
        <w:pStyle w:val="Normal"/>
        <w:spacing w:lineRule="auto" w:line="240" w:before="0" w:after="0"/>
        <w:ind w:left="5811" w:hang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от__________ (указать дату составления справки) (Образец)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8793" w:type="dxa"/>
        <w:jc w:val="left"/>
        <w:tblInd w:w="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№ </w:t>
            </w:r>
            <w:r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Накладные расходы _______(%)</w:t>
        <w:tab/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Рентабельность предприятия_________(%)</w:t>
        <w:tab/>
        <w:tab/>
        <w:tab/>
        <w:tab/>
        <w:tab/>
        <w:tab/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(краткое/полное наименование организации) ________________ (ФИО)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(Главный бухгалтер)</w:t>
      </w:r>
      <w:r>
        <w:rPr>
          <w:rStyle w:val="FootnoteReference"/>
          <w:rFonts w:ascii="Times New Roman" w:hAnsi="Times New Roman"/>
        </w:rPr>
        <w:footnoteReference w:id="4"/>
      </w:r>
      <w:r>
        <w:rPr>
          <w:rFonts w:ascii="Times New Roman" w:hAnsi="Times New Roman"/>
        </w:rPr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(краткое/полное наименование организации контрагента/подрядчика) _________ (ФИО)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  <w:r>
        <w:br w:type="page"/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№2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пояснительной записке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по заполнению формы 3П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расчета командировочных расходов </w:t>
      </w:r>
    </w:p>
    <w:p>
      <w:pPr>
        <w:pStyle w:val="Normal"/>
        <w:spacing w:lineRule="auto" w:line="240" w:before="0" w:after="0"/>
        <w:ind w:hanging="56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__ к смете № __</w:t>
      </w:r>
    </w:p>
    <w:p>
      <w:pPr>
        <w:pStyle w:val="Normal"/>
        <w:spacing w:lineRule="auto" w:line="240" w:before="0" w:after="0"/>
        <w:ind w:hanging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Расчет командировочных расходов</w:t>
      </w:r>
    </w:p>
    <w:tbl>
      <w:tblPr>
        <w:tblW w:w="10661" w:type="dxa"/>
        <w:jc w:val="left"/>
        <w:tblInd w:w="-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"/>
        <w:gridCol w:w="142"/>
        <w:gridCol w:w="990"/>
        <w:gridCol w:w="710"/>
        <w:gridCol w:w="1275"/>
        <w:gridCol w:w="709"/>
        <w:gridCol w:w="1442"/>
        <w:gridCol w:w="1310"/>
        <w:gridCol w:w="937"/>
        <w:gridCol w:w="1132"/>
        <w:gridCol w:w="1557"/>
      </w:tblGrid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транспорта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дней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Стоимость проживания, руб./сут.. </w:t>
              <w:br/>
              <w:t>(без НДС)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командировок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2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1 в пункт 5</w:t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1 в пункт 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2 в пункт 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4 в пункт 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2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5 в пункт 1</w:t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5 в пункт 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4 в пункт 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пункта 2 в пункт 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>Приложение № 3</w:t>
      </w:r>
    </w:p>
    <w:p>
      <w:pPr>
        <w:pStyle w:val="Normal"/>
        <w:spacing w:lineRule="auto" w:line="240" w:before="0" w:after="0"/>
        <w:ind w:left="5811" w:right="0" w:hanging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37" w:name="_GoBack_Копия_1"/>
      <w:bookmarkEnd w:id="37"/>
      <w:r>
        <w:rPr>
          <w:rFonts w:cs="Times New Roman" w:ascii="Times New Roman" w:hAnsi="Times New Roman"/>
          <w:color w:val="000000"/>
          <w:sz w:val="20"/>
          <w:szCs w:val="20"/>
        </w:rPr>
        <w:t>к Требованиям к оформлению и составлению сметной документации</w:t>
      </w:r>
    </w:p>
    <w:p>
      <w:pPr>
        <w:pStyle w:val="Normal"/>
        <w:spacing w:lineRule="auto" w:line="240" w:before="0" w:after="0"/>
        <w:ind w:left="5811" w:right="0" w:hanging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spacing w:before="120" w:after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применения индексов инфляции</w:t>
      </w:r>
    </w:p>
    <w:p>
      <w:pPr>
        <w:pStyle w:val="Normal"/>
        <w:spacing w:before="120" w:after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34"/>
        <w:tabs>
          <w:tab w:val="clear" w:pos="709"/>
          <w:tab w:val="left" w:pos="738" w:leader="none"/>
          <w:tab w:val="left" w:pos="1560" w:leader="none"/>
        </w:tabs>
        <w:ind w:left="0" w:right="0" w:hanging="0"/>
        <w:jc w:val="both"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>Для пересчета сметной стоимости в прогнозный уровень цен применяются текущие индексы – дефляторы в соответствии с прогнозом Министерства экономического развития РФ (прогноз «базовый», определенные в установленном порядке для Заказчика (в соответствии с планируемым периодом выполнения работ).</w:t>
      </w:r>
    </w:p>
    <w:p>
      <w:pPr>
        <w:pStyle w:val="34"/>
        <w:tabs>
          <w:tab w:val="clear" w:pos="709"/>
          <w:tab w:val="left" w:pos="738" w:leader="none"/>
          <w:tab w:val="left" w:pos="1560" w:leader="none"/>
        </w:tabs>
        <w:ind w:left="0" w:right="0" w:hanging="0"/>
        <w:jc w:val="both"/>
        <w:rPr/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>В случае, если планируемый период выполнения работ составляет до одного календарного года и сметная документация составлена в уровне цен того же года, индекс прогнозной инфляции на один месяц осуществляется извлечением квадратного корня двенадцатой степени из индекса прогнозной инфляции Минэкономразвития России (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ИПЦ базовый, по строке - Показатели инфляции / в среднем за год </w:t>
      </w:r>
      <w:r>
        <w:rPr>
          <w:rFonts w:ascii="Times New Roman" w:hAnsi="Times New Roman"/>
          <w:kern w:val="0"/>
          <w:sz w:val="22"/>
          <w:szCs w:val="22"/>
          <w:lang w:val="ru-RU" w:bidi="ar-SA"/>
        </w:rPr>
        <w:t>) установленного в целом за год:</w:t>
      </w:r>
    </w:p>
    <w:p>
      <w:pPr>
        <w:pStyle w:val="Normal"/>
        <w:widowControl w:val="false"/>
        <w:suppressAutoHyphens w:val="true"/>
        <w:spacing w:before="0" w:after="0"/>
        <w:ind w:left="0" w:right="0" w:firstLine="567"/>
        <w:jc w:val="both"/>
        <w:rPr/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инфл</m:t>
            </m:r>
            <m:r>
              <w:rPr>
                <w:rFonts w:ascii="Cambria Math" w:hAnsi="Cambria Math"/>
              </w:rPr>
              <m:t xml:space="preserve">.</m:t>
            </m:r>
            <m:r>
              <w:rPr>
                <w:rFonts w:ascii="Cambria Math" w:hAnsi="Cambria Math"/>
              </w:rPr>
              <m:t xml:space="preserve">мес</m:t>
            </m:r>
          </m:sub>
        </m:sSub>
        <m:r>
          <w:rPr>
            <w:rFonts w:ascii="Cambria Math" w:hAnsi="Cambria Math"/>
          </w:rPr>
          <m:t xml:space="preserve">=</m:t>
        </m:r>
        <m:rad>
          <m:deg>
            <m:r>
              <w:rPr>
                <w:rFonts w:ascii="Cambria Math" w:hAnsi="Cambria Math"/>
              </w:rPr>
              <m:t xml:space="preserve">12</m:t>
            </m:r>
          </m:deg>
          <m:e>
            <m:sSub>
              <m:e>
                <m:r>
                  <w:rPr>
                    <w:rFonts w:ascii="Cambria Math" w:hAnsi="Cambria Math"/>
                  </w:rPr>
                  <m:t xml:space="preserve">И</m:t>
                </m:r>
              </m:e>
              <m:sub>
                <m:r>
                  <w:rPr>
                    <w:rFonts w:ascii="Cambria Math" w:hAnsi="Cambria Math"/>
                  </w:rPr>
                  <m:t xml:space="preserve">инфл</m:t>
                </m:r>
                <m:r>
                  <w:rPr>
                    <w:rFonts w:ascii="Cambria Math" w:hAnsi="Cambria Math"/>
                  </w:rPr>
                  <m:t xml:space="preserve">год</m:t>
                </m:r>
              </m:sub>
            </m:sSub>
          </m:e>
        </m:rad>
      </m:oMath>
      <w:r>
        <w:rPr>
          <w:rFonts w:eastAsia="Calibri" w:cs="Times New Roman" w:ascii="Times New Roman" w:hAnsi="Times New Roman"/>
          <w:kern w:val="0"/>
          <w:sz w:val="22"/>
          <w:szCs w:val="22"/>
          <w:lang w:val="ru-RU" w:eastAsia="en-US" w:bidi="ar-SA"/>
        </w:rPr>
        <w:t xml:space="preserve">          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 xml:space="preserve">где  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И инфл мес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– индекс прогнозной инфляции на один месяц, полученное значение округляется до 4 знаков после запятой;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И инфл год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– индекс-дефлятор Министерства экономического развития Российской Федерации </w:t>
      </w:r>
      <w:r>
        <w:rPr>
          <w:rFonts w:ascii="Times New Roman" w:hAnsi="Times New Roman"/>
          <w:kern w:val="0"/>
          <w:sz w:val="22"/>
          <w:szCs w:val="22"/>
          <w:lang w:val="ru-RU" w:bidi="ar-SA"/>
        </w:rPr>
        <w:t>(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ИПЦ базовый, по строке - Показатели инфляции / в среднем за год).</w:t>
      </w:r>
    </w:p>
    <w:p>
      <w:pPr>
        <w:pStyle w:val="Style36"/>
        <w:widowControl w:val="false"/>
        <w:numPr>
          <w:ilvl w:val="0"/>
          <w:numId w:val="0"/>
        </w:numPr>
        <w:tabs>
          <w:tab w:val="clear" w:pos="709"/>
          <w:tab w:val="left" w:pos="738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ab/>
        <w:t>Для определения размера индекса прогнозной инфляции периодом в несколько месяцев, величина индекса прогнозной инфляции на один месяц возводится в степень размер которой соответствует количеству месяцев от даты определения стоимости работ до даты окончания работ, принимается среднее значение индекса-дефлятора, между индексом прогнозной инфляции на месяц начала производства работ и индексом на месяц окончания производства работ: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инфл</m:t>
            </m:r>
            <m:r>
              <w:rPr>
                <w:rFonts w:ascii="Cambria Math" w:hAnsi="Cambria Math"/>
              </w:rPr>
              <m:t xml:space="preserve">.</m:t>
            </m:r>
            <m:r>
              <w:rPr>
                <w:rFonts w:ascii="Cambria Math" w:hAnsi="Cambria Math"/>
              </w:rPr>
              <m:t xml:space="preserve">пер</m:t>
            </m:r>
            <m:r>
              <w:rPr>
                <w:rFonts w:ascii="Cambria Math" w:hAnsi="Cambria Math"/>
              </w:rPr>
              <m:t xml:space="preserve">.</m:t>
            </m:r>
          </m:sub>
        </m:sSub>
        <m:r>
          <w:rPr>
            <w:rFonts w:ascii="Cambria Math" w:hAnsi="Cambria Math"/>
          </w:rPr>
          <m:t xml:space="preserve">=</m:t>
        </m:r>
        <m:d>
          <m:dPr>
            <m:begChr m:val="("/>
            <m:endChr m:val=")"/>
          </m:dPr>
          <m:e>
            <m:f>
              <m:num>
                <m:sSub>
                  <m:e>
                    <m:r>
                      <w:rPr>
                        <w:rFonts w:ascii="Cambria Math" w:hAnsi="Cambria Math"/>
                      </w:rPr>
                      <m:t xml:space="preserve">И</m:t>
                    </m:r>
                  </m:e>
                  <m:sub>
                    <m:sSup>
                      <m:e>
                        <m:r>
                          <w:rPr>
                            <w:rFonts w:ascii="Cambria Math" w:hAnsi="Cambria Math"/>
                          </w:rPr>
                          <m:t xml:space="preserve">инфл</m:t>
                        </m:r>
                        <m:r>
                          <w:rPr>
                            <w:rFonts w:ascii="Cambria Math" w:hAnsi="Cambria Math"/>
                          </w:rPr>
                          <m:t xml:space="preserve">.</m:t>
                        </m:r>
                        <m:r>
                          <w:rPr>
                            <w:rFonts w:ascii="Cambria Math" w:hAnsi="Cambria Math"/>
                          </w:rPr>
                          <m:t xml:space="preserve">мес</m:t>
                        </m:r>
                        <m:r>
                          <w:rPr>
                            <w:rFonts w:ascii="Cambria Math" w:hAnsi="Cambria Math"/>
                          </w:rPr>
                          <m:t xml:space="preserve">.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 xml:space="preserve">n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</w:rPr>
                  <m:t xml:space="preserve">−</m:t>
                </m:r>
                <m:r>
                  <w:rPr>
                    <w:rFonts w:ascii="Cambria Math" w:hAnsi="Cambria Math"/>
                  </w:rPr>
                  <m:t xml:space="preserve">1</m:t>
                </m:r>
              </m:num>
              <m:den>
                <m:r>
                  <w:rPr>
                    <w:rFonts w:ascii="Cambria Math" w:hAnsi="Cambria Math"/>
                  </w:rPr>
                  <m:t xml:space="preserve">2</m:t>
                </m:r>
              </m:den>
            </m:f>
          </m:e>
        </m:d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1</m:t>
        </m:r>
      </m:oMath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     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(1)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где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И инф пер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– индекс прогнозной инфляции для периода выполнения работ, полученное значение округляется до 4 знаков после запятой.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ab/>
        <w:t xml:space="preserve">В случае если срок выполнения работ превышает календарный год, то индекс прогнозной инфляции для второго и последующих годов, определяется с учетом установленных договором сроков строительства по формуле: 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     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Цд=С * Иинфл     (2)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где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Цд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– стоимость договора (этапа);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С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- сметная стоимость подрядных работ, подлежащих выполнению подрядчиком; 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>
          <w:rFonts w:cs="Times New Roman"/>
          <w:i/>
          <w:i/>
          <w:iCs/>
          <w:kern w:val="0"/>
          <w:lang w:val="ru-RU" w:bidi="ar-SA"/>
        </w:rPr>
      </w:pPr>
      <w:r>
        <w:rPr>
          <w:rFonts w:cs="Times New Roman"/>
          <w:i/>
          <w:iCs/>
          <w:kern w:val="0"/>
          <w:lang w:val="ru-RU" w:bidi="ar-SA"/>
        </w:rPr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Иинф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– индекс инфляции, рассчитываемый по формуле: 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    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И инф = Д1*К1+Д2*К2+...+Дi*Кi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где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Д1, Д2, Дi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- доля сметной стоимости работ соответственно в 1-й, 2-й, 3-й, i-ый годы строительства;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i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- год завершения строительства объекта;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К1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- индекс прогнозной инфляции за первый год строительства объекта,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К2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-индекс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Кi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- индекс прогнозной инфляции, учитывающий инфляцию за весь период строительства объекта. </w:t>
        <w:tab/>
        <w:t>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</w:t>
      </w:r>
      <w:r>
        <w:rPr>
          <w:rFonts w:ascii="Times New Roman" w:hAnsi="Times New Roman"/>
          <w:kern w:val="0"/>
          <w:sz w:val="22"/>
          <w:szCs w:val="22"/>
          <w:lang w:val="ru-RU" w:bidi="ar-SA"/>
        </w:rPr>
        <w:t xml:space="preserve"> (пример расчета индекса-дефлятора приведен ниже)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.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ab/>
        <w:t>При этом: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1) если срок выполнения работ указан в целом по договору (дата начала работ – дата окончание работ), применяется единый дефлятор, в соответствии с формулой (2).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>2) если договором предусмотрен график выполнения работ с разбивкой на этапы (дата начала работ по этапу – дата окончания работ по этапу), дефлятор применяется в соответствии с таким графиком, и рассчитывается на каждый этап, в соответствии с формулой (2).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 xml:space="preserve">Если для определения ПЦ используется сметная документация, разработанная на основании СНБ применяемой на дату формирования ПЦ, то пересчет сметной стоимости работ в уровень цен на дату определения ПЦ осуществляется с использованием индексов изменения сметной стоимости, размещенных Минстроем России в ФРСН, действующих на дату определения ПЦ. </w:t>
      </w:r>
    </w:p>
    <w:p>
      <w:pPr>
        <w:pStyle w:val="Style36"/>
        <w:widowControl w:val="false"/>
        <w:numPr>
          <w:ilvl w:val="0"/>
          <w:numId w:val="0"/>
        </w:numPr>
        <w:suppressAutoHyphens w:val="true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 xml:space="preserve">В случае если сметная документация разработана в СНБ не применяемой на дату определения ПЦ, то пересчет сметной стоимости работ в уровень цен на дату определения ПЦ осуществляется с использованием индекса фактической инфляции (опубликованный на сайте https://www.fedstat.ru/, индексы цен на продукцию (затраты, услуги) инвестиционного назначения с 2017г., по Российской Федерации в целом, с учетом вида экономической деятельности). </w:t>
      </w:r>
    </w:p>
    <w:sectPr>
      <w:footerReference w:type="default" r:id="rId12"/>
      <w:footerReference w:type="first" r:id="rId13"/>
      <w:footnotePr>
        <w:numFmt w:val="decimal"/>
        <w:numRestart w:val="eachSect"/>
      </w:footnotePr>
      <w:type w:val="nextPage"/>
      <w:pgSz w:w="11906" w:h="16838"/>
      <w:pgMar w:left="1304" w:right="924" w:gutter="0" w:header="0" w:top="709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Book Antiqu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90139701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8910073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5615779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2155486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14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3363998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17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7240813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3"/>
        </w:rPr>
        <w:footnoteRef/>
      </w:r>
      <w:r>
        <w:rPr>
          <w:sz w:val="18"/>
          <w:szCs w:val="18"/>
        </w:rPr>
        <w:t>Пункт 3</w:t>
      </w:r>
      <w:r>
        <w:rPr>
          <w:sz w:val="18"/>
          <w:szCs w:val="18"/>
        </w:rPr>
        <w:t>3</w:t>
      </w:r>
      <w:r>
        <w:rPr>
          <w:sz w:val="18"/>
          <w:szCs w:val="18"/>
        </w:rPr>
        <w:t xml:space="preserve"> учитывается при указании соответствующих услуг, предоставляемых ПАО «РусГидро» подрядным организациям в разделе технических требований «Иные условия поставки товаров, выполнения работ, оказания услуг». </w:t>
      </w:r>
      <w:r>
        <w:rPr/>
        <w:t xml:space="preserve"> </w:t>
      </w:r>
    </w:p>
  </w:footnote>
  <w:footnote w:id="3">
    <w:p>
      <w:pPr>
        <w:pStyle w:val="Normal"/>
        <w:widowControl w:val="false"/>
        <w:jc w:val="both"/>
        <w:rPr>
          <w:sz w:val="18"/>
          <w:szCs w:val="18"/>
        </w:rPr>
      </w:pPr>
      <w:r>
        <w:rPr>
          <w:rStyle w:val="Style3"/>
        </w:rPr>
        <w:footnoteRef/>
      </w:r>
      <w:r>
        <w:rPr>
          <w:sz w:val="18"/>
          <w:szCs w:val="18"/>
        </w:rPr>
        <w:t xml:space="preserve"> </w:t>
      </w:r>
      <w:r>
        <w:rPr>
          <w:rFonts w:eastAsia="Calibri" w:ascii="Times New Roman" w:hAnsi="Times New Roman"/>
          <w:sz w:val="18"/>
          <w:szCs w:val="18"/>
        </w:rPr>
        <w:t>Размер коэффициента корректируется в соответствии с перечнем предоставляемых услуг, указанным в разделе Технических требований «Иные условия поставки товаров, выполнения работ, оказания услуг». Образец расчета приведен в приложении к приказу от 17.06.2019 № 498.</w:t>
      </w:r>
      <w:r>
        <w:rPr>
          <w:rFonts w:ascii="Times New Roman" w:hAnsi="Times New Roman"/>
          <w:sz w:val="18"/>
          <w:szCs w:val="18"/>
        </w:rPr>
        <w:t xml:space="preserve"> </w:t>
      </w:r>
    </w:p>
    <w:p>
      <w:pPr>
        <w:pStyle w:val="FootnoteText"/>
        <w:widowControl w:val="false"/>
        <w:rPr/>
      </w:pPr>
      <w:r>
        <w:rPr/>
      </w:r>
    </w:p>
  </w:footnote>
  <w:footnote w:id="4">
    <w:p>
      <w:pPr>
        <w:pStyle w:val="FootnoteText"/>
        <w:widowControl w:val="false"/>
        <w:rPr/>
      </w:pPr>
      <w:r>
        <w:rPr>
          <w:rStyle w:val="Style3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Text"/>
        <w:widowControl w:val="false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i w:val="false"/>
        <w:rFonts w:ascii="Garamond" w:hAnsi="Garamond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i w:val="false"/>
        <w:b w:val="false"/>
        <w:szCs w:val="22"/>
        <w:rFonts w:ascii="Times New Roman" w:hAnsi="Times New Roman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sz w:val="22"/>
        <w:b w:val="false"/>
        <w:szCs w:val="22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1"/>
  </w:num>
  <w:num w:numId="19">
    <w:abstractNumId w:val="11"/>
  </w:num>
  <w:num w:numId="20">
    <w:abstractNumId w:val="11"/>
  </w:num>
</w:numbering>
</file>

<file path=word/settings.xml><?xml version="1.0" encoding="utf-8"?>
<w:settings xmlns:w="http://schemas.openxmlformats.org/wordprocessingml/2006/main">
  <w:zoom w:percent="190"/>
  <w:defaultTabStop w:val="709"/>
  <w:autoHyphenation w:val="true"/>
  <w:footnotePr>
    <w:numFmt w:val="decimal"/>
    <w:numRestart w:val="eachSect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bb18d9"/>
    <w:pPr>
      <w:keepNext w:val="true"/>
      <w:keepLines/>
      <w:spacing w:lineRule="auto" w:line="240"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4745f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bb18d9"/>
    <w:pPr>
      <w:keepNext w:val="true"/>
      <w:keepLines/>
      <w:spacing w:lineRule="auto" w:line="240"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bb18d9"/>
    <w:pPr>
      <w:keepNext w:val="true"/>
      <w:keepLines/>
      <w:spacing w:lineRule="auto" w:line="240"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bb18d9"/>
    <w:pPr>
      <w:keepNext w:val="true"/>
      <w:keepLines/>
      <w:spacing w:lineRule="auto" w:line="240"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link w:val="6"/>
    <w:uiPriority w:val="9"/>
    <w:qFormat/>
    <w:rsid w:val="00bb18d9"/>
    <w:pPr>
      <w:keepNext w:val="true"/>
      <w:keepLines/>
      <w:spacing w:lineRule="auto" w:line="240"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bb18d9"/>
    <w:pPr>
      <w:keepNext w:val="true"/>
      <w:keepLines/>
      <w:spacing w:lineRule="auto" w:line="240"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bb18d9"/>
    <w:pPr>
      <w:keepNext w:val="true"/>
      <w:keepLines/>
      <w:spacing w:lineRule="auto" w:line="240"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bb18d9"/>
    <w:pPr>
      <w:keepNext w:val="true"/>
      <w:keepLines/>
      <w:spacing w:lineRule="auto" w:line="240"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qFormat/>
    <w:rsid w:val="00cb04da"/>
    <w:rPr>
      <w:sz w:val="16"/>
      <w:szCs w:val="16"/>
    </w:rPr>
  </w:style>
  <w:style w:type="character" w:styleId="Style" w:customStyle="1">
    <w:name w:val="Текст примечания Знак"/>
    <w:link w:val="Annotationtext"/>
    <w:qFormat/>
    <w:rsid w:val="00cb04d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кст выноски Знак"/>
    <w:link w:val="BalloonText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uiPriority w:val="9"/>
    <w:qFormat/>
    <w:rsid w:val="00d4745f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rsid w:val="00d4745f"/>
    <w:rPr>
      <w:color w:val="0000FF"/>
      <w:u w:val="single"/>
    </w:rPr>
  </w:style>
  <w:style w:type="character" w:styleId="Apple-style-span" w:customStyle="1">
    <w:name w:val="apple-style-span"/>
    <w:basedOn w:val="DefaultParagraphFont"/>
    <w:qFormat/>
    <w:rsid w:val="00b4339d"/>
    <w:rPr/>
  </w:style>
  <w:style w:type="character" w:styleId="Apple-converted-space" w:customStyle="1">
    <w:name w:val="apple-converted-space"/>
    <w:basedOn w:val="DefaultParagraphFont"/>
    <w:qFormat/>
    <w:rsid w:val="00b4339d"/>
    <w:rPr/>
  </w:style>
  <w:style w:type="character" w:styleId="Style2" w:customStyle="1">
    <w:name w:val="Текст сноски Знак"/>
    <w:uiPriority w:val="99"/>
    <w:qFormat/>
    <w:rsid w:val="0080406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3" w:customStyle="1">
    <w:name w:val="Символ сноски"/>
    <w:uiPriority w:val="99"/>
    <w:unhideWhenUsed/>
    <w:qFormat/>
    <w:rsid w:val="0080406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Подпункт Знак1"/>
    <w:link w:val="Style25"/>
    <w:qFormat/>
    <w:locked/>
    <w:rsid w:val="00192f26"/>
    <w:rPr>
      <w:rFonts w:ascii="Times New Roman" w:hAnsi="Times New Roman"/>
      <w:b/>
      <w:sz w:val="28"/>
    </w:rPr>
  </w:style>
  <w:style w:type="character" w:styleId="Style4" w:customStyle="1">
    <w:name w:val="Верхний колонтитул Знак"/>
    <w:basedOn w:val="DefaultParagraphFont"/>
    <w:uiPriority w:val="99"/>
    <w:qFormat/>
    <w:rsid w:val="00ff6229"/>
    <w:rPr/>
  </w:style>
  <w:style w:type="character" w:styleId="Style5" w:customStyle="1">
    <w:name w:val="Нижний колонтитул Знак"/>
    <w:basedOn w:val="DefaultParagraphFont"/>
    <w:uiPriority w:val="99"/>
    <w:qFormat/>
    <w:rsid w:val="00ff6229"/>
    <w:rPr/>
  </w:style>
  <w:style w:type="character" w:styleId="Linenumber">
    <w:name w:val="line number"/>
    <w:basedOn w:val="DefaultParagraphFont"/>
    <w:uiPriority w:val="99"/>
    <w:semiHidden/>
    <w:unhideWhenUsed/>
    <w:qFormat/>
    <w:rsid w:val="00ff6229"/>
    <w:rPr/>
  </w:style>
  <w:style w:type="character" w:styleId="Style6" w:customStyle="1">
    <w:name w:val="Схема документа Знак"/>
    <w:link w:val="DocumentMap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uiPriority w:val="9"/>
    <w:qFormat/>
    <w:rsid w:val="00bb18d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" w:customStyle="1">
    <w:name w:val="Заголовок 3 Знак"/>
    <w:uiPriority w:val="9"/>
    <w:qFormat/>
    <w:rsid w:val="00bb18d9"/>
    <w:rPr>
      <w:rFonts w:ascii="Cambria" w:hAnsi="Cambria" w:eastAsia="Times New Roman" w:cs="Times New Roman"/>
      <w:b/>
      <w:bCs/>
      <w:color w:val="4F81BD"/>
      <w:sz w:val="20"/>
      <w:szCs w:val="20"/>
    </w:rPr>
  </w:style>
  <w:style w:type="character" w:styleId="4" w:customStyle="1">
    <w:name w:val="Заголовок 4 Знак"/>
    <w:uiPriority w:val="9"/>
    <w:qFormat/>
    <w:rsid w:val="00bb18d9"/>
    <w:rPr>
      <w:rFonts w:ascii="Cambria" w:hAnsi="Cambria" w:eastAsia="Times New Roman" w:cs="Times New Roman"/>
      <w:b/>
      <w:bCs/>
      <w:i/>
      <w:iCs/>
      <w:color w:val="4F81BD"/>
      <w:sz w:val="20"/>
      <w:szCs w:val="20"/>
    </w:rPr>
  </w:style>
  <w:style w:type="character" w:styleId="5" w:customStyle="1">
    <w:name w:val="Заголовок 5 Знак"/>
    <w:uiPriority w:val="9"/>
    <w:qFormat/>
    <w:rsid w:val="00bb18d9"/>
    <w:rPr>
      <w:rFonts w:ascii="Cambria" w:hAnsi="Cambria" w:eastAsia="Times New Roman" w:cs="Times New Roman"/>
      <w:color w:val="243F60"/>
      <w:sz w:val="20"/>
      <w:szCs w:val="20"/>
    </w:rPr>
  </w:style>
  <w:style w:type="character" w:styleId="6" w:customStyle="1">
    <w:name w:val="Заголовок 6 Знак"/>
    <w:uiPriority w:val="9"/>
    <w:qFormat/>
    <w:rsid w:val="00bb18d9"/>
    <w:rPr>
      <w:rFonts w:ascii="Cambria" w:hAnsi="Cambria" w:eastAsia="Times New Roman" w:cs="Times New Roman"/>
      <w:i/>
      <w:iCs/>
      <w:color w:val="243F60"/>
      <w:sz w:val="20"/>
      <w:szCs w:val="20"/>
    </w:rPr>
  </w:style>
  <w:style w:type="character" w:styleId="7" w:customStyle="1">
    <w:name w:val="Заголовок 7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8" w:customStyle="1">
    <w:name w:val="Заголовок 8 Знак"/>
    <w:uiPriority w:val="9"/>
    <w:qFormat/>
    <w:rsid w:val="00bb18d9"/>
    <w:rPr>
      <w:rFonts w:ascii="Cambria" w:hAnsi="Cambria" w:eastAsia="Times New Roman" w:cs="Times New Roman"/>
      <w:color w:val="4F81BD"/>
      <w:sz w:val="20"/>
      <w:szCs w:val="20"/>
    </w:rPr>
  </w:style>
  <w:style w:type="character" w:styleId="9" w:customStyle="1">
    <w:name w:val="Заголовок 9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Style7" w:customStyle="1">
    <w:name w:val="Название Знак"/>
    <w:link w:val="15"/>
    <w:uiPriority w:val="10"/>
    <w:qFormat/>
    <w:rsid w:val="00bb18d9"/>
    <w:rPr>
      <w:rFonts w:ascii="Cambria" w:hAnsi="Cambria" w:eastAsia="Times New Roman" w:cs="Times New Roman"/>
      <w:color w:val="17365D"/>
      <w:spacing w:val="5"/>
      <w:kern w:val="2"/>
      <w:sz w:val="52"/>
      <w:szCs w:val="52"/>
    </w:rPr>
  </w:style>
  <w:style w:type="character" w:styleId="Style8" w:customStyle="1">
    <w:name w:val="Подзаголовок Знак"/>
    <w:uiPriority w:val="11"/>
    <w:qFormat/>
    <w:rsid w:val="00bb18d9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bb18d9"/>
    <w:rPr>
      <w:b/>
      <w:bCs/>
    </w:rPr>
  </w:style>
  <w:style w:type="character" w:styleId="Emphasis">
    <w:name w:val="Emphasis"/>
    <w:uiPriority w:val="20"/>
    <w:qFormat/>
    <w:rsid w:val="00bb18d9"/>
    <w:rPr>
      <w:i/>
      <w:iCs/>
    </w:rPr>
  </w:style>
  <w:style w:type="character" w:styleId="21" w:customStyle="1">
    <w:name w:val="Цитата 2 Знак"/>
    <w:link w:val="Quote"/>
    <w:uiPriority w:val="29"/>
    <w:qFormat/>
    <w:rsid w:val="00bb18d9"/>
    <w:rPr>
      <w:rFonts w:ascii="Calibri" w:hAnsi="Calibri" w:eastAsia="Calibri" w:cs="Times New Roman"/>
      <w:i/>
      <w:iCs/>
      <w:color w:val="000000"/>
      <w:sz w:val="20"/>
      <w:szCs w:val="20"/>
    </w:rPr>
  </w:style>
  <w:style w:type="character" w:styleId="Style9" w:customStyle="1">
    <w:name w:val="Выделенная цитата Знак"/>
    <w:link w:val="IntenseQuote"/>
    <w:uiPriority w:val="30"/>
    <w:qFormat/>
    <w:rsid w:val="00bb18d9"/>
    <w:rPr>
      <w:rFonts w:ascii="Calibri" w:hAnsi="Calibri" w:eastAsia="Calibri" w:cs="Times New Roman"/>
      <w:b/>
      <w:bCs/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bb18d9"/>
    <w:rPr>
      <w:i/>
      <w:iCs/>
      <w:color w:val="808080"/>
    </w:rPr>
  </w:style>
  <w:style w:type="character" w:styleId="IntenseEmphasis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bb18d9"/>
    <w:rPr>
      <w:b/>
      <w:bCs/>
      <w:smallCaps/>
      <w:spacing w:val="5"/>
    </w:rPr>
  </w:style>
  <w:style w:type="character" w:styleId="Style10" w:customStyle="1">
    <w:name w:val="Электронная подпись Знак"/>
    <w:link w:val="E-mailSignature"/>
    <w:uiPriority w:val="99"/>
    <w:semiHidden/>
    <w:qFormat/>
    <w:rsid w:val="00bb18d9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1" w:customStyle="1">
    <w:name w:val="Тема примечания Знак"/>
    <w:link w:val="Annotationsubject"/>
    <w:semiHidden/>
    <w:qFormat/>
    <w:rsid w:val="00bb18d9"/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character" w:styleId="Style12" w:customStyle="1">
    <w:name w:val="Основной текст с отступом Знак"/>
    <w:qFormat/>
    <w:rsid w:val="008757e8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FollowedHyperlink">
    <w:name w:val="FollowedHyperlink"/>
    <w:uiPriority w:val="99"/>
    <w:semiHidden/>
    <w:unhideWhenUsed/>
    <w:rsid w:val="00b211e3"/>
    <w:rPr>
      <w:color w:val="954F72"/>
      <w:u w:val="single"/>
    </w:rPr>
  </w:style>
  <w:style w:type="character" w:styleId="Style13" w:customStyle="1">
    <w:name w:val="Абзац списка Знак"/>
    <w:link w:val="ListParagraph"/>
    <w:uiPriority w:val="34"/>
    <w:qFormat/>
    <w:rsid w:val="00253374"/>
    <w:rPr>
      <w:sz w:val="22"/>
      <w:szCs w:val="22"/>
    </w:rPr>
  </w:style>
  <w:style w:type="character" w:styleId="61" w:customStyle="1">
    <w:name w:val="Основной текст (6)_"/>
    <w:basedOn w:val="DefaultParagraphFont"/>
    <w:link w:val="62"/>
    <w:qFormat/>
    <w:rsid w:val="00310980"/>
    <w:rPr>
      <w:rFonts w:ascii="Times New Roman" w:hAnsi="Times New Roman"/>
      <w:shd w:fill="FFFFFF" w:val="clear"/>
    </w:rPr>
  </w:style>
  <w:style w:type="character" w:styleId="Style14" w:customStyle="1">
    <w:name w:val="Колонтитул_"/>
    <w:basedOn w:val="DefaultParagraphFont"/>
    <w:link w:val="Style29"/>
    <w:qFormat/>
    <w:rsid w:val="006d08bc"/>
    <w:rPr>
      <w:rFonts w:ascii="Times New Roman" w:hAnsi="Times New Roman"/>
      <w:shd w:fill="FFFFFF" w:val="clear"/>
    </w:rPr>
  </w:style>
  <w:style w:type="character" w:styleId="Style15" w:customStyle="1">
    <w:name w:val="комментарий"/>
    <w:qFormat/>
    <w:rsid w:val="008d2ec1"/>
    <w:rPr>
      <w:b/>
      <w:i/>
      <w:shd w:fill="FFFF99" w:val="clear"/>
    </w:rPr>
  </w:style>
  <w:style w:type="character" w:styleId="ConsPlusNormal" w:customStyle="1">
    <w:name w:val="ConsPlusNormal Знак"/>
    <w:link w:val="ConsPlusNormal1"/>
    <w:qFormat/>
    <w:rsid w:val="00170c47"/>
    <w:rPr>
      <w:rFonts w:ascii="Arial" w:hAnsi="Arial" w:cs="Arial"/>
    </w:rPr>
  </w:style>
  <w:style w:type="character" w:styleId="12" w:customStyle="1">
    <w:name w:val="Абзац списка Знак1"/>
    <w:basedOn w:val="DefaultParagraphFont"/>
    <w:uiPriority w:val="34"/>
    <w:qFormat/>
    <w:rsid w:val="00a270f3"/>
    <w:rPr>
      <w:rFonts w:ascii="Calibri" w:hAnsi="Calibri"/>
      <w:sz w:val="22"/>
    </w:rPr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ListParagraph">
    <w:name w:val="List Paragraph"/>
    <w:basedOn w:val="Normal"/>
    <w:link w:val="Style13"/>
    <w:uiPriority w:val="34"/>
    <w:qFormat/>
    <w:rsid w:val="00141d91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Style"/>
    <w:qFormat/>
    <w:rsid w:val="00cb04d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Style1"/>
    <w:semiHidden/>
    <w:unhideWhenUsed/>
    <w:qFormat/>
    <w:rsid w:val="00cb04d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 w:customStyle="1">
    <w:name w:val="Обычный+ без отступа"/>
    <w:basedOn w:val="Normal"/>
    <w:qFormat/>
    <w:rsid w:val="000a41f8"/>
    <w:pPr>
      <w:spacing w:lineRule="auto" w:line="360" w:before="120" w:after="0"/>
      <w:jc w:val="both"/>
    </w:pPr>
    <w:rPr>
      <w:rFonts w:ascii="Times New Roman" w:hAnsi="Times New Roman" w:eastAsia="MS Mincho"/>
      <w:sz w:val="28"/>
      <w:szCs w:val="28"/>
    </w:rPr>
  </w:style>
  <w:style w:type="paragraph" w:styleId="Style22" w:customStyle="1">
    <w:name w:val="Таблица шапка"/>
    <w:basedOn w:val="Normal"/>
    <w:qFormat/>
    <w:rsid w:val="008b7e3f"/>
    <w:pPr>
      <w:keepNext w:val="true"/>
      <w:spacing w:lineRule="auto" w:line="240" w:before="40" w:after="40"/>
      <w:ind w:left="57" w:right="57" w:hanging="0"/>
    </w:pPr>
    <w:rPr>
      <w:rFonts w:ascii="Times New Roman" w:hAnsi="Times New Roman"/>
      <w:sz w:val="18"/>
      <w:szCs w:val="18"/>
    </w:rPr>
  </w:style>
  <w:style w:type="paragraph" w:styleId="Style23" w:customStyle="1">
    <w:name w:val="Текст таблицы"/>
    <w:basedOn w:val="Normal"/>
    <w:qFormat/>
    <w:rsid w:val="008b7e3f"/>
    <w:pPr>
      <w:spacing w:lineRule="auto" w:line="240" w:before="40" w:after="40"/>
      <w:ind w:left="57" w:right="57" w:hanging="0"/>
    </w:pPr>
    <w:rPr>
      <w:rFonts w:ascii="Times New Roman" w:hAnsi="Times New Roman"/>
      <w:sz w:val="24"/>
      <w:szCs w:val="24"/>
    </w:rPr>
  </w:style>
  <w:style w:type="paragraph" w:styleId="Style24" w:customStyle="1">
    <w:name w:val="Пункт Знак"/>
    <w:basedOn w:val="Normal"/>
    <w:qFormat/>
    <w:rsid w:val="00112ebd"/>
    <w:pPr>
      <w:numPr>
        <w:ilvl w:val="1"/>
        <w:numId w:val="1"/>
      </w:numPr>
      <w:tabs>
        <w:tab w:val="clear" w:pos="709"/>
        <w:tab w:val="left" w:pos="851" w:leader="none"/>
        <w:tab w:val="left" w:pos="1134" w:leader="none"/>
      </w:tabs>
      <w:spacing w:lineRule="auto" w:line="360" w:before="0" w:after="0"/>
      <w:jc w:val="both"/>
    </w:pPr>
    <w:rPr>
      <w:rFonts w:ascii="Times New Roman" w:hAnsi="Times New Roman"/>
      <w:b/>
      <w:sz w:val="28"/>
      <w:szCs w:val="20"/>
    </w:rPr>
  </w:style>
  <w:style w:type="paragraph" w:styleId="Style25" w:customStyle="1">
    <w:name w:val="Подпункт"/>
    <w:basedOn w:val="Style24"/>
    <w:link w:val="1"/>
    <w:qFormat/>
    <w:rsid w:val="00b5006b"/>
    <w:pPr>
      <w:numPr>
        <w:ilvl w:val="2"/>
      </w:numPr>
      <w:tabs>
        <w:tab w:val="clear" w:pos="1134"/>
        <w:tab w:val="left" w:pos="851" w:leader="none"/>
      </w:tabs>
    </w:pPr>
    <w:rPr/>
  </w:style>
  <w:style w:type="paragraph" w:styleId="Style26" w:customStyle="1">
    <w:name w:val="Подподпункт"/>
    <w:basedOn w:val="Style25"/>
    <w:qFormat/>
    <w:rsid w:val="00b5006b"/>
    <w:pPr>
      <w:numPr>
        <w:ilvl w:val="3"/>
      </w:num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27" w:customStyle="1">
    <w:name w:val="Подподподпункт"/>
    <w:basedOn w:val="Normal"/>
    <w:qFormat/>
    <w:rsid w:val="00112ebd"/>
    <w:pPr>
      <w:numPr>
        <w:ilvl w:val="4"/>
        <w:numId w:val="1"/>
      </w:numPr>
      <w:tabs>
        <w:tab w:val="clear" w:pos="709"/>
        <w:tab w:val="left" w:pos="1134" w:leader="none"/>
        <w:tab w:val="left" w:pos="1701" w:leader="none"/>
      </w:tabs>
      <w:spacing w:lineRule="auto" w:line="360" w:before="0" w:after="0"/>
      <w:jc w:val="both"/>
    </w:pPr>
    <w:rPr>
      <w:rFonts w:ascii="Times New Roman" w:hAnsi="Times New Roman"/>
      <w:sz w:val="28"/>
      <w:szCs w:val="20"/>
    </w:rPr>
  </w:style>
  <w:style w:type="paragraph" w:styleId="13" w:customStyle="1">
    <w:name w:val="Пункт1"/>
    <w:basedOn w:val="Normal"/>
    <w:qFormat/>
    <w:rsid w:val="00b5006b"/>
    <w:pPr>
      <w:numPr>
        <w:ilvl w:val="0"/>
        <w:numId w:val="1"/>
      </w:numPr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31" w:customStyle="1">
    <w:name w:val="Пункт_3"/>
    <w:basedOn w:val="Normal"/>
    <w:uiPriority w:val="99"/>
    <w:qFormat/>
    <w:rsid w:val="00112ebd"/>
    <w:pPr>
      <w:tabs>
        <w:tab w:val="clear" w:pos="709"/>
        <w:tab w:val="left" w:pos="1134" w:leader="none"/>
      </w:tabs>
      <w:spacing w:lineRule="auto" w:line="360" w:before="0" w:after="0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TOC1">
    <w:name w:val="TOC 1"/>
    <w:basedOn w:val="Normal"/>
    <w:next w:val="Normal"/>
    <w:autoRedefine/>
    <w:uiPriority w:val="39"/>
    <w:rsid w:val="00b17e73"/>
    <w:pPr>
      <w:tabs>
        <w:tab w:val="clear" w:pos="709"/>
        <w:tab w:val="right" w:pos="9344" w:leader="dot"/>
      </w:tabs>
      <w:spacing w:lineRule="auto" w:line="240" w:before="0" w:after="0"/>
      <w:jc w:val="center"/>
    </w:pPr>
    <w:rPr>
      <w:rFonts w:ascii="Times New Roman" w:hAnsi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87d05"/>
    <w:pPr>
      <w:tabs>
        <w:tab w:val="clear" w:pos="709"/>
        <w:tab w:val="left" w:pos="426" w:leader="none"/>
        <w:tab w:val="left" w:pos="1680" w:leader="none"/>
        <w:tab w:val="right" w:pos="9344" w:leader="dot"/>
        <w:tab w:val="right" w:pos="9639" w:leader="dot"/>
      </w:tabs>
      <w:spacing w:before="0" w:after="0"/>
      <w:ind w:left="220" w:hanging="0"/>
    </w:pPr>
    <w:rPr/>
  </w:style>
  <w:style w:type="paragraph" w:styleId="FootnoteText">
    <w:name w:val="Footnote Text"/>
    <w:basedOn w:val="Normal"/>
    <w:link w:val="Style2"/>
    <w:uiPriority w:val="99"/>
    <w:unhideWhenUsed/>
    <w:rsid w:val="0080406e"/>
    <w:pPr>
      <w:spacing w:lineRule="auto" w:line="240" w:before="0" w:after="0"/>
    </w:pPr>
    <w:rPr>
      <w:rFonts w:ascii="Times New Roman" w:hAnsi="Times New Roman" w:eastAsia="Calibri"/>
      <w:sz w:val="20"/>
      <w:szCs w:val="20"/>
    </w:rPr>
  </w:style>
  <w:style w:type="paragraph" w:styleId="ConsPlusNormal1" w:customStyle="1">
    <w:name w:val="ConsPlusNormal"/>
    <w:link w:val="ConsPlusNormal"/>
    <w:qFormat/>
    <w:rsid w:val="00192f2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8" w:customStyle="1">
    <w:name w:val="Таблица"/>
    <w:basedOn w:val="Normal"/>
    <w:qFormat/>
    <w:rsid w:val="00192f26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14" w:customStyle="1">
    <w:name w:val="Абзац списка1"/>
    <w:basedOn w:val="Normal"/>
    <w:qFormat/>
    <w:rsid w:val="00192f26"/>
    <w:pPr>
      <w:spacing w:before="0" w:after="200"/>
      <w:ind w:left="720" w:hanging="0"/>
      <w:contextualSpacing/>
    </w:pPr>
    <w:rPr/>
  </w:style>
  <w:style w:type="paragraph" w:styleId="Style29" w:customStyle="1">
    <w:name w:val="Колонтитул"/>
    <w:basedOn w:val="Normal"/>
    <w:link w:val="Style14"/>
    <w:qFormat/>
    <w:rsid w:val="006d08bc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Style4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5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link w:val="Style6"/>
    <w:uiPriority w:val="99"/>
    <w:semiHidden/>
    <w:unhideWhenUsed/>
    <w:qFormat/>
    <w:rsid w:val="0040689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Знак Знак Знак Знак Знак Знак Знак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NoSpacing">
    <w:name w:val="No Spacing"/>
    <w:basedOn w:val="Normal"/>
    <w:uiPriority w:val="1"/>
    <w:qFormat/>
    <w:rsid w:val="00bb18d9"/>
    <w:pPr>
      <w:spacing w:lineRule="auto" w:line="360" w:before="0" w:after="0"/>
    </w:pPr>
    <w:rPr>
      <w:rFonts w:ascii="Times New Roman" w:hAnsi="Times New Roman"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bb18d9"/>
    <w:pPr>
      <w:spacing w:lineRule="auto" w:line="240" w:before="0" w:after="0"/>
    </w:pPr>
    <w:rPr>
      <w:rFonts w:ascii="Times New Roman" w:hAnsi="Times New Roman" w:eastAsia="Calibri"/>
      <w:b/>
      <w:bCs/>
      <w:color w:val="4F81BD"/>
      <w:sz w:val="18"/>
      <w:szCs w:val="18"/>
    </w:rPr>
  </w:style>
  <w:style w:type="paragraph" w:styleId="15" w:customStyle="1">
    <w:name w:val="Название1"/>
    <w:basedOn w:val="Normal"/>
    <w:next w:val="Normal"/>
    <w:link w:val="Style7"/>
    <w:uiPriority w:val="10"/>
    <w:qFormat/>
    <w:rsid w:val="00bb18d9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tyle8"/>
    <w:uiPriority w:val="11"/>
    <w:qFormat/>
    <w:rsid w:val="00bb18d9"/>
    <w:pPr>
      <w:numPr>
        <w:ilvl w:val="1"/>
      </w:numPr>
      <w:spacing w:lineRule="auto" w:line="240" w:before="0" w:after="0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bb18d9"/>
    <w:pPr>
      <w:spacing w:lineRule="auto" w:line="240" w:before="0" w:after="0"/>
    </w:pPr>
    <w:rPr>
      <w:rFonts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9"/>
    <w:uiPriority w:val="30"/>
    <w:qFormat/>
    <w:rsid w:val="00bb18d9"/>
    <w:pPr>
      <w:pBdr>
        <w:bottom w:val="single" w:sz="4" w:space="4" w:color="4F81BD"/>
      </w:pBdr>
      <w:spacing w:lineRule="auto" w:line="240" w:before="200" w:after="280"/>
      <w:ind w:left="936" w:right="936" w:hanging="0"/>
    </w:pPr>
    <w:rPr>
      <w:rFonts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bb18d9"/>
    <w:pPr>
      <w:outlineLvl w:val="9"/>
    </w:pPr>
    <w:rPr/>
  </w:style>
  <w:style w:type="paragraph" w:styleId="E-mailSignature">
    <w:name w:val="E-mail Signature"/>
    <w:basedOn w:val="Normal"/>
    <w:link w:val="Style10"/>
    <w:uiPriority w:val="99"/>
    <w:semiHidden/>
    <w:unhideWhenUsed/>
    <w:qFormat/>
    <w:rsid w:val="00bb18d9"/>
    <w:pPr>
      <w:spacing w:lineRule="auto" w:line="240" w:before="0" w:after="0"/>
    </w:pPr>
    <w:rPr>
      <w:rFonts w:ascii="Times New Roman" w:hAnsi="Times New Roman" w:eastAsia="Calibri"/>
      <w:sz w:val="24"/>
      <w:szCs w:val="24"/>
    </w:rPr>
  </w:style>
  <w:style w:type="paragraph" w:styleId="Style31" w:customStyle="1">
    <w:name w:val="Знак"/>
    <w:basedOn w:val="Normal"/>
    <w:qFormat/>
    <w:rsid w:val="00927253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Annotationsubject">
    <w:name w:val="annotation subject"/>
    <w:basedOn w:val="Annotationtext"/>
    <w:next w:val="Annotationtext"/>
    <w:link w:val="Style11"/>
    <w:semiHidden/>
    <w:qFormat/>
    <w:rsid w:val="00bb18d9"/>
    <w:pPr/>
    <w:rPr>
      <w:rFonts w:eastAsia="Calibri"/>
      <w:b/>
      <w:bCs/>
    </w:rPr>
  </w:style>
  <w:style w:type="paragraph" w:styleId="32" w:customStyle="1">
    <w:name w:val="Нумерованный список ур3"/>
    <w:basedOn w:val="Normal"/>
    <w:qFormat/>
    <w:rsid w:val="00bb18d9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b5006b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22" w:customStyle="1">
    <w:name w:val="Нумерованный список ур2"/>
    <w:basedOn w:val="Normal"/>
    <w:qFormat/>
    <w:rsid w:val="00bb18d9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NormalWeb">
    <w:name w:val="Normal (Web)"/>
    <w:basedOn w:val="Normal"/>
    <w:uiPriority w:val="99"/>
    <w:qFormat/>
    <w:rsid w:val="00bb18d9"/>
    <w:pPr>
      <w:spacing w:lineRule="auto" w:line="240" w:before="30" w:after="30"/>
    </w:pPr>
    <w:rPr>
      <w:rFonts w:ascii="Arial" w:hAnsi="Arial" w:eastAsia="Arial Unicode MS" w:cs="Arial"/>
      <w:color w:val="332E2D"/>
      <w:spacing w:val="2"/>
      <w:sz w:val="24"/>
      <w:szCs w:val="24"/>
    </w:rPr>
  </w:style>
  <w:style w:type="paragraph" w:styleId="Revision">
    <w:name w:val="Revision"/>
    <w:uiPriority w:val="99"/>
    <w:semiHidden/>
    <w:qFormat/>
    <w:rsid w:val="00bb18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33" w:customStyle="1">
    <w:name w:val="Знак Знак3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Style32" w:customStyle="1">
    <w:name w:val="Пункт"/>
    <w:basedOn w:val="Normal"/>
    <w:qFormat/>
    <w:rsid w:val="00bb18d9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styleId="23" w:customStyle="1">
    <w:name w:val="Абзац списка2"/>
    <w:basedOn w:val="Normal"/>
    <w:qFormat/>
    <w:rsid w:val="00bb18d9"/>
    <w:pPr>
      <w:spacing w:before="0" w:after="200"/>
      <w:ind w:left="720" w:hanging="0"/>
      <w:contextualSpacing/>
    </w:pPr>
    <w:rPr/>
  </w:style>
  <w:style w:type="paragraph" w:styleId="BodyTextIndent">
    <w:name w:val="Body Text Indent"/>
    <w:basedOn w:val="Normal"/>
    <w:link w:val="Style12"/>
    <w:rsid w:val="008757e8"/>
    <w:pPr>
      <w:spacing w:lineRule="auto" w:line="240" w:before="0" w:after="120"/>
      <w:ind w:left="283" w:hanging="0"/>
    </w:pPr>
    <w:rPr>
      <w:rFonts w:ascii="Times New Roman" w:hAnsi="Times New Roman"/>
      <w:sz w:val="28"/>
      <w:szCs w:val="28"/>
    </w:rPr>
  </w:style>
  <w:style w:type="paragraph" w:styleId="Style33" w:customStyle="1">
    <w:name w:val="Знак Знак"/>
    <w:basedOn w:val="Normal"/>
    <w:qFormat/>
    <w:rsid w:val="00d30377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bb55ba"/>
    <w:pPr>
      <w:spacing w:before="0" w:after="100"/>
      <w:ind w:left="440" w:hanging="0"/>
    </w:pPr>
    <w:rPr/>
  </w:style>
  <w:style w:type="paragraph" w:styleId="62" w:customStyle="1">
    <w:name w:val="Основной текст (6)"/>
    <w:basedOn w:val="Normal"/>
    <w:link w:val="61"/>
    <w:qFormat/>
    <w:rsid w:val="00310980"/>
    <w:pPr>
      <w:widowControl w:val="false"/>
      <w:shd w:val="clear" w:color="auto" w:fill="FFFFFF"/>
      <w:spacing w:lineRule="auto" w:line="240" w:before="0" w:after="0"/>
      <w:ind w:firstLine="720"/>
      <w:jc w:val="both"/>
    </w:pPr>
    <w:rPr>
      <w:rFonts w:ascii="Times New Roman" w:hAnsi="Times New Roman"/>
      <w:sz w:val="20"/>
      <w:szCs w:val="20"/>
    </w:rPr>
  </w:style>
  <w:style w:type="paragraph" w:styleId="TableListParagraph" w:customStyle="1">
    <w:name w:val="Table List Paragraph"/>
    <w:basedOn w:val="Normal"/>
    <w:qFormat/>
    <w:rsid w:val="00a270f3"/>
    <w:pPr>
      <w:numPr>
        <w:ilvl w:val="0"/>
        <w:numId w:val="12"/>
      </w:numPr>
      <w:tabs>
        <w:tab w:val="clear" w:pos="709"/>
        <w:tab w:val="left" w:pos="360" w:leader="none"/>
      </w:tabs>
      <w:spacing w:lineRule="auto" w:line="240" w:before="0" w:after="0"/>
      <w:jc w:val="both"/>
    </w:pPr>
    <w:rPr>
      <w:rFonts w:ascii="Times New Roman" w:hAnsi="Times New Roman"/>
      <w:sz w:val="24"/>
      <w:szCs w:val="24"/>
    </w:rPr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yle36">
    <w:name w:val="РГ_номер текста табл"/>
    <w:basedOn w:val="ListParagraph"/>
    <w:qFormat/>
    <w:pPr>
      <w:numPr>
        <w:ilvl w:val="0"/>
        <w:numId w:val="10"/>
      </w:numPr>
      <w:spacing w:lineRule="auto" w:line="240" w:before="0" w:after="0"/>
      <w:contextualSpacing/>
      <w:jc w:val="both"/>
    </w:pPr>
    <w:rPr>
      <w:rFonts w:ascii="Book Antiqua" w:hAnsi="Book Antiqua" w:eastAsia="Calibri" w:cs="Book Antiqua"/>
      <w:sz w:val="24"/>
      <w:szCs w:val="22"/>
      <w:lang w:eastAsia="en-US"/>
    </w:rPr>
  </w:style>
  <w:style w:type="paragraph" w:styleId="34">
    <w:name w:val="РГ_текст3"/>
    <w:basedOn w:val="Normal"/>
    <w:qFormat/>
    <w:pPr>
      <w:ind w:left="851" w:right="0" w:hanging="0"/>
    </w:pPr>
    <w:rPr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40828923331">
    <w:name w:val="40828923331"/>
    <w:qFormat/>
  </w:style>
  <w:style w:type="numbering" w:styleId="28296072221">
    <w:name w:val="28296072221"/>
    <w:qFormat/>
  </w:style>
  <w:style w:type="numbering" w:styleId="29475004751">
    <w:name w:val="294750047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b918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D59A2-EE24-44C4-A896-ED2EF066D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Application>AlterOffice/3.4.0.9$Linux_X86_64 LibreOffice_project/b8daf9e823b1a5463a2f48435ddc2e8696e7d4fc</Application>
  <AppVersion>15.0000</AppVersion>
  <Pages>21</Pages>
  <Words>5229</Words>
  <Characters>36246</Characters>
  <CharactersWithSpaces>42480</CharactersWithSpaces>
  <Paragraphs>572</Paragraphs>
  <Company>####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2025-07-30T03:09:00Z</dcterms:created>
  <dc:creator>Торопов Денис Владимирович</dc:creator>
  <dc:description/>
  <dc:language>ru-RU</dc:language>
  <cp:lastModifiedBy>nikitenkoav@corp.gidroogk.com</cp:lastModifiedBy>
  <dcterms:modified xsi:type="dcterms:W3CDTF">2026-08-07T09:45:54Z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