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>.</w:t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jc w:val="center"/>
        <w:rPr>
          <w:b/>
        </w:rPr>
      </w:pPr>
      <w:r>
        <w:rPr>
          <w:rFonts w:eastAsia="Calibri"/>
          <w:b/>
        </w:rPr>
        <w:t xml:space="preserve">Технические требования на 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  <w:t>ОКПД2 28.24.12.120 Поставка перфоратора гидравлического подводного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  <w:t>для нужд Жигулевского филиала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b/>
        </w:rPr>
        <w:t>Лот № 0018-ТПИР ОНМ-2027-ГРВКК-ЖигФ</w:t>
      </w:r>
    </w:p>
    <w:p>
      <w:pPr>
        <w:pStyle w:val="Normal"/>
        <w:spacing w:lineRule="auto" w:line="276" w:before="0" w:after="200"/>
        <w:jc w:val="center"/>
        <w:rPr>
          <w:b/>
          <w:bCs/>
        </w:rPr>
      </w:pPr>
      <w:r>
        <w:rPr>
          <w:b/>
          <w:bCs/>
        </w:rPr>
      </w:r>
      <w:r>
        <w:br w:type="page"/>
      </w:r>
    </w:p>
    <w:p>
      <w:pPr>
        <w:pStyle w:val="Normal"/>
        <w:keepNext w:val="true"/>
        <w:keepLines/>
        <w:numPr>
          <w:ilvl w:val="0"/>
          <w:numId w:val="0"/>
        </w:numPr>
        <w:spacing w:before="120" w:after="60"/>
        <w:ind w:hanging="357" w:left="357"/>
        <w:jc w:val="center"/>
        <w:outlineLvl w:val="0"/>
        <w:rPr>
          <w:rFonts w:eastAsia="Calibri"/>
          <w:b/>
          <w:caps/>
          <w:lang w:eastAsia="x-none"/>
        </w:rPr>
      </w:pPr>
      <w:bookmarkStart w:id="0" w:name="_Toc162430460"/>
      <w:bookmarkStart w:id="1" w:name="_Toc51339692"/>
      <w:bookmarkStart w:id="2" w:name="_Toc157599445"/>
      <w:bookmarkStart w:id="3" w:name="_Toc75446566"/>
      <w:r>
        <w:rPr>
          <w:rFonts w:eastAsia="Calibri"/>
          <w:b/>
          <w:lang w:eastAsia="x-none"/>
        </w:rPr>
        <w:t>1. Общие сведения</w:t>
      </w:r>
      <w:bookmarkEnd w:id="0"/>
      <w:bookmarkEnd w:id="1"/>
      <w:bookmarkEnd w:id="2"/>
      <w:bookmarkEnd w:id="3"/>
    </w:p>
    <w:p>
      <w:pPr>
        <w:pStyle w:val="Normal"/>
        <w:keepNext w:val="true"/>
        <w:numPr>
          <w:ilvl w:val="0"/>
          <w:numId w:val="0"/>
        </w:numPr>
        <w:spacing w:before="120" w:after="60"/>
        <w:ind w:hanging="0" w:left="0"/>
        <w:outlineLvl w:val="2"/>
        <w:rPr/>
      </w:pPr>
      <w:bookmarkStart w:id="4" w:name="_Toc162430461"/>
      <w:bookmarkStart w:id="5" w:name="_Toc157599446"/>
      <w:bookmarkStart w:id="6" w:name="_Toc75446568"/>
      <w:bookmarkStart w:id="7" w:name="_Toc46743506"/>
      <w:r>
        <w:rPr>
          <w:rFonts w:eastAsia="Calibri"/>
          <w:b/>
          <w:lang w:eastAsia="x-none"/>
        </w:rPr>
        <w:t>1.1. Наименование закупаемой продукции</w:t>
      </w:r>
      <w:bookmarkEnd w:id="4"/>
      <w:bookmarkEnd w:id="5"/>
      <w:bookmarkEnd w:id="6"/>
      <w:bookmarkEnd w:id="7"/>
    </w:p>
    <w:p>
      <w:pPr>
        <w:pStyle w:val="Normal"/>
        <w:rPr/>
      </w:pPr>
      <w:r>
        <w:rPr>
          <w:rFonts w:eastAsia="Calibri"/>
          <w:bCs/>
          <w:lang w:eastAsia="x-none"/>
        </w:rPr>
        <w:t>ОКПД2 28.24.12.120 Поставка перфоратора гидравлического подводного для нужд Жигулевского филиала</w:t>
      </w:r>
      <w:r>
        <w:rPr>
          <w:bCs/>
          <w:lang w:eastAsia="x-none"/>
        </w:rPr>
        <w:t xml:space="preserve"> (далее – Продукция).</w:t>
      </w:r>
    </w:p>
    <w:p>
      <w:pPr>
        <w:pStyle w:val="Normal"/>
        <w:keepNext w:val="true"/>
        <w:numPr>
          <w:ilvl w:val="0"/>
          <w:numId w:val="0"/>
        </w:numPr>
        <w:spacing w:before="120" w:after="60"/>
        <w:ind w:hanging="0" w:left="0"/>
        <w:outlineLvl w:val="2"/>
        <w:rPr/>
      </w:pPr>
      <w:bookmarkStart w:id="8" w:name="_Toc157599447"/>
      <w:bookmarkStart w:id="9" w:name="_Toc162430462"/>
      <w:bookmarkStart w:id="10" w:name="_Toc75446569"/>
      <w:bookmarkStart w:id="11" w:name="_Toc46743507"/>
      <w:r>
        <w:rPr>
          <w:rFonts w:eastAsia="Calibri"/>
          <w:b/>
          <w:lang w:eastAsia="x-none"/>
        </w:rPr>
        <w:t xml:space="preserve">1.2. Цель </w:t>
      </w:r>
      <w:bookmarkEnd w:id="11"/>
      <w:r>
        <w:rPr>
          <w:rFonts w:eastAsia="Calibri"/>
          <w:b/>
          <w:lang w:eastAsia="x-none"/>
        </w:rPr>
        <w:t>использования закупаемой продукции</w:t>
      </w:r>
      <w:bookmarkEnd w:id="8"/>
      <w:bookmarkEnd w:id="9"/>
      <w:bookmarkEnd w:id="10"/>
      <w:r>
        <w:rPr>
          <w:rFonts w:eastAsia="Calibri"/>
          <w:b/>
          <w:lang w:eastAsia="x-none"/>
        </w:rPr>
        <w:t xml:space="preserve"> </w:t>
      </w:r>
    </w:p>
    <w:p>
      <w:pPr>
        <w:pStyle w:val="Normal"/>
        <w:jc w:val="both"/>
        <w:rPr/>
      </w:pPr>
      <w:r>
        <w:rPr>
          <w:bCs/>
          <w:lang w:eastAsia="x-none"/>
        </w:rPr>
        <w:t xml:space="preserve">Исполнение инвестиционной программы 2027г. </w:t>
      </w:r>
    </w:p>
    <w:p>
      <w:pPr>
        <w:pStyle w:val="Normal"/>
        <w:keepNext w:val="true"/>
        <w:keepLines/>
        <w:numPr>
          <w:ilvl w:val="0"/>
          <w:numId w:val="0"/>
        </w:numPr>
        <w:spacing w:before="120" w:after="60"/>
        <w:ind w:hanging="357" w:left="357"/>
        <w:jc w:val="center"/>
        <w:outlineLvl w:val="0"/>
        <w:rPr/>
      </w:pPr>
      <w:bookmarkStart w:id="12" w:name="_Toc51339693"/>
      <w:bookmarkStart w:id="13" w:name="_Toc157599448"/>
      <w:bookmarkStart w:id="14" w:name="_Toc162430463"/>
      <w:bookmarkStart w:id="15" w:name="_Toc75446573"/>
      <w:bookmarkStart w:id="16" w:name="_Toc50125126"/>
      <w:bookmarkEnd w:id="16"/>
      <w:r>
        <w:rPr>
          <w:rFonts w:eastAsia="Calibri"/>
          <w:b/>
          <w:iCs/>
          <w:lang w:eastAsia="x-none"/>
        </w:rPr>
        <w:t xml:space="preserve">2. </w:t>
      </w:r>
      <w:r>
        <w:rPr>
          <w:rFonts w:eastAsia="Calibri"/>
          <w:b/>
          <w:iCs/>
          <w:lang w:val="x-none" w:eastAsia="x-none"/>
        </w:rPr>
        <w:t>Требования к продукции</w:t>
      </w:r>
      <w:bookmarkEnd w:id="12"/>
      <w:bookmarkEnd w:id="13"/>
      <w:bookmarkEnd w:id="14"/>
      <w:bookmarkEnd w:id="15"/>
    </w:p>
    <w:p>
      <w:pPr>
        <w:pStyle w:val="Normal"/>
        <w:keepNext w:val="true"/>
        <w:numPr>
          <w:ilvl w:val="0"/>
          <w:numId w:val="0"/>
        </w:numPr>
        <w:spacing w:before="120" w:after="60"/>
        <w:ind w:hanging="0" w:left="0"/>
        <w:outlineLvl w:val="2"/>
        <w:rPr/>
      </w:pPr>
      <w:bookmarkStart w:id="17" w:name="_Toc157599449"/>
      <w:bookmarkStart w:id="18" w:name="_Toc162430464"/>
      <w:bookmarkStart w:id="19" w:name="_Toc75446574"/>
      <w:r>
        <w:rPr>
          <w:rFonts w:eastAsia="Calibri"/>
          <w:b/>
          <w:lang w:eastAsia="x-none"/>
        </w:rPr>
        <w:t>2.1. Требования к объемам и срокам поставки</w:t>
      </w:r>
      <w:bookmarkEnd w:id="17"/>
      <w:bookmarkEnd w:id="18"/>
      <w:bookmarkEnd w:id="19"/>
    </w:p>
    <w:p>
      <w:pPr>
        <w:pStyle w:val="Normal"/>
        <w:keepNext w:val="true"/>
        <w:numPr>
          <w:ilvl w:val="0"/>
          <w:numId w:val="0"/>
        </w:numPr>
        <w:spacing w:before="120" w:after="60"/>
        <w:ind w:hanging="0" w:left="0"/>
        <w:outlineLvl w:val="2"/>
        <w:rPr/>
      </w:pPr>
      <w:bookmarkStart w:id="20" w:name="_Toc157599450"/>
      <w:bookmarkStart w:id="21" w:name="_Toc162430465"/>
      <w:bookmarkStart w:id="22" w:name="_Toc75446575"/>
      <w:r>
        <w:rPr>
          <w:rFonts w:eastAsia="Calibri"/>
          <w:b/>
          <w:lang w:eastAsia="x-none"/>
        </w:rPr>
        <w:t>2.1.1. Перечень и объем закупаемой продукции</w:t>
      </w:r>
      <w:bookmarkEnd w:id="20"/>
      <w:bookmarkEnd w:id="21"/>
      <w:bookmarkEnd w:id="22"/>
    </w:p>
    <w:p>
      <w:pPr>
        <w:pStyle w:val="Normal"/>
        <w:jc w:val="right"/>
        <w:rPr/>
      </w:pPr>
      <w:r>
        <w:rPr>
          <w:rFonts w:eastAsia="Calibri"/>
        </w:rPr>
        <w:t>Таблица 1.1</w:t>
      </w:r>
      <w:r>
        <w:rPr/>
        <w:t xml:space="preserve"> </w:t>
      </w:r>
      <w:r>
        <w:rPr>
          <w:rFonts w:eastAsia="Calibri"/>
        </w:rPr>
        <w:t>Перечень и объем закупаемой продукции</w:t>
      </w:r>
    </w:p>
    <w:tbl>
      <w:tblPr>
        <w:tblW w:w="10377" w:type="dxa"/>
        <w:jc w:val="left"/>
        <w:tblInd w:w="3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96"/>
        <w:gridCol w:w="5173"/>
        <w:gridCol w:w="1759"/>
        <w:gridCol w:w="1421"/>
        <w:gridCol w:w="1428"/>
      </w:tblGrid>
      <w:tr>
        <w:trPr>
          <w:trHeight w:val="20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№</w:t>
            </w:r>
            <w:r>
              <w:rPr>
                <w:lang w:val="en-US"/>
              </w:rPr>
              <w:t xml:space="preserve"> </w:t>
            </w:r>
            <w:r>
              <w:rPr/>
              <w:t>п/п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Наименование продукции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ОКПД2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Ед. изм.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Кол-во</w:t>
            </w:r>
          </w:p>
        </w:tc>
      </w:tr>
      <w:tr>
        <w:trPr>
          <w:trHeight w:val="20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1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color w:val="000000"/>
                <w:lang w:eastAsia="x-none"/>
              </w:rPr>
              <w:t>Перфоратор гидравлический подводный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center"/>
              <w:outlineLvl w:val="0"/>
              <w:rPr/>
            </w:pPr>
            <w:r>
              <w:rPr>
                <w:rFonts w:eastAsia="Calibri"/>
                <w:bCs/>
                <w:lang w:eastAsia="x-none"/>
              </w:rPr>
              <w:t>28.24.12.120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center"/>
              <w:outlineLvl w:val="0"/>
              <w:rPr/>
            </w:pPr>
            <w:r>
              <w:rPr>
                <w:color w:val="000000"/>
              </w:rPr>
              <w:t>шт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center"/>
              <w:outlineLvl w:val="0"/>
              <w:rPr/>
            </w:pPr>
            <w:r>
              <w:rPr>
                <w:color w:val="000000"/>
              </w:rPr>
              <w:t>1</w:t>
            </w:r>
          </w:p>
        </w:tc>
      </w:tr>
    </w:tbl>
    <w:p>
      <w:pPr>
        <w:pStyle w:val="Normal"/>
        <w:jc w:val="right"/>
        <w:rPr>
          <w:rFonts w:eastAsia="Calibri"/>
        </w:rPr>
      </w:pPr>
      <w:r>
        <w:rPr>
          <w:rFonts w:eastAsia="Calibri"/>
        </w:rPr>
      </w:r>
    </w:p>
    <w:p>
      <w:pPr>
        <w:pStyle w:val="Normal"/>
        <w:jc w:val="right"/>
        <w:rPr>
          <w:rFonts w:eastAsia="Calibri"/>
          <w:b/>
          <w:lang w:eastAsia="x-none"/>
        </w:rPr>
      </w:pPr>
      <w:r>
        <w:rPr>
          <w:rFonts w:eastAsia="Calibri"/>
          <w:b/>
          <w:lang w:eastAsia="x-none"/>
        </w:rPr>
      </w:r>
    </w:p>
    <w:p>
      <w:pPr>
        <w:pStyle w:val="Normal"/>
        <w:keepNext w:val="true"/>
        <w:numPr>
          <w:ilvl w:val="0"/>
          <w:numId w:val="0"/>
        </w:numPr>
        <w:spacing w:before="120" w:after="60"/>
        <w:ind w:hanging="0" w:left="0"/>
        <w:outlineLvl w:val="2"/>
        <w:rPr/>
      </w:pPr>
      <w:bookmarkStart w:id="23" w:name="_Toc157599451"/>
      <w:bookmarkStart w:id="24" w:name="_Toc162430466"/>
      <w:bookmarkStart w:id="25" w:name="_Toc75446578"/>
      <w:bookmarkStart w:id="26" w:name="_Toc51339696"/>
      <w:r>
        <w:rPr>
          <w:rFonts w:eastAsia="Calibri"/>
          <w:b/>
          <w:lang w:eastAsia="x-none"/>
        </w:rPr>
        <w:t xml:space="preserve">2.1.2. Требования </w:t>
      </w:r>
      <w:bookmarkEnd w:id="26"/>
      <w:r>
        <w:rPr>
          <w:rFonts w:eastAsia="Calibri"/>
          <w:b/>
          <w:lang w:eastAsia="x-none"/>
        </w:rPr>
        <w:t>к срокам поставки продукции</w:t>
      </w:r>
      <w:bookmarkEnd w:id="23"/>
      <w:bookmarkEnd w:id="24"/>
      <w:bookmarkEnd w:id="25"/>
    </w:p>
    <w:p>
      <w:pPr>
        <w:pStyle w:val="Normal"/>
        <w:jc w:val="right"/>
        <w:rPr/>
      </w:pPr>
      <w:bookmarkStart w:id="27" w:name="_Toc75446579"/>
      <w:bookmarkStart w:id="28" w:name="_Toc50125127"/>
      <w:bookmarkStart w:id="29" w:name="_Toc51339697"/>
      <w:bookmarkStart w:id="30" w:name="_Toc50125126_Копия_1"/>
      <w:bookmarkEnd w:id="30"/>
      <w:r>
        <w:rPr>
          <w:rFonts w:eastAsia="Calibri"/>
        </w:rPr>
        <w:t xml:space="preserve">Таблица 2.1 </w:t>
      </w:r>
      <w:bookmarkStart w:id="31" w:name="_Hlk50465284"/>
      <w:r>
        <w:rPr>
          <w:rFonts w:eastAsia="Calibri"/>
        </w:rPr>
        <w:t xml:space="preserve">Требования по срокам </w:t>
      </w:r>
      <w:bookmarkEnd w:id="28"/>
      <w:bookmarkEnd w:id="29"/>
      <w:bookmarkEnd w:id="31"/>
      <w:r>
        <w:rPr>
          <w:rFonts w:eastAsia="Calibri"/>
        </w:rPr>
        <w:t>поставки продукции</w:t>
      </w:r>
      <w:bookmarkEnd w:id="27"/>
      <w:r>
        <w:rPr>
          <w:rFonts w:eastAsia="Calibri"/>
        </w:rPr>
        <w:t xml:space="preserve"> </w:t>
      </w:r>
    </w:p>
    <w:tbl>
      <w:tblPr>
        <w:tblW w:w="10401" w:type="dxa"/>
        <w:jc w:val="left"/>
        <w:tblInd w:w="3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2"/>
        <w:gridCol w:w="3606"/>
        <w:gridCol w:w="2693"/>
        <w:gridCol w:w="3259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Наименование продукции / партии продукции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Требования к началу срока поставки продукции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Требования к окончанию срока поставки продукции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1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/>
              <w:jc w:val="center"/>
              <w:rPr/>
            </w:pPr>
            <w:r>
              <w:rPr>
                <w:b/>
              </w:rPr>
              <w:t>3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/>
              <w:jc w:val="center"/>
              <w:rPr/>
            </w:pPr>
            <w:bookmarkStart w:id="32" w:name="_Toc46743510"/>
            <w:r>
              <w:rPr>
                <w:b/>
              </w:rPr>
              <w:t>4</w:t>
            </w:r>
            <w:bookmarkEnd w:id="32"/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Продукция по перечню п 2.1.1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Не ранее 01.04.2027 г</w:t>
            </w:r>
            <w:bookmarkStart w:id="33" w:name="_GoBack"/>
            <w:bookmarkEnd w:id="33"/>
            <w:r>
              <w:rPr>
                <w:lang w:val="en-US"/>
              </w:rPr>
              <w:t>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Не позднее 30.04.2027 г.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851" w:right="425" w:gutter="0" w:header="0" w:top="1134" w:footer="0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numPr>
          <w:ilvl w:val="0"/>
          <w:numId w:val="0"/>
        </w:numPr>
        <w:spacing w:before="120" w:after="60"/>
        <w:ind w:hanging="0" w:left="0"/>
        <w:outlineLvl w:val="2"/>
        <w:rPr>
          <w:rFonts w:eastAsia="Calibri"/>
          <w:b/>
          <w:iCs/>
          <w:caps/>
          <w:lang w:eastAsia="x-none"/>
        </w:rPr>
      </w:pPr>
      <w:r>
        <w:rPr>
          <w:rFonts w:eastAsia="Calibri"/>
          <w:b/>
          <w:iCs/>
          <w:lang w:eastAsia="x-none"/>
        </w:rPr>
        <w:t xml:space="preserve">2.2. </w:t>
      </w:r>
      <w:r>
        <w:rPr>
          <w:rFonts w:eastAsia="Calibri"/>
          <w:b/>
          <w:iCs/>
          <w:lang w:val="x-none" w:eastAsia="x-none"/>
        </w:rPr>
        <w:t xml:space="preserve">Требования к </w:t>
      </w:r>
      <w:r>
        <w:rPr>
          <w:rFonts w:eastAsia="Calibri"/>
          <w:b/>
          <w:iCs/>
          <w:lang w:eastAsia="x-none"/>
        </w:rPr>
        <w:t xml:space="preserve">качеству </w:t>
      </w:r>
      <w:r>
        <w:rPr>
          <w:rFonts w:eastAsia="Calibri"/>
          <w:b/>
          <w:iCs/>
          <w:lang w:val="x-none" w:eastAsia="x-none"/>
        </w:rPr>
        <w:t>продукции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Таблица 3 Требования к качеству продукции.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Наименование закупаемой продукции: ОКПД2 28.24.12.120 Поставка перфоратора гидравлического подводного для нужд Жигулевского филиала</w:t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tbl>
      <w:tblPr>
        <w:tblW w:w="1473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3"/>
        <w:gridCol w:w="1752"/>
        <w:gridCol w:w="3075"/>
        <w:gridCol w:w="3210"/>
        <w:gridCol w:w="2100"/>
        <w:gridCol w:w="1753"/>
        <w:gridCol w:w="1876"/>
      </w:tblGrid>
      <w:tr>
        <w:trPr>
          <w:trHeight w:val="438" w:hRule="atLeast"/>
        </w:trPr>
        <w:tc>
          <w:tcPr>
            <w:tcW w:w="147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eastAsia="Calibri"/>
              </w:rPr>
            </w:pPr>
            <w:r>
              <w:rPr>
                <w:rFonts w:eastAsia="Calibri"/>
                <w:b/>
                <w:bCs/>
                <w:color w:val="000000"/>
              </w:rPr>
              <w:t>ОКПД2 28.24.12.120 Поставка перфоратора гидравлического подводного для нужд Жигулевского филиала</w:t>
            </w:r>
          </w:p>
        </w:tc>
      </w:tr>
      <w:tr>
        <w:trPr/>
        <w:tc>
          <w:tcPr>
            <w:tcW w:w="96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>п/п</w:t>
            </w:r>
          </w:p>
        </w:tc>
        <w:tc>
          <w:tcPr>
            <w:tcW w:w="17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продукции</w:t>
            </w:r>
          </w:p>
        </w:tc>
        <w:tc>
          <w:tcPr>
            <w:tcW w:w="30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параметра</w:t>
            </w:r>
          </w:p>
        </w:tc>
        <w:tc>
          <w:tcPr>
            <w:tcW w:w="32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Требование заказчика</w:t>
            </w:r>
          </w:p>
        </w:tc>
        <w:tc>
          <w:tcPr>
            <w:tcW w:w="38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Способ подтверждения участником соответствия требованиям</w:t>
            </w:r>
          </w:p>
        </w:tc>
        <w:tc>
          <w:tcPr>
            <w:tcW w:w="18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9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2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Согласие с требованием/ указание характеристик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01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-//-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-//-</w:t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1.1.</w:t>
            </w:r>
          </w:p>
        </w:tc>
        <w:tc>
          <w:tcPr>
            <w:tcW w:w="1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outlineLvl w:val="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Перфоратор гидравлический подводный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Тип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1C2126"/>
                <w:sz w:val="24"/>
                <w:szCs w:val="24"/>
              </w:rPr>
              <w:t>Гидравлический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Cs/>
              </w:rPr>
            </w:pPr>
            <w:r>
              <w:rPr>
                <w:bCs/>
              </w:rPr>
              <w:t>Согласие с требованиями</w:t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184" w:hRule="atLeast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/>
            </w:pPr>
            <w:r>
              <w:rPr/>
              <w:t>1.</w:t>
            </w:r>
            <w:r>
              <w:rPr/>
              <w:t>2</w:t>
            </w:r>
          </w:p>
        </w:tc>
        <w:tc>
          <w:tcPr>
            <w:tcW w:w="17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Давление, бар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center"/>
              <w:outlineLvl w:val="0"/>
              <w:rPr/>
            </w:pPr>
            <w:r>
              <w:rPr/>
              <w:t>от 1</w:t>
            </w:r>
            <w:r>
              <w:rPr/>
              <w:t>30</w:t>
            </w:r>
            <w:r>
              <w:rPr/>
              <w:t xml:space="preserve"> до 1</w:t>
            </w:r>
            <w:r>
              <w:rPr/>
              <w:t>7</w:t>
            </w:r>
            <w:r>
              <w:rPr/>
              <w:t>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Cs/>
              </w:rPr>
            </w:pPr>
            <w:r>
              <w:rPr>
                <w:bCs/>
              </w:rPr>
              <w:t>Указание характеристик</w:t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>
          <w:trHeight w:val="184" w:hRule="atLeast"/>
        </w:trPr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/>
            </w:pPr>
            <w:r>
              <w:rPr/>
              <w:t>1.</w:t>
            </w:r>
            <w:r>
              <w:rPr/>
              <w:t>3</w:t>
            </w:r>
            <w:r>
              <w:rPr/>
              <w:t>.</w:t>
            </w:r>
          </w:p>
        </w:tc>
        <w:tc>
          <w:tcPr>
            <w:tcW w:w="17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Расход, л/мин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от </w:t>
            </w:r>
            <w:r>
              <w:rPr/>
              <w:t>30</w:t>
            </w:r>
            <w:r>
              <w:rPr/>
              <w:t xml:space="preserve"> до </w:t>
            </w:r>
            <w:r>
              <w:rPr/>
              <w:t>50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Cs/>
              </w:rPr>
            </w:pPr>
            <w:r>
              <w:rPr>
                <w:bCs/>
              </w:rPr>
              <w:t>Указание характеристик</w:t>
            </w:r>
          </w:p>
        </w:tc>
        <w:tc>
          <w:tcPr>
            <w:tcW w:w="17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/>
            </w:pPr>
            <w:r>
              <w:rPr/>
              <w:t>1.</w:t>
            </w:r>
            <w:r>
              <w:rPr/>
              <w:t>4</w:t>
            </w:r>
            <w:r>
              <w:rPr/>
              <w:t>.</w:t>
            </w:r>
          </w:p>
        </w:tc>
        <w:tc>
          <w:tcPr>
            <w:tcW w:w="17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Максимальная с</w:t>
            </w:r>
            <w:r>
              <w:rPr/>
              <w:t>корость вращения, об/мин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от </w:t>
            </w:r>
            <w:r>
              <w:rPr/>
              <w:t>200</w:t>
            </w:r>
            <w:r>
              <w:rPr/>
              <w:t xml:space="preserve"> до </w:t>
            </w:r>
            <w:r>
              <w:rPr/>
              <w:t>5</w:t>
            </w:r>
            <w:r>
              <w:rPr/>
              <w:t>00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Cs/>
              </w:rPr>
            </w:pPr>
            <w:r>
              <w:rPr>
                <w:bCs/>
              </w:rPr>
              <w:t>Указание характеристик</w:t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/>
            </w:pPr>
            <w:r>
              <w:rPr/>
              <w:t>1.</w:t>
            </w:r>
            <w:r>
              <w:rPr/>
              <w:t>5</w:t>
            </w:r>
            <w:r>
              <w:rPr/>
              <w:t>.</w:t>
            </w:r>
          </w:p>
        </w:tc>
        <w:tc>
          <w:tcPr>
            <w:tcW w:w="17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Подводное исполнение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center"/>
              <w:outlineLvl w:val="0"/>
              <w:rPr/>
            </w:pPr>
            <w:r>
              <w:rPr>
                <w:color w:val="000000"/>
              </w:rPr>
              <w:t>да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Cs/>
              </w:rPr>
            </w:pPr>
            <w:r>
              <w:rPr>
                <w:bCs/>
              </w:rPr>
              <w:t>Согласие с требованиями</w:t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/>
            </w:pPr>
            <w:r>
              <w:rPr/>
              <w:t>1.6.</w:t>
            </w:r>
          </w:p>
        </w:tc>
        <w:tc>
          <w:tcPr>
            <w:tcW w:w="17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Style w:val="Strong"/>
                <w:b w:val="false"/>
                <w:bCs w:val="false"/>
              </w:rPr>
              <w:t>Минимальный д</w:t>
            </w:r>
            <w:r>
              <w:rPr>
                <w:rStyle w:val="Strong"/>
                <w:b w:val="false"/>
                <w:bCs w:val="false"/>
              </w:rPr>
              <w:t>иаметр сверления мм</w:t>
            </w:r>
          </w:p>
        </w:tc>
        <w:tc>
          <w:tcPr>
            <w:tcW w:w="3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center"/>
              <w:outlineLvl w:val="0"/>
              <w:rPr/>
            </w:pPr>
            <w:r>
              <w:rPr/>
              <w:t xml:space="preserve"> </w:t>
            </w:r>
            <w:r>
              <w:rPr/>
              <w:t xml:space="preserve">19  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Cs/>
              </w:rPr>
            </w:pPr>
            <w:r>
              <w:rPr/>
              <w:t>Указание характеристик</w:t>
            </w:r>
          </w:p>
        </w:tc>
        <w:tc>
          <w:tcPr>
            <w:tcW w:w="17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/>
            </w:pPr>
            <w:r>
              <w:rPr/>
              <w:t>1.7.</w:t>
            </w:r>
          </w:p>
        </w:tc>
        <w:tc>
          <w:tcPr>
            <w:tcW w:w="17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Максимальная г</w:t>
            </w:r>
            <w:r>
              <w:rPr/>
              <w:t>лубина сверления, мм</w:t>
            </w:r>
          </w:p>
        </w:tc>
        <w:tc>
          <w:tcPr>
            <w:tcW w:w="3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center"/>
              <w:outlineLvl w:val="0"/>
              <w:rPr/>
            </w:pPr>
            <w:r>
              <w:rPr/>
              <w:t>Не менее 200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Cs/>
              </w:rPr>
            </w:pPr>
            <w:r>
              <w:rPr/>
              <w:t>Указание характеристик</w:t>
            </w:r>
          </w:p>
        </w:tc>
        <w:tc>
          <w:tcPr>
            <w:tcW w:w="17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/>
            </w:pPr>
            <w:r>
              <w:rPr/>
              <w:t>1.8.</w:t>
            </w:r>
          </w:p>
        </w:tc>
        <w:tc>
          <w:tcPr>
            <w:tcW w:w="17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Тип соединения</w:t>
            </w:r>
          </w:p>
        </w:tc>
        <w:tc>
          <w:tcPr>
            <w:tcW w:w="3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center"/>
              <w:outlineLvl w:val="0"/>
              <w:rPr/>
            </w:pPr>
            <w:r>
              <w:rPr/>
              <w:t>3/8”, ввертной штуцер на конце шланга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Cs/>
              </w:rPr>
            </w:pPr>
            <w:r>
              <w:rPr/>
              <w:t>Согласие с требованиями</w:t>
            </w:r>
          </w:p>
        </w:tc>
        <w:tc>
          <w:tcPr>
            <w:tcW w:w="17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/>
            </w:pPr>
            <w:r>
              <w:rPr/>
              <w:t>1.9.</w:t>
            </w:r>
          </w:p>
        </w:tc>
        <w:tc>
          <w:tcPr>
            <w:tcW w:w="17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Т</w:t>
            </w:r>
            <w:r>
              <w:rPr/>
              <w:t xml:space="preserve">ип хвостовика сверла </w:t>
            </w:r>
            <w:r>
              <w:rPr/>
              <w:t>(</w:t>
            </w:r>
            <w:r>
              <w:rPr/>
              <w:t>Гнездо</w:t>
            </w:r>
            <w:r>
              <w:rPr/>
              <w:t>)</w:t>
            </w:r>
          </w:p>
        </w:tc>
        <w:tc>
          <w:tcPr>
            <w:tcW w:w="3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/>
              <w:jc w:val="center"/>
              <w:outlineLvl w:val="0"/>
              <w:rPr/>
            </w:pPr>
            <w:r>
              <w:rPr/>
              <w:t>736 Skil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Cs/>
              </w:rPr>
            </w:pPr>
            <w:r>
              <w:rPr/>
              <w:t>Согласие с требованиями</w:t>
            </w:r>
          </w:p>
        </w:tc>
        <w:tc>
          <w:tcPr>
            <w:tcW w:w="17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before="60" w:after="60"/>
              <w:jc w:val="center"/>
              <w:rPr/>
            </w:pPr>
            <w:r>
              <w:rPr>
                <w:bCs/>
              </w:rPr>
              <w:t>Согласие с требованиями</w:t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-//-</w:t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/>
              <w:t>2.1.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>Место поставки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Жигулевский филиал АО «Гидроремонт-ВКК» в г. Жигулевск, 445350, РФ, Самарская обл., г. Жигулевск, Жигулевская ГЭС</w:t>
            </w:r>
          </w:p>
        </w:tc>
        <w:tc>
          <w:tcPr>
            <w:tcW w:w="21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hanging="0" w:left="0"/>
              <w:outlineLvl w:val="2"/>
              <w:rPr>
                <w:bCs/>
              </w:rPr>
            </w:pPr>
            <w:r>
              <w:rPr>
                <w:bCs/>
              </w:rPr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/>
              <w:t>2.2.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>Приемка продукции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rPr>
                <w:lang w:eastAsia="x-none"/>
              </w:rPr>
            </w:pPr>
            <w:r>
              <w:rPr>
                <w:lang w:eastAsia="x-none"/>
              </w:rPr>
              <w:t>Только в рабочие дни с 9-00 до 11-00 и с 14-00 до 16-00</w:t>
            </w:r>
          </w:p>
        </w:tc>
        <w:tc>
          <w:tcPr>
            <w:tcW w:w="21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Cs/>
              </w:rPr>
            </w:pPr>
            <w:r>
              <w:rPr>
                <w:bCs/>
              </w:rPr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/>
              <w:t>2.3.</w:t>
            </w:r>
          </w:p>
        </w:tc>
        <w:tc>
          <w:tcPr>
            <w:tcW w:w="8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 xml:space="preserve"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 по тел. 8 (84862) 71-6-40. </w:t>
            </w: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Въезд транспортного средства на территорию ЖиГЭС без транзитного груза.</w:t>
            </w:r>
          </w:p>
        </w:tc>
        <w:tc>
          <w:tcPr>
            <w:tcW w:w="21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Cs/>
              </w:rPr>
            </w:pPr>
            <w:r>
              <w:rPr>
                <w:bCs/>
              </w:rPr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/>
              <w:t>2.4.</w:t>
            </w:r>
          </w:p>
        </w:tc>
        <w:tc>
          <w:tcPr>
            <w:tcW w:w="8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 п. Упаковка должна обеспечивать полную сохранность продукции на весь срок его транспортировки с учетом перегрузок и длительного хранения. Поставщик обязан сообщить условия длительного хранения поставленного Оборудования  (допускается определение условий хранения в сопроводительных документах).</w:t>
            </w:r>
          </w:p>
        </w:tc>
        <w:tc>
          <w:tcPr>
            <w:tcW w:w="21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Cs/>
              </w:rPr>
            </w:pPr>
            <w:r>
              <w:rPr>
                <w:bCs/>
              </w:rPr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/>
              <w:t>2.5.</w:t>
            </w:r>
          </w:p>
        </w:tc>
        <w:tc>
          <w:tcPr>
            <w:tcW w:w="8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>На упаковках (ящиках) должно быть указано наименование и количество продукции</w:t>
            </w:r>
          </w:p>
        </w:tc>
        <w:tc>
          <w:tcPr>
            <w:tcW w:w="21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Cs/>
              </w:rPr>
            </w:pPr>
            <w:r>
              <w:rPr>
                <w:bCs/>
              </w:rPr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</w:rPr>
            </w:pPr>
            <w:r>
              <w:rPr>
                <w:b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-//-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/>
              <w:t>3.1.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>Сроки гарантии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>Не менее 24 (двадцати четырех) месяцев с даты подписания Сторонами товарной накладной по форме ТОРГ-12 или Универсального передаточного документа (УПД).</w:t>
            </w:r>
          </w:p>
        </w:tc>
        <w:tc>
          <w:tcPr>
            <w:tcW w:w="21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bCs/>
              </w:rPr>
            </w:pPr>
            <w:r>
              <w:rPr>
                <w:bCs/>
              </w:rPr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/>
              <w:t>3.2.</w:t>
            </w:r>
          </w:p>
        </w:tc>
        <w:tc>
          <w:tcPr>
            <w:tcW w:w="8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>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специалистов.</w:t>
            </w:r>
          </w:p>
        </w:tc>
        <w:tc>
          <w:tcPr>
            <w:tcW w:w="21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center"/>
              <w:rPr>
                <w:bCs/>
              </w:rPr>
            </w:pPr>
            <w:r>
              <w:rPr>
                <w:bCs/>
              </w:rPr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/>
              <w:t>4.</w:t>
            </w:r>
          </w:p>
        </w:tc>
        <w:tc>
          <w:tcPr>
            <w:tcW w:w="8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</w:rPr>
            </w:pPr>
            <w:r>
              <w:rPr>
                <w:b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/>
              <w:t>4.1.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 xml:space="preserve">  </w:t>
            </w:r>
            <w:r>
              <w:rPr>
                <w:lang w:eastAsia="x-none"/>
              </w:rPr>
              <w:t>Одновременно с передачей Оборудования Поставщик обязан передать Покупателю</w:t>
            </w:r>
          </w:p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>оригиналы следующих относящихся к нему документов:</w:t>
            </w:r>
          </w:p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>- паспорт  (на русском языке);</w:t>
            </w:r>
          </w:p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>- руководство по эксплуатации (на русском языке);</w:t>
            </w:r>
          </w:p>
          <w:p>
            <w:pPr>
              <w:pStyle w:val="Normal"/>
              <w:widowControl w:val="false"/>
              <w:rPr>
                <w:lang w:eastAsia="x-none"/>
              </w:rPr>
            </w:pPr>
            <w:r>
              <w:rPr>
                <w:lang w:eastAsia="x-none"/>
              </w:rPr>
              <w:t>- накладную ТОРГ-12 (УПД) в 2 (двух) экз.</w:t>
            </w:r>
          </w:p>
        </w:tc>
        <w:tc>
          <w:tcPr>
            <w:tcW w:w="21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8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eastAsia="Times New Roman"/>
                <w:b/>
                <w:bCs/>
                <w:szCs w:val="24"/>
                <w:lang w:val="x-none" w:eastAsia="x-none"/>
              </w:rPr>
              <w:t xml:space="preserve">Требования к </w:t>
            </w:r>
            <w:r>
              <w:rPr>
                <w:rFonts w:eastAsia="Times New Roman"/>
                <w:b/>
                <w:bCs/>
                <w:szCs w:val="24"/>
                <w:lang w:eastAsia="x-none"/>
              </w:rPr>
              <w:t>качеству продукции</w:t>
            </w:r>
          </w:p>
        </w:tc>
        <w:tc>
          <w:tcPr>
            <w:tcW w:w="21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/>
              <w:t>5.1.</w:t>
            </w:r>
          </w:p>
        </w:tc>
        <w:tc>
          <w:tcPr>
            <w:tcW w:w="8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</w:rPr>
            </w:pPr>
            <w:r>
              <w:rPr>
                <w:lang w:eastAsia="x-none"/>
              </w:rPr>
              <w:t>Продукция должна быть новой, ранее не использовавшейся</w:t>
            </w:r>
          </w:p>
        </w:tc>
        <w:tc>
          <w:tcPr>
            <w:tcW w:w="21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</w:r>
          </w:p>
        </w:tc>
      </w:tr>
      <w:tr>
        <w:trPr/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60" w:after="60"/>
              <w:rPr/>
            </w:pPr>
            <w:r>
              <w:rPr/>
              <w:t>5.2.</w:t>
            </w:r>
          </w:p>
        </w:tc>
        <w:tc>
          <w:tcPr>
            <w:tcW w:w="8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rFonts w:eastAsia="Times New Roman"/>
                <w:bCs/>
                <w:lang w:eastAsia="x-none"/>
              </w:rPr>
            </w:pPr>
            <w:r>
              <w:rPr>
                <w:rFonts w:eastAsia="Times New Roman"/>
                <w:bCs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21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numPr>
          <w:ilvl w:val="0"/>
          <w:numId w:val="0"/>
        </w:numPr>
        <w:spacing w:before="120" w:after="60"/>
        <w:ind w:hanging="357" w:left="357"/>
        <w:jc w:val="center"/>
        <w:outlineLvl w:val="0"/>
        <w:rPr>
          <w:rFonts w:eastAsia="Calibri"/>
          <w:b/>
          <w:iCs/>
          <w:lang w:val="x-none" w:eastAsia="x-none"/>
        </w:rPr>
      </w:pPr>
      <w:bookmarkStart w:id="34" w:name="_Toc46743519"/>
      <w:bookmarkStart w:id="35" w:name="_Toc51339699"/>
      <w:bookmarkStart w:id="36" w:name="_Toc75446583"/>
      <w:bookmarkStart w:id="37" w:name="_Toc157599453"/>
      <w:bookmarkStart w:id="38" w:name="_Toc162430468"/>
      <w:bookmarkStart w:id="39" w:name="_Toc53393312"/>
      <w:r>
        <w:rPr>
          <w:rFonts w:eastAsia="Calibri"/>
          <w:b/>
          <w:iCs/>
          <w:lang w:eastAsia="x-none"/>
        </w:rPr>
        <w:t xml:space="preserve">3. </w:t>
      </w:r>
      <w:r>
        <w:rPr>
          <w:rFonts w:eastAsia="Calibri"/>
          <w:b/>
          <w:iCs/>
          <w:lang w:val="x-none" w:eastAsia="x-none"/>
        </w:rPr>
        <w:t>Требования к документации по ценообразованию</w:t>
      </w:r>
      <w:bookmarkEnd w:id="39"/>
      <w:r>
        <w:rPr>
          <w:rFonts w:eastAsia="Calibri"/>
          <w:b/>
          <w:iCs/>
          <w:lang w:val="x-none" w:eastAsia="x-none"/>
        </w:rPr>
        <w:t xml:space="preserve"> на этапе закупки</w:t>
      </w:r>
      <w:bookmarkEnd w:id="36"/>
      <w:bookmarkEnd w:id="37"/>
      <w:bookmarkEnd w:id="38"/>
    </w:p>
    <w:p>
      <w:pPr>
        <w:pStyle w:val="Normal"/>
        <w:spacing w:before="0" w:after="0"/>
        <w:contextualSpacing/>
        <w:rPr>
          <w:rFonts w:eastAsia="Calibri"/>
          <w:lang w:eastAsia="x-none"/>
        </w:rPr>
      </w:pPr>
      <w:r>
        <w:rPr>
          <w:rFonts w:eastAsia="Calibri"/>
          <w:lang w:eastAsia="x-none"/>
        </w:rPr>
        <w:t xml:space="preserve">3.1. В обоснование стоимости своей заявки Участник предоставляет Коммерческое предложение по форме </w:t>
      </w:r>
      <w:bookmarkStart w:id="40" w:name="_Hlk88325985"/>
      <w:r>
        <w:rPr>
          <w:rFonts w:eastAsia="Calibri"/>
          <w:lang w:eastAsia="x-none"/>
        </w:rPr>
        <w:t>(с учетом прилагаемой к ней инструкции по заполнению)</w:t>
      </w:r>
      <w:bookmarkEnd w:id="40"/>
      <w:r>
        <w:rPr>
          <w:rFonts w:eastAsia="Calibri"/>
          <w:lang w:eastAsia="x-none"/>
        </w:rPr>
        <w:t>, приведенной в Документации о закупке.</w:t>
      </w:r>
    </w:p>
    <w:p>
      <w:pPr>
        <w:pStyle w:val="Normal"/>
        <w:spacing w:before="0" w:after="0"/>
        <w:contextualSpacing/>
        <w:rPr>
          <w:rFonts w:eastAsia="Calibri"/>
          <w:lang w:eastAsia="x-none"/>
        </w:rPr>
      </w:pPr>
      <w:bookmarkStart w:id="41" w:name="_Hlk88327292"/>
      <w:r>
        <w:rPr>
          <w:rFonts w:eastAsia="Calibri"/>
          <w:lang w:eastAsia="x-none"/>
        </w:rPr>
        <w:t>3.2. Дополнительные документы по ценообразованию</w:t>
      </w:r>
      <w:bookmarkEnd w:id="41"/>
      <w:r>
        <w:rPr>
          <w:rFonts w:eastAsia="Calibri"/>
          <w:lang w:eastAsia="x-none"/>
        </w:rPr>
        <w:t xml:space="preserve"> в состав заявки не включаются.</w:t>
      </w:r>
      <w:bookmarkEnd w:id="34"/>
      <w:bookmarkEnd w:id="35"/>
    </w:p>
    <w:p>
      <w:pPr>
        <w:pStyle w:val="Normal"/>
        <w:spacing w:before="0" w:after="0"/>
        <w:contextualSpacing/>
        <w:rPr>
          <w:rFonts w:eastAsia="Calibri"/>
          <w:lang w:eastAsia="x-none"/>
        </w:rPr>
      </w:pPr>
      <w:r>
        <w:rPr>
          <w:rFonts w:eastAsia="Calibri"/>
          <w:lang w:eastAsia="x-none"/>
        </w:rPr>
      </w:r>
    </w:p>
    <w:p>
      <w:pPr>
        <w:pStyle w:val="Normal"/>
        <w:spacing w:before="0" w:after="0"/>
        <w:contextualSpacing/>
        <w:rPr>
          <w:rFonts w:eastAsia="Calibri"/>
          <w:lang w:eastAsia="x-none"/>
        </w:rPr>
      </w:pPr>
      <w:r>
        <w:rPr>
          <w:rFonts w:eastAsia="Calibri"/>
          <w:lang w:eastAsia="x-none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851" w:right="879" w:gutter="0" w:header="0" w:top="1134" w:footer="822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OST Type BU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55355963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056538113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>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d509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611ac1"/>
    <w:pPr>
      <w:keepNext w:val="true"/>
      <w:outlineLvl w:val="0"/>
    </w:pPr>
    <w:rPr>
      <w:sz w:val="28"/>
      <w:szCs w:val="20"/>
      <w:lang w:eastAsia="en-US"/>
    </w:rPr>
  </w:style>
  <w:style w:type="paragraph" w:styleId="Heading2">
    <w:name w:val="Heading 2"/>
    <w:basedOn w:val="Normal"/>
    <w:next w:val="Normal"/>
    <w:link w:val="2"/>
    <w:qFormat/>
    <w:rsid w:val="00611ac1"/>
    <w:pPr>
      <w:keepNext w:val="true"/>
      <w:jc w:val="center"/>
      <w:outlineLvl w:val="1"/>
    </w:pPr>
    <w:rPr>
      <w:sz w:val="28"/>
      <w:szCs w:val="20"/>
      <w:lang w:val="en-US" w:eastAsia="en-US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135f1e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9b7eec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basedOn w:val="DefaultParagraphFont"/>
    <w:link w:val="BalloonText"/>
    <w:uiPriority w:val="99"/>
    <w:semiHidden/>
    <w:qFormat/>
    <w:rsid w:val="007436d2"/>
    <w:rPr>
      <w:rFonts w:ascii="Tahoma" w:hAnsi="Tahoma" w:eastAsia="Times New Roman" w:cs="Tahoma"/>
      <w:sz w:val="16"/>
      <w:szCs w:val="16"/>
      <w:lang w:eastAsia="ru-RU"/>
    </w:rPr>
  </w:style>
  <w:style w:type="character" w:styleId="1" w:customStyle="1">
    <w:name w:val="Заголовок 1 Знак"/>
    <w:basedOn w:val="DefaultParagraphFont"/>
    <w:qFormat/>
    <w:rsid w:val="00611ac1"/>
    <w:rPr>
      <w:rFonts w:ascii="Times New Roman" w:hAnsi="Times New Roman" w:eastAsia="Times New Roman" w:cs="Times New Roman"/>
      <w:sz w:val="28"/>
      <w:szCs w:val="20"/>
    </w:rPr>
  </w:style>
  <w:style w:type="character" w:styleId="2" w:customStyle="1">
    <w:name w:val="Заголовок 2 Знак"/>
    <w:basedOn w:val="DefaultParagraphFont"/>
    <w:qFormat/>
    <w:rsid w:val="00611ac1"/>
    <w:rPr>
      <w:rFonts w:ascii="Times New Roman" w:hAnsi="Times New Roman" w:eastAsia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b405e7"/>
    <w:rPr>
      <w:color w:val="0000FF" w:themeColor="hyperlink"/>
      <w:u w:val="single"/>
    </w:rPr>
  </w:style>
  <w:style w:type="character" w:styleId="Apple-converted-space" w:customStyle="1">
    <w:name w:val="apple-converted-space"/>
    <w:basedOn w:val="DefaultParagraphFont"/>
    <w:qFormat/>
    <w:rsid w:val="00543cd6"/>
    <w:rPr/>
  </w:style>
  <w:style w:type="character" w:styleId="4" w:customStyle="1">
    <w:name w:val="Заголовок 4 Знак"/>
    <w:basedOn w:val="DefaultParagraphFont"/>
    <w:uiPriority w:val="9"/>
    <w:semiHidden/>
    <w:qFormat/>
    <w:rsid w:val="009b7eec"/>
    <w:rPr>
      <w:rFonts w:ascii="Cambria" w:hAnsi="Cambria" w:eastAsia="" w:cs="" w:asciiTheme="majorHAnsi" w:cstheme="majorBidi" w:eastAsiaTheme="majorEastAsia" w:hAnsiTheme="majorHAnsi"/>
      <w:i/>
      <w:iCs/>
      <w:color w:val="365F91" w:themeColor="accent1" w:themeShade="bf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uiPriority w:val="9"/>
    <w:semiHidden/>
    <w:qFormat/>
    <w:rsid w:val="00135f1e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  <w:lang w:eastAsia="ru-RU"/>
    </w:rPr>
  </w:style>
  <w:style w:type="character" w:styleId="Style6" w:customStyle="1">
    <w:name w:val="Основной текст Знак"/>
    <w:basedOn w:val="DefaultParagraphFont"/>
    <w:qFormat/>
    <w:rsid w:val="0087552f"/>
    <w:rPr>
      <w:rFonts w:ascii="Times New Roman" w:hAnsi="Times New Roman" w:eastAsia="Times New Roman" w:cs="Times New Roman"/>
      <w:szCs w:val="20"/>
      <w:lang w:eastAsia="ru-RU"/>
    </w:rPr>
  </w:style>
  <w:style w:type="character" w:styleId="Style7" w:customStyle="1">
    <w:name w:val="Абзац списка Знак"/>
    <w:link w:val="ListParagraph"/>
    <w:uiPriority w:val="99"/>
    <w:qFormat/>
    <w:locked/>
    <w:rsid w:val="004d0468"/>
    <w:rPr>
      <w:rFonts w:ascii="Symbol" w:hAnsi="Symbol" w:eastAsia="Times New Roman" w:cs="Times New Roman"/>
      <w:sz w:val="26"/>
      <w:szCs w:val="26"/>
      <w:lang w:eastAsia="ru-RU"/>
    </w:rPr>
  </w:style>
  <w:style w:type="character" w:styleId="Style8" w:customStyle="1">
    <w:name w:val="комментарий"/>
    <w:qFormat/>
    <w:rsid w:val="004d0468"/>
    <w:rPr>
      <w:b/>
      <w:i/>
      <w:shd w:fill="FFFF99" w:val="clear"/>
    </w:rPr>
  </w:style>
  <w:style w:type="character" w:styleId="PlaceholderText">
    <w:name w:val="Placeholder Text"/>
    <w:basedOn w:val="DefaultParagraphFont"/>
    <w:uiPriority w:val="99"/>
    <w:semiHidden/>
    <w:qFormat/>
    <w:rsid w:val="00fb2cce"/>
    <w:rPr>
      <w:color w:val="808080"/>
    </w:rPr>
  </w:style>
  <w:style w:type="character" w:styleId="Style9" w:customStyle="1">
    <w:name w:val="Ссылка указателя"/>
    <w:qFormat/>
    <w:rPr/>
  </w:style>
  <w:style w:type="character" w:styleId="Style10" w:customStyle="1">
    <w:name w:val="Верхний колонтитул Знак"/>
    <w:basedOn w:val="DefaultParagraphFont"/>
    <w:uiPriority w:val="99"/>
    <w:qFormat/>
    <w:rsid w:val="00bc101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Нижний колонтитул Знак"/>
    <w:basedOn w:val="DefaultParagraphFont"/>
    <w:uiPriority w:val="99"/>
    <w:qFormat/>
    <w:rsid w:val="00bc101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d5594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Annotationtext"/>
    <w:uiPriority w:val="99"/>
    <w:semiHidden/>
    <w:qFormat/>
    <w:rsid w:val="006d559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3" w:customStyle="1">
    <w:name w:val="Тема примечания Знак"/>
    <w:basedOn w:val="Style12"/>
    <w:link w:val="Annotationsubject"/>
    <w:uiPriority w:val="99"/>
    <w:semiHidden/>
    <w:qFormat/>
    <w:rsid w:val="006d5594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Linenumber">
    <w:name w:val="line number"/>
    <w:qFormat/>
    <w:rPr/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87552f"/>
    <w:pPr>
      <w:jc w:val="both"/>
    </w:pPr>
    <w:rPr>
      <w:sz w:val="22"/>
      <w:szCs w:val="20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c82289"/>
    <w:pPr>
      <w:spacing w:beforeAutospacing="1" w:afterAutospacing="1"/>
    </w:pPr>
    <w:rPr/>
  </w:style>
  <w:style w:type="paragraph" w:styleId="ListParagraph">
    <w:name w:val="List Paragraph"/>
    <w:basedOn w:val="Normal"/>
    <w:link w:val="Style7"/>
    <w:uiPriority w:val="34"/>
    <w:qFormat/>
    <w:rsid w:val="00c82289"/>
    <w:pPr>
      <w:numPr>
        <w:ilvl w:val="0"/>
        <w:numId w:val="1"/>
      </w:numPr>
      <w:spacing w:before="0" w:after="0"/>
      <w:contextualSpacing/>
      <w:jc w:val="both"/>
    </w:pPr>
    <w:rPr>
      <w:rFonts w:ascii="Symbol" w:hAnsi="Symbol"/>
      <w:sz w:val="26"/>
      <w:szCs w:val="26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7436d2"/>
    <w:pPr/>
    <w:rPr>
      <w:rFonts w:ascii="Tahoma" w:hAnsi="Tahoma" w:cs="Tahoma"/>
      <w:sz w:val="16"/>
      <w:szCs w:val="16"/>
    </w:rPr>
  </w:style>
  <w:style w:type="paragraph" w:styleId="Style17" w:customStyle="1">
    <w:name w:val="Таблица"/>
    <w:basedOn w:val="Normal"/>
    <w:uiPriority w:val="99"/>
    <w:qFormat/>
    <w:rsid w:val="004d0468"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TOC1">
    <w:name w:val="TOC 1"/>
    <w:basedOn w:val="Normal"/>
    <w:next w:val="Normal"/>
    <w:autoRedefine/>
    <w:uiPriority w:val="39"/>
    <w:unhideWhenUsed/>
    <w:rsid w:val="00351623"/>
    <w:pPr>
      <w:spacing w:before="0" w:after="100"/>
    </w:pPr>
    <w:rPr/>
  </w:style>
  <w:style w:type="paragraph" w:styleId="TOC2">
    <w:name w:val="TOC 2"/>
    <w:basedOn w:val="Normal"/>
    <w:next w:val="Normal"/>
    <w:autoRedefine/>
    <w:uiPriority w:val="39"/>
    <w:unhideWhenUsed/>
    <w:rsid w:val="00351623"/>
    <w:pPr>
      <w:spacing w:before="0" w:after="100"/>
      <w:ind w:left="240"/>
    </w:pPr>
    <w:rPr/>
  </w:style>
  <w:style w:type="paragraph" w:styleId="TOC3">
    <w:name w:val="TOC 3"/>
    <w:basedOn w:val="Normal"/>
    <w:next w:val="Normal"/>
    <w:autoRedefine/>
    <w:uiPriority w:val="39"/>
    <w:unhideWhenUsed/>
    <w:rsid w:val="00351623"/>
    <w:pPr>
      <w:spacing w:before="0" w:after="100"/>
      <w:ind w:left="480"/>
    </w:pPr>
    <w:rPr/>
  </w:style>
  <w:style w:type="paragraph" w:styleId="Style1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bc10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1"/>
    <w:uiPriority w:val="99"/>
    <w:unhideWhenUsed/>
    <w:rsid w:val="00bc10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text">
    <w:name w:val="annotation text"/>
    <w:basedOn w:val="Normal"/>
    <w:link w:val="Style12"/>
    <w:uiPriority w:val="99"/>
    <w:semiHidden/>
    <w:unhideWhenUsed/>
    <w:qFormat/>
    <w:rsid w:val="006d5594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3"/>
    <w:uiPriority w:val="99"/>
    <w:semiHidden/>
    <w:unhideWhenUsed/>
    <w:qFormat/>
    <w:rsid w:val="006d5594"/>
    <w:pPr/>
    <w:rPr>
      <w:b/>
      <w:bCs/>
    </w:rPr>
  </w:style>
  <w:style w:type="paragraph" w:styleId="Revision">
    <w:name w:val="Revision"/>
    <w:uiPriority w:val="99"/>
    <w:semiHidden/>
    <w:qFormat/>
    <w:rsid w:val="00c16985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2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2"/>
    <w:uiPriority w:val="39"/>
    <w:rsid w:val="00477005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79EC8-6E7D-471A-984A-43717E449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3482</TotalTime>
  <Application>AlterOffice/2026.2.0.0$Linux_X86_64 LibreOffice_project/bc4ef1adf80b36c7a6365f8ed6cbf29021361edd</Application>
  <AppVersion>15.0000</AppVersion>
  <Pages>6</Pages>
  <Words>659</Words>
  <Characters>4562</Characters>
  <CharactersWithSpaces>5090</CharactersWithSpaces>
  <Paragraphs>143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2024-12-23T10:13:00Z</dcterms:created>
  <dc:creator>Егорушкин Яков Игоревич</dc:creator>
  <dc:description/>
  <dc:language>ru-RU</dc:language>
  <cp:lastModifiedBy>smehnovaa@corp.gidroogk.com</cp:lastModifiedBy>
  <cp:lastPrinted>2026-10-13T11:52:00Z</cp:lastPrinted>
  <dcterms:modified xsi:type="dcterms:W3CDTF">2026-10-26T09:00:48Z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