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5245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УТВЕРЖДАЮ</w:t>
      </w:r>
    </w:p>
    <w:p>
      <w:pPr>
        <w:pStyle w:val="Normal"/>
        <w:ind w:left="5245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Первый заместитель директора - </w:t>
      </w:r>
    </w:p>
    <w:p>
      <w:pPr>
        <w:pStyle w:val="Normal"/>
        <w:ind w:left="5245" w:hanging="0"/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главный инженер</w:t>
        <w:br/>
        <w:t>Филиала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 xml:space="preserve">ПАО «РусГидро» - </w:t>
      </w:r>
    </w:p>
    <w:p>
      <w:pPr>
        <w:pStyle w:val="Normal"/>
        <w:ind w:left="5245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«Каскад Кубанских ГЭС» </w:t>
      </w:r>
    </w:p>
    <w:p>
      <w:pPr>
        <w:pStyle w:val="Normal"/>
        <w:spacing w:before="120" w:after="0"/>
        <w:ind w:left="5245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 xml:space="preserve">_____________ </w:t>
      </w:r>
      <w:r>
        <w:rPr>
          <w:rFonts w:ascii="Times New Roman" w:hAnsi="Times New Roman"/>
        </w:rPr>
        <w:t>Ильин С.В.</w:t>
      </w:r>
    </w:p>
    <w:p>
      <w:pPr>
        <w:pStyle w:val="Normal"/>
        <w:ind w:left="5245" w:hanging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«____» ____________2026г.</w:t>
      </w:r>
    </w:p>
    <w:p>
      <w:pPr>
        <w:pStyle w:val="Normal"/>
        <w:keepNext w:val="true"/>
        <w:keepLines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keepLines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</w:rPr>
      </w:pPr>
      <w:r>
        <w:rPr>
          <w:rFonts w:eastAsia="Calibri" w:ascii="Times New Roman" w:hAnsi="Times New Roman"/>
          <w:b/>
        </w:rPr>
        <w:t>Технические требования на выполнение работ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</w:rPr>
      </w:pPr>
      <w:r>
        <w:rPr>
          <w:rFonts w:eastAsia="Calibri" w:ascii="Times New Roman" w:hAnsi="Times New Roman"/>
          <w:b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</w:rPr>
      </w:pPr>
      <w:r>
        <w:rPr>
          <w:rFonts w:eastAsia="Calibri" w:ascii="Times New Roman" w:hAnsi="Times New Roman"/>
          <w:b/>
        </w:rPr>
      </w:r>
    </w:p>
    <w:p>
      <w:pPr>
        <w:pStyle w:val="Normal"/>
        <w:tabs>
          <w:tab w:val="clear" w:pos="720"/>
          <w:tab w:val="left" w:pos="426" w:leader="none"/>
        </w:tabs>
        <w:spacing w:before="120" w:after="120"/>
        <w:ind w:firstLine="851"/>
        <w:jc w:val="center"/>
        <w:rPr>
          <w:rFonts w:ascii="Times New Roman" w:hAnsi="Times New Roman"/>
        </w:rPr>
      </w:pPr>
      <w:r>
        <w:rPr>
          <w:rFonts w:eastAsia="Calibri" w:ascii="Times New Roman" w:hAnsi="Times New Roman"/>
          <w:b/>
        </w:rPr>
        <w:t>«</w:t>
      </w:r>
      <w:r>
        <w:rPr>
          <w:rFonts w:eastAsia="Calibri" w:ascii="Times New Roman" w:hAnsi="Times New Roman"/>
          <w:b/>
          <w:spacing w:val="-2"/>
        </w:rPr>
        <w:t>ОКПД2 33.19.10.000. Текущий ремонт сегментов подпятника генератора синхронного к гидравлической турбине вертикальной ГЭС-2, Свистухинской ГЭС, Егорлыкской ГЭС филиала ПАО “РусГидро”- “Каскад Кубанских ГЭС”»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20"/>
          <w:tab w:val="left" w:pos="426" w:leader="none"/>
        </w:tabs>
        <w:spacing w:before="120" w:after="120"/>
        <w:ind w:firstLine="851"/>
        <w:jc w:val="center"/>
        <w:rPr/>
      </w:pPr>
      <w:r>
        <w:rPr>
          <w:rStyle w:val="Style8"/>
          <w:rFonts w:eastAsia="Calibri" w:ascii="Times New Roman" w:hAnsi="Times New Roman"/>
          <w:b w:val="false"/>
          <w:i w:val="false"/>
          <w:color w:val="000000"/>
          <w:shd w:fill="auto" w:val="clear"/>
        </w:rPr>
        <w:t>Лот №1186-РЕМ ПРОД-2027-ККГЭС</w:t>
      </w:r>
    </w:p>
    <w:p>
      <w:pPr>
        <w:pStyle w:val="Normal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СОДЕРЖАНИЕ</w:t>
      </w:r>
    </w:p>
    <w:p>
      <w:pPr>
        <w:pStyle w:val="TOC1"/>
        <w:tabs>
          <w:tab w:val="clear" w:pos="720"/>
          <w:tab w:val="left" w:pos="560" w:leader="none"/>
          <w:tab w:val="right" w:pos="9911" w:leader="dot"/>
        </w:tabs>
        <w:rPr>
          <w:rFonts w:ascii="Times New Roman" w:hAnsi="Times New Roman"/>
          <w:b w:val="false"/>
          <w:i/>
          <w:i/>
        </w:rPr>
      </w:pPr>
      <w:r>
        <w:rPr>
          <w:rFonts w:ascii="Times New Roman" w:hAnsi="Times New Roman"/>
          <w:b w:val="false"/>
          <w:i/>
        </w:rPr>
      </w:r>
    </w:p>
    <w:p>
      <w:pPr>
        <w:pStyle w:val="TOC1"/>
        <w:tabs>
          <w:tab w:val="clear" w:pos="720"/>
          <w:tab w:val="left" w:pos="560" w:leader="none"/>
          <w:tab w:val="right" w:pos="9911" w:leader="dot"/>
        </w:tabs>
        <w:rPr>
          <w:rFonts w:ascii="Times New Roman" w:hAnsi="Times New Roman"/>
        </w:rPr>
      </w:pPr>
      <w:r>
        <w:rPr>
          <w:rFonts w:cs="Times New Roman" w:ascii="Times New Roman" w:hAnsi="Times New Roman"/>
        </w:rPr>
        <w:t>1.</w:t>
      </w:r>
      <w:r>
        <w:rPr>
          <w:rFonts w:eastAsia="" w:cs="Times New Roman" w:ascii="Times New Roman" w:hAnsi="Times New Roman" w:eastAsiaTheme="minorEastAsia"/>
          <w:b w:val="false"/>
          <w:bCs w:val="false"/>
        </w:rPr>
        <w:tab/>
      </w:r>
      <w:r>
        <w:rPr>
          <w:rFonts w:cs="Times New Roman" w:ascii="Times New Roman" w:hAnsi="Times New Roman"/>
        </w:rPr>
        <w:t>Общие сведения</w:t>
        <w:tab/>
      </w:r>
      <w:r>
        <w:rPr>
          <w:rFonts w:cs="Times New Roman" w:ascii="Times New Roman" w:hAnsi="Times New Roman"/>
          <w:vanish/>
        </w:rPr>
        <w:t>3</w:t>
      </w:r>
    </w:p>
    <w:p>
      <w:pPr>
        <w:pStyle w:val="TOC4"/>
        <w:tabs>
          <w:tab w:val="clear" w:pos="720"/>
          <w:tab w:val="left" w:pos="1120" w:leader="none"/>
          <w:tab w:val="right" w:pos="9911" w:leader="dot"/>
        </w:tabs>
        <w:rPr>
          <w:rFonts w:ascii="Times New Roman" w:hAnsi="Times New Roman" w:cs="Times New Roman"/>
          <w:vanish/>
          <w:sz w:val="24"/>
          <w:szCs w:val="24"/>
        </w:rPr>
      </w:pPr>
      <w:r>
        <w:rPr>
          <w:rFonts w:cs="Times New Roman" w:ascii="Times New Roman" w:hAnsi="Times New Roman"/>
          <w:vanish/>
          <w:sz w:val="24"/>
          <w:szCs w:val="24"/>
        </w:rPr>
      </w:r>
    </w:p>
    <w:p>
      <w:pPr>
        <w:pStyle w:val="TOC4"/>
        <w:tabs>
          <w:tab w:val="clear" w:pos="720"/>
          <w:tab w:val="left" w:pos="1120" w:leader="none"/>
          <w:tab w:val="right" w:pos="9911" w:leader="dot"/>
        </w:tabs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1.1.</w:t>
      </w:r>
      <w:r>
        <w:rPr>
          <w:rFonts w:eastAsia="" w:cs="Times New Roman" w:ascii="Times New Roman" w:hAnsi="Times New Roman" w:eastAsiaTheme="minorEastAsia"/>
          <w:sz w:val="24"/>
          <w:szCs w:val="24"/>
        </w:rPr>
        <w:tab/>
      </w:r>
      <w:r>
        <w:rPr>
          <w:rFonts w:cs="Times New Roman" w:ascii="Times New Roman" w:hAnsi="Times New Roman"/>
          <w:sz w:val="24"/>
          <w:szCs w:val="24"/>
        </w:rPr>
        <w:t>Наименование закупаемой продукции</w:t>
        <w:tab/>
      </w:r>
      <w:r>
        <w:rPr>
          <w:rFonts w:cs="Times New Roman" w:ascii="Times New Roman" w:hAnsi="Times New Roman"/>
          <w:vanish/>
          <w:sz w:val="24"/>
          <w:szCs w:val="24"/>
        </w:rPr>
        <w:t>4</w:t>
      </w:r>
    </w:p>
    <w:p>
      <w:pPr>
        <w:pStyle w:val="TOC4"/>
        <w:tabs>
          <w:tab w:val="clear" w:pos="720"/>
          <w:tab w:val="left" w:pos="1120" w:leader="none"/>
          <w:tab w:val="right" w:pos="9911" w:leader="dot"/>
        </w:tabs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1.2.</w:t>
      </w:r>
      <w:r>
        <w:rPr>
          <w:rFonts w:eastAsia="" w:cs="Times New Roman" w:ascii="Times New Roman" w:hAnsi="Times New Roman" w:eastAsiaTheme="minorEastAsia"/>
          <w:sz w:val="24"/>
          <w:szCs w:val="24"/>
        </w:rPr>
        <w:tab/>
      </w:r>
      <w:r>
        <w:rPr>
          <w:rFonts w:cs="Times New Roman" w:ascii="Times New Roman" w:hAnsi="Times New Roman"/>
          <w:sz w:val="24"/>
          <w:szCs w:val="24"/>
        </w:rPr>
        <w:t xml:space="preserve">Цель выполнения работ </w:t>
        <w:tab/>
      </w:r>
      <w:r>
        <w:rPr>
          <w:rFonts w:cs="Times New Roman" w:ascii="Times New Roman" w:hAnsi="Times New Roman"/>
          <w:vanish/>
          <w:sz w:val="24"/>
          <w:szCs w:val="24"/>
        </w:rPr>
        <w:t>4</w:t>
      </w:r>
    </w:p>
    <w:p>
      <w:pPr>
        <w:pStyle w:val="TOC4"/>
        <w:tabs>
          <w:tab w:val="clear" w:pos="720"/>
          <w:tab w:val="left" w:pos="1120" w:leader="none"/>
          <w:tab w:val="right" w:pos="9911" w:leader="dot"/>
        </w:tabs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1.3.</w:t>
      </w:r>
      <w:r>
        <w:rPr>
          <w:rFonts w:eastAsia="" w:cs="Times New Roman" w:ascii="Times New Roman" w:hAnsi="Times New Roman" w:eastAsiaTheme="minorEastAsia"/>
          <w:sz w:val="24"/>
          <w:szCs w:val="24"/>
        </w:rPr>
        <w:tab/>
      </w:r>
      <w:r>
        <w:rPr>
          <w:rFonts w:cs="Times New Roman" w:ascii="Times New Roman" w:hAnsi="Times New Roman"/>
          <w:sz w:val="24"/>
          <w:szCs w:val="24"/>
        </w:rPr>
        <w:t xml:space="preserve">Существующее положение </w:t>
        <w:tab/>
      </w:r>
      <w:r>
        <w:rPr>
          <w:rFonts w:cs="Times New Roman" w:ascii="Times New Roman" w:hAnsi="Times New Roman"/>
          <w:vanish/>
          <w:sz w:val="24"/>
          <w:szCs w:val="24"/>
        </w:rPr>
        <w:t>4</w:t>
      </w:r>
    </w:p>
    <w:p>
      <w:pPr>
        <w:pStyle w:val="TOC1"/>
        <w:tabs>
          <w:tab w:val="clear" w:pos="720"/>
          <w:tab w:val="left" w:pos="560" w:leader="none"/>
          <w:tab w:val="right" w:pos="9911" w:leader="dot"/>
        </w:tabs>
        <w:rPr>
          <w:rFonts w:ascii="Times New Roman" w:hAnsi="Times New Roman"/>
        </w:rPr>
      </w:pPr>
      <w:r>
        <w:rPr>
          <w:rFonts w:cs="Times New Roman" w:ascii="Times New Roman" w:hAnsi="Times New Roman"/>
        </w:rPr>
        <w:t>2.</w:t>
      </w:r>
      <w:r>
        <w:rPr>
          <w:rFonts w:eastAsia="" w:cs="Times New Roman" w:ascii="Times New Roman" w:hAnsi="Times New Roman" w:eastAsiaTheme="minorEastAsia"/>
          <w:b w:val="false"/>
          <w:bCs w:val="false"/>
        </w:rPr>
        <w:tab/>
      </w:r>
      <w:r>
        <w:rPr>
          <w:rFonts w:cs="Times New Roman" w:ascii="Times New Roman" w:hAnsi="Times New Roman"/>
          <w:iCs/>
        </w:rPr>
        <w:t>Требования к продукции</w:t>
        <w:tab/>
      </w:r>
      <w:r>
        <w:rPr>
          <w:rFonts w:cs="Times New Roman" w:ascii="Times New Roman" w:hAnsi="Times New Roman"/>
          <w:vanish/>
        </w:rPr>
        <w:fldChar w:fldCharType="begin"/>
      </w:r>
      <w:r>
        <w:rPr>
          <w:vanish/>
          <w:rFonts w:cs="Times New Roman" w:ascii="Times New Roman" w:hAnsi="Times New Roman"/>
        </w:rPr>
        <w:instrText xml:space="preserve"> PAGEREF _Toc54646403 \h </w:instrText>
      </w:r>
      <w:r>
        <w:rPr>
          <w:vanish/>
          <w:rFonts w:cs="Times New Roman" w:ascii="Times New Roman" w:hAnsi="Times New Roman"/>
        </w:rPr>
        <w:fldChar w:fldCharType="separate"/>
      </w:r>
      <w:r>
        <w:rPr>
          <w:vanish/>
          <w:rFonts w:cs="Times New Roman" w:ascii="Times New Roman" w:hAnsi="Times New Roman"/>
        </w:rPr>
        <w:t>3</w:t>
      </w:r>
      <w:r>
        <w:rPr>
          <w:vanish/>
          <w:rFonts w:cs="Times New Roman" w:ascii="Times New Roman" w:hAnsi="Times New Roman"/>
        </w:rPr>
        <w:fldChar w:fldCharType="end"/>
      </w:r>
    </w:p>
    <w:p>
      <w:pPr>
        <w:pStyle w:val="TOC4"/>
        <w:tabs>
          <w:tab w:val="clear" w:pos="720"/>
          <w:tab w:val="left" w:pos="1120" w:leader="none"/>
          <w:tab w:val="right" w:pos="9911" w:leader="dot"/>
        </w:tabs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2.1.</w:t>
      </w:r>
      <w:r>
        <w:rPr>
          <w:rFonts w:eastAsia="" w:cs="Times New Roman" w:ascii="Times New Roman" w:hAnsi="Times New Roman" w:eastAsiaTheme="minorEastAsia"/>
          <w:sz w:val="24"/>
          <w:szCs w:val="24"/>
        </w:rPr>
        <w:tab/>
      </w:r>
      <w:r>
        <w:rPr>
          <w:rFonts w:cs="Times New Roman" w:ascii="Times New Roman" w:hAnsi="Times New Roman"/>
          <w:sz w:val="24"/>
          <w:szCs w:val="24"/>
        </w:rPr>
        <w:t>Требования к объемам и срокам выполнения работ</w:t>
        <w:tab/>
      </w:r>
      <w:r>
        <w:rPr>
          <w:rFonts w:cs="Times New Roman" w:ascii="Times New Roman" w:hAnsi="Times New Roman"/>
          <w:vanish/>
          <w:sz w:val="24"/>
          <w:szCs w:val="24"/>
        </w:rPr>
        <w:fldChar w:fldCharType="begin"/>
      </w:r>
      <w:r>
        <w:rPr>
          <w:sz w:val="24"/>
          <w:szCs w:val="24"/>
          <w:vanish/>
          <w:rFonts w:cs="Times New Roman" w:ascii="Times New Roman" w:hAnsi="Times New Roman"/>
        </w:rPr>
        <w:instrText xml:space="preserve"> PAGEREF _Toc54646404 \h </w:instrText>
      </w:r>
      <w:r>
        <w:rPr>
          <w:sz w:val="24"/>
          <w:szCs w:val="24"/>
          <w:vanish/>
          <w:rFonts w:cs="Times New Roman" w:ascii="Times New Roman" w:hAnsi="Times New Roman"/>
        </w:rPr>
        <w:fldChar w:fldCharType="separate"/>
      </w:r>
      <w:r>
        <w:rPr>
          <w:sz w:val="24"/>
          <w:szCs w:val="24"/>
          <w:vanish/>
          <w:rFonts w:cs="Times New Roman" w:ascii="Times New Roman" w:hAnsi="Times New Roman"/>
        </w:rPr>
        <w:t>3</w:t>
      </w:r>
      <w:r>
        <w:rPr>
          <w:sz w:val="24"/>
          <w:szCs w:val="24"/>
          <w:vanish/>
          <w:rFonts w:cs="Times New Roman" w:ascii="Times New Roman" w:hAnsi="Times New Roman"/>
        </w:rPr>
        <w:fldChar w:fldCharType="end"/>
      </w:r>
    </w:p>
    <w:p>
      <w:pPr>
        <w:pStyle w:val="TOC4"/>
        <w:tabs>
          <w:tab w:val="clear" w:pos="720"/>
          <w:tab w:val="left" w:pos="1120" w:leader="none"/>
          <w:tab w:val="right" w:pos="9911" w:leader="dot"/>
        </w:tabs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iCs/>
          <w:sz w:val="24"/>
          <w:szCs w:val="24"/>
        </w:rPr>
        <w:t>2.2.</w:t>
      </w:r>
      <w:r>
        <w:rPr>
          <w:rFonts w:eastAsia="" w:cs="Times New Roman" w:ascii="Times New Roman" w:hAnsi="Times New Roman" w:eastAsiaTheme="minorEastAsia"/>
          <w:sz w:val="24"/>
          <w:szCs w:val="24"/>
        </w:rPr>
        <w:tab/>
      </w:r>
      <w:r>
        <w:rPr>
          <w:rFonts w:cs="Times New Roman" w:ascii="Times New Roman" w:hAnsi="Times New Roman"/>
          <w:sz w:val="24"/>
          <w:szCs w:val="24"/>
        </w:rPr>
        <w:t>Требования к качеству работ</w:t>
        <w:tab/>
        <w:t>6</w:t>
      </w:r>
    </w:p>
    <w:p>
      <w:pPr>
        <w:pStyle w:val="TOC1"/>
        <w:tabs>
          <w:tab w:val="clear" w:pos="720"/>
          <w:tab w:val="left" w:pos="560" w:leader="none"/>
          <w:tab w:val="right" w:pos="9911" w:leader="dot"/>
        </w:tabs>
        <w:rPr>
          <w:rFonts w:ascii="Times New Roman" w:hAnsi="Times New Roman"/>
        </w:rPr>
      </w:pPr>
      <w:r>
        <w:rPr>
          <w:rFonts w:cs="Times New Roman" w:ascii="Times New Roman" w:hAnsi="Times New Roman"/>
        </w:rPr>
        <w:t>3.</w:t>
      </w:r>
      <w:r>
        <w:rPr>
          <w:rFonts w:eastAsia="" w:cs="Times New Roman" w:ascii="Times New Roman" w:hAnsi="Times New Roman" w:eastAsiaTheme="minorEastAsia"/>
          <w:b w:val="false"/>
          <w:bCs w:val="false"/>
        </w:rPr>
        <w:tab/>
      </w:r>
      <w:r>
        <w:rPr>
          <w:rFonts w:eastAsia="Calibri" w:ascii="Times New Roman" w:hAnsi="Times New Roman"/>
          <w:lang w:eastAsia="x-none"/>
        </w:rPr>
        <w:t>Требования к документации по ценообразованию на этапе закупки</w:t>
      </w:r>
    </w:p>
    <w:p>
      <w:pPr>
        <w:pStyle w:val="TOC1"/>
        <w:tabs>
          <w:tab w:val="clear" w:pos="720"/>
          <w:tab w:val="left" w:pos="560" w:leader="none"/>
          <w:tab w:val="right" w:pos="9911" w:leader="dot"/>
        </w:tabs>
        <w:rPr>
          <w:rFonts w:ascii="Times New Roman" w:hAnsi="Times New Roman"/>
        </w:rPr>
      </w:pPr>
      <w:r>
        <w:rPr>
          <w:rFonts w:cs="Times New Roman" w:ascii="Times New Roman" w:hAnsi="Times New Roman"/>
        </w:rPr>
        <w:t>4. Требования к документации по ценообразованию на этапе заключения (исполнения) договора</w:t>
        <w:tab/>
        <w:t>17</w:t>
      </w:r>
    </w:p>
    <w:p>
      <w:pPr>
        <w:pStyle w:val="TOC1"/>
        <w:tabs>
          <w:tab w:val="clear" w:pos="720"/>
          <w:tab w:val="left" w:pos="560" w:leader="none"/>
          <w:tab w:val="right" w:pos="9911" w:leader="dot"/>
        </w:tabs>
        <w:rPr>
          <w:rFonts w:ascii="Times New Roman" w:hAnsi="Times New Roman"/>
        </w:rPr>
      </w:pPr>
      <w:r>
        <w:rPr>
          <w:rFonts w:cs="Times New Roman" w:ascii="Times New Roman" w:hAnsi="Times New Roman"/>
        </w:rPr>
        <w:t>5.</w:t>
      </w:r>
      <w:r>
        <w:rPr>
          <w:rFonts w:eastAsia="" w:cs="Times New Roman" w:ascii="Times New Roman" w:hAnsi="Times New Roman" w:eastAsiaTheme="minorEastAsia"/>
          <w:b w:val="false"/>
          <w:bCs w:val="false"/>
        </w:rPr>
        <w:tab/>
      </w:r>
      <w:r>
        <w:rPr>
          <w:rFonts w:cs="Times New Roman" w:ascii="Times New Roman" w:hAnsi="Times New Roman"/>
          <w:iCs/>
        </w:rPr>
        <w:t>Приложения</w:t>
        <w:tab/>
      </w:r>
      <w:r>
        <w:rPr>
          <w:rFonts w:cs="Times New Roman" w:ascii="Times New Roman" w:hAnsi="Times New Roman"/>
          <w:iCs/>
          <w:lang w:val="en-US"/>
        </w:rPr>
        <w:t>17</w:t>
      </w:r>
    </w:p>
    <w:p>
      <w:pPr>
        <w:pStyle w:val="Normal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i/>
          <w:i/>
        </w:rPr>
      </w:pPr>
      <w:r>
        <w:rPr>
          <w:rFonts w:eastAsia="Calibri" w:ascii="Times New Roman" w:hAnsi="Times New Roman"/>
          <w:b/>
          <w:i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rFonts w:ascii="Times New Roman" w:hAnsi="Times New Roman"/>
          <w:sz w:val="24"/>
          <w:szCs w:val="24"/>
        </w:rPr>
      </w:pPr>
      <w:bookmarkStart w:id="0" w:name="_Toc51339692"/>
      <w:bookmarkStart w:id="1" w:name="_Toc54646395"/>
      <w:r>
        <w:rPr>
          <w:rFonts w:ascii="Times New Roman" w:hAnsi="Times New Roman"/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>
          <w:rFonts w:ascii="Times New Roman" w:hAnsi="Times New Roman"/>
        </w:rPr>
      </w:pPr>
      <w:bookmarkStart w:id="2" w:name="_Toc54646397"/>
      <w:bookmarkStart w:id="3" w:name="_Toc46743506"/>
      <w:r>
        <w:rPr>
          <w:rFonts w:ascii="Times New Roman" w:hAnsi="Times New Roman"/>
        </w:rPr>
        <w:t>Наименование закупаемой продукции</w:t>
      </w:r>
      <w:bookmarkEnd w:id="2"/>
      <w:bookmarkEnd w:id="3"/>
    </w:p>
    <w:p>
      <w:pPr>
        <w:pStyle w:val="Normal"/>
        <w:tabs>
          <w:tab w:val="clear" w:pos="720"/>
          <w:tab w:val="left" w:pos="426" w:leader="none"/>
        </w:tabs>
        <w:spacing w:before="120" w:after="120"/>
        <w:jc w:val="both"/>
        <w:rPr>
          <w:rFonts w:ascii="Times New Roman" w:hAnsi="Times New Roman"/>
        </w:rPr>
      </w:pPr>
      <w:r>
        <w:rPr>
          <w:rFonts w:eastAsia="Calibri" w:ascii="Times New Roman" w:hAnsi="Times New Roman"/>
          <w:i/>
          <w:lang w:eastAsia="x-none"/>
        </w:rPr>
        <w:t>«ОКПД2 33.19.10.000. Текущий ремонт сегментов подпятника генератора синхронного к гидравлической турбине вертикальной ГЭС-2, Свистухинской ГЭС, Егорлыкской ГЭС филиала ПАО “РусГидро”- “Каскад Кубанских ГЭС”»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>
          <w:rFonts w:ascii="Times New Roman" w:hAnsi="Times New Roman"/>
        </w:rPr>
      </w:pPr>
      <w:bookmarkStart w:id="4" w:name="_Toc54646398"/>
      <w:bookmarkStart w:id="5" w:name="_Toc46743507"/>
      <w:r>
        <w:rPr>
          <w:rFonts w:ascii="Times New Roman" w:hAnsi="Times New Roman"/>
        </w:rPr>
        <w:t xml:space="preserve">Цель </w:t>
      </w:r>
      <w:bookmarkEnd w:id="5"/>
      <w:r>
        <w:rPr>
          <w:rFonts w:ascii="Times New Roman" w:hAnsi="Times New Roman"/>
          <w:lang w:val="ru-RU"/>
        </w:rPr>
        <w:t>выполнения работ</w:t>
      </w:r>
      <w:bookmarkEnd w:id="4"/>
    </w:p>
    <w:p>
      <w:pPr>
        <w:pStyle w:val="Normal"/>
        <w:tabs>
          <w:tab w:val="clear" w:pos="720"/>
          <w:tab w:val="left" w:pos="426" w:leader="none"/>
        </w:tabs>
        <w:spacing w:before="120" w:after="120"/>
        <w:jc w:val="both"/>
        <w:rPr>
          <w:rFonts w:ascii="Times New Roman" w:hAnsi="Times New Roman"/>
        </w:rPr>
      </w:pPr>
      <w:r>
        <w:rPr>
          <w:rFonts w:eastAsia="Calibri" w:ascii="Times New Roman" w:hAnsi="Times New Roman"/>
          <w:i/>
          <w:spacing w:val="-2"/>
          <w:lang w:eastAsia="x-none"/>
        </w:rPr>
        <w:t>Восстановление эластичного металлопластикового покрытия сегментов подпятника генераторов ГА-3 ГЭС-2, ГА-4 Свистухинской ГЭС, ГА-2 Егорлыкской ГЭС.</w:t>
      </w:r>
    </w:p>
    <w:p>
      <w:pPr>
        <w:pStyle w:val="Normal"/>
        <w:numPr>
          <w:ilvl w:val="1"/>
          <w:numId w:val="3"/>
        </w:numPr>
        <w:rPr>
          <w:rFonts w:ascii="Times New Roman" w:hAnsi="Times New Roman"/>
        </w:rPr>
      </w:pPr>
      <w:bookmarkStart w:id="6" w:name="_Toc54646399"/>
      <w:bookmarkStart w:id="7" w:name="_Toc46743508"/>
      <w:r>
        <w:rPr>
          <w:rFonts w:eastAsia="Calibri" w:ascii="Times New Roman" w:hAnsi="Times New Roman"/>
          <w:lang w:val="x-none" w:eastAsia="x-none"/>
        </w:rPr>
        <w:t>Существующее положение</w:t>
      </w:r>
      <w:bookmarkEnd w:id="6"/>
      <w:bookmarkEnd w:id="7"/>
    </w:p>
    <w:p>
      <w:pPr>
        <w:pStyle w:val="Normal"/>
        <w:ind w:firstLine="567"/>
        <w:jc w:val="both"/>
        <w:rPr>
          <w:rFonts w:ascii="Times New Roman" w:hAnsi="Times New Roman" w:eastAsia="Calibri"/>
          <w:i/>
          <w:i/>
          <w:spacing w:val="-2"/>
          <w:lang w:eastAsia="x-none"/>
        </w:rPr>
      </w:pPr>
      <w:r>
        <w:rPr>
          <w:rFonts w:eastAsia="Calibri" w:ascii="Times New Roman" w:hAnsi="Times New Roman"/>
          <w:i/>
          <w:spacing w:val="-2"/>
          <w:lang w:eastAsia="x-none"/>
        </w:rPr>
        <w:t>Сегменты подпятника имеют длительный срок изготовления. В на период со второй половины 2027 по 2028 году начало капитальных ремонтов агрегатов запланировано на:</w:t>
      </w:r>
    </w:p>
    <w:p>
      <w:pPr>
        <w:pStyle w:val="Normal"/>
        <w:ind w:firstLine="567"/>
        <w:jc w:val="both"/>
        <w:rPr>
          <w:rFonts w:ascii="Times New Roman" w:hAnsi="Times New Roman" w:eastAsia="Calibri"/>
          <w:i/>
          <w:i/>
          <w:spacing w:val="-2"/>
          <w:lang w:eastAsia="x-none"/>
        </w:rPr>
      </w:pPr>
      <w:r>
        <w:rPr>
          <w:rFonts w:eastAsia="Calibri" w:ascii="Times New Roman" w:hAnsi="Times New Roman"/>
          <w:i/>
          <w:spacing w:val="-2"/>
          <w:lang w:eastAsia="x-none"/>
        </w:rPr>
        <w:t>27.10.2027- 10.01.2028 — ГА-3 ГЭС-2;</w:t>
      </w:r>
    </w:p>
    <w:p>
      <w:pPr>
        <w:pStyle w:val="Normal"/>
        <w:ind w:firstLine="567"/>
        <w:jc w:val="both"/>
        <w:rPr>
          <w:rFonts w:ascii="Times New Roman" w:hAnsi="Times New Roman" w:eastAsia="Calibri"/>
          <w:i/>
          <w:i/>
          <w:spacing w:val="-2"/>
          <w:lang w:eastAsia="x-none"/>
        </w:rPr>
      </w:pPr>
      <w:r>
        <w:rPr>
          <w:rFonts w:eastAsia="Calibri" w:ascii="Times New Roman" w:hAnsi="Times New Roman"/>
          <w:i/>
          <w:spacing w:val="-2"/>
          <w:lang w:eastAsia="x-none"/>
        </w:rPr>
        <w:t>12.01.2028- 29.02.2028 – ГА-4 Свистухинской ГЭС;</w:t>
      </w:r>
    </w:p>
    <w:p>
      <w:pPr>
        <w:pStyle w:val="Normal"/>
        <w:ind w:firstLine="567"/>
        <w:jc w:val="both"/>
        <w:rPr>
          <w:rFonts w:ascii="Times New Roman" w:hAnsi="Times New Roman"/>
        </w:rPr>
      </w:pPr>
      <w:r>
        <w:rPr>
          <w:rFonts w:eastAsia="Calibri" w:ascii="Times New Roman" w:hAnsi="Times New Roman"/>
          <w:i/>
          <w:spacing w:val="-2"/>
          <w:lang w:eastAsia="x-none"/>
        </w:rPr>
        <w:t>01.11.2028- 31.12.2028 — ГА-2 Егорлы</w:t>
      </w:r>
      <w:r>
        <w:rPr>
          <w:rFonts w:eastAsia="Calibri" w:ascii="Times New Roman" w:hAnsi="Times New Roman"/>
          <w:i/>
          <w:spacing w:val="-2"/>
          <w:lang w:val="en-US" w:eastAsia="x-none"/>
        </w:rPr>
        <w:t>к</w:t>
      </w:r>
      <w:r>
        <w:rPr>
          <w:rFonts w:eastAsia="Calibri" w:ascii="Times New Roman" w:hAnsi="Times New Roman"/>
          <w:i/>
          <w:spacing w:val="-2"/>
          <w:lang w:eastAsia="x-none"/>
        </w:rPr>
        <w:t>ской ГЭС</w:t>
      </w:r>
      <w:r>
        <w:rPr>
          <w:rFonts w:eastAsia="Calibri" w:ascii="Times New Roman" w:hAnsi="Times New Roman"/>
          <w:i/>
          <w:spacing w:val="-2"/>
          <w:lang w:val="en-US" w:eastAsia="x-none"/>
        </w:rPr>
        <w:t>.</w:t>
      </w:r>
    </w:p>
    <w:p>
      <w:pPr>
        <w:pStyle w:val="Normal"/>
        <w:ind w:firstLine="567"/>
        <w:jc w:val="both"/>
        <w:rPr>
          <w:rFonts w:ascii="Times New Roman" w:hAnsi="Times New Roman"/>
        </w:rPr>
      </w:pPr>
      <w:bookmarkStart w:id="8" w:name="_Toc54646400"/>
      <w:r>
        <w:rPr>
          <w:rFonts w:ascii="Times New Roman" w:hAnsi="Times New Roman"/>
        </w:rPr>
        <w:t>Таблица 1. Перечень объектов заказчика</w:t>
      </w:r>
      <w:bookmarkEnd w:id="8"/>
    </w:p>
    <w:tbl>
      <w:tblPr>
        <w:tblW w:w="10452" w:type="dxa"/>
        <w:jc w:val="left"/>
        <w:tblInd w:w="33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VBand="0" w:noHBand="0" w:lastColumn="0" w:firstColumn="0" w:lastRow="0" w:firstRow="0"/>
      </w:tblPr>
      <w:tblGrid>
        <w:gridCol w:w="450"/>
        <w:gridCol w:w="2914"/>
        <w:gridCol w:w="3260"/>
        <w:gridCol w:w="2405"/>
        <w:gridCol w:w="1423"/>
      </w:tblGrid>
      <w:tr>
        <w:trPr/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объекта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Расположение объекта </w:t>
            </w:r>
            <w:r>
              <w:rPr>
                <w:rFonts w:ascii="Times New Roman" w:hAnsi="Times New Roman"/>
                <w:i/>
                <w:iCs/>
              </w:rPr>
              <w:t>(место производства работ)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основного средства (в отношении которого выполняются работы)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Примечания</w:t>
            </w:r>
          </w:p>
        </w:tc>
      </w:tr>
      <w:tr>
        <w:trPr/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</w:tr>
      <w:tr>
        <w:trPr>
          <w:trHeight w:val="881" w:hRule="atLeast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0" w:after="20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Генератор синхронный к гидравлической турбине вертикальной Г-3 ГЭС-2 ВГС-525/150-20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Карачаево-Черкесская Республика, Прикубанский район, п. Ударный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Генератор Г-4, инв. КК00051/3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ГЭС-2</w:t>
            </w:r>
          </w:p>
        </w:tc>
      </w:tr>
      <w:tr>
        <w:trPr>
          <w:trHeight w:val="881" w:hRule="atLeast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0" w:after="20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Генератор синхронный к гидравлической турбине вертикальной  Г-4 Св. ГЭС СВ260/49-16УХЛ4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Ставропольский край, Кочубеевский район, 7125 м по направлению на юго-восток от центральной части ст. Барсуковская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Генератор Г-4, инв. КК00194/3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6"/>
              </w:rPr>
              <w:t>Свистухинская</w:t>
            </w:r>
            <w:r>
              <w:rPr>
                <w:rFonts w:ascii="Times New Roman" w:hAnsi="Times New Roman"/>
              </w:rPr>
              <w:t xml:space="preserve"> ГЭС</w:t>
            </w:r>
          </w:p>
        </w:tc>
      </w:tr>
      <w:tr>
        <w:trPr>
          <w:trHeight w:val="881" w:hRule="atLeast"/>
        </w:trPr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0" w:after="20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291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Генератор синхронный к гидравлической турбине вертикальной Г-2 ЕГЭС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Ставропольский край, Шпаковский район, село Сенгилеевское, улица Энергетиков, 2</w:t>
            </w:r>
          </w:p>
        </w:tc>
        <w:tc>
          <w:tcPr>
            <w:tcW w:w="2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Генератор Г-2, инв. КК00258/3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Егорлыкская ГЭС</w:t>
            </w:r>
          </w:p>
        </w:tc>
      </w:tr>
    </w:tbl>
    <w:p>
      <w:pPr>
        <w:pStyle w:val="Heading4"/>
        <w:numPr>
          <w:ilvl w:val="0"/>
        </w:numPr>
        <w:ind w:left="1287" w:hanging="0"/>
        <w:jc w:val="both"/>
        <w:rPr>
          <w:rFonts w:ascii="Times New Roman" w:hAnsi="Times New Roman"/>
        </w:rPr>
      </w:pPr>
      <w:bookmarkStart w:id="9" w:name="_Toc51339693"/>
      <w:bookmarkStart w:id="10" w:name="_Toc54646403"/>
      <w:r>
        <w:rPr>
          <w:rFonts w:ascii="Times New Roman" w:hAnsi="Times New Roman"/>
          <w:iCs/>
        </w:rPr>
        <w:t>Требования к продукции</w:t>
      </w:r>
      <w:bookmarkEnd w:id="9"/>
      <w:bookmarkEnd w:id="10"/>
    </w:p>
    <w:p>
      <w:pPr>
        <w:pStyle w:val="Heading4"/>
        <w:numPr>
          <w:ilvl w:val="1"/>
          <w:numId w:val="3"/>
        </w:numPr>
        <w:rPr>
          <w:rFonts w:ascii="Times New Roman" w:hAnsi="Times New Roman"/>
        </w:rPr>
      </w:pPr>
      <w:bookmarkStart w:id="11" w:name="_Toc54646404"/>
      <w:r>
        <w:rPr>
          <w:rFonts w:ascii="Times New Roman" w:hAnsi="Times New Roman"/>
        </w:rPr>
        <w:t xml:space="preserve">Требования к объемам и срокам </w:t>
      </w:r>
      <w:r>
        <w:rPr>
          <w:rFonts w:ascii="Times New Roman" w:hAnsi="Times New Roman"/>
          <w:lang w:val="ru-RU"/>
        </w:rPr>
        <w:t>выполнения работ</w:t>
      </w:r>
      <w:bookmarkEnd w:id="11"/>
    </w:p>
    <w:p>
      <w:pPr>
        <w:pStyle w:val="Heading3"/>
        <w:numPr>
          <w:ilvl w:val="2"/>
          <w:numId w:val="3"/>
        </w:numPr>
        <w:rPr>
          <w:rFonts w:ascii="Times New Roman" w:hAnsi="Times New Roman"/>
        </w:rPr>
      </w:pPr>
      <w:bookmarkStart w:id="12" w:name="_Toc54646405"/>
      <w:r>
        <w:rPr>
          <w:rFonts w:ascii="Times New Roman" w:hAnsi="Times New Roman"/>
          <w:lang w:val="ru-RU"/>
        </w:rPr>
        <w:t>Требования к видам и объемам работ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Fonts w:ascii="Times New Roman" w:hAnsi="Times New Roman"/>
          <w:sz w:val="24"/>
          <w:szCs w:val="24"/>
        </w:rPr>
      </w:pPr>
      <w:bookmarkStart w:id="13" w:name="_Toc54646406"/>
      <w:bookmarkStart w:id="14" w:name="_Toc51339695"/>
      <w:r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  <w:lang w:val="ru-RU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Перечень </w:t>
      </w:r>
      <w:bookmarkEnd w:id="14"/>
      <w:r>
        <w:rPr>
          <w:rFonts w:ascii="Times New Roman" w:hAnsi="Times New Roman"/>
          <w:sz w:val="24"/>
          <w:szCs w:val="24"/>
          <w:lang w:val="ru-RU"/>
        </w:rPr>
        <w:t>и объем выполняемых работ</w:t>
      </w:r>
      <w:bookmarkEnd w:id="13"/>
    </w:p>
    <w:p>
      <w:pPr>
        <w:pStyle w:val="Normal"/>
        <w:tabs>
          <w:tab w:val="clear" w:pos="720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/>
          <w:i/>
          <w:shd w:fill="FFFF99" w:val="clear"/>
        </w:rPr>
      </w:pPr>
      <w:r>
        <w:rPr>
          <w:rFonts w:ascii="Times New Roman" w:hAnsi="Times New Roman"/>
          <w:bCs/>
          <w:i/>
          <w:shd w:fill="FFFF99" w:val="clear"/>
        </w:rPr>
      </w:r>
    </w:p>
    <w:tbl>
      <w:tblPr>
        <w:tblW w:w="10264" w:type="dxa"/>
        <w:jc w:val="left"/>
        <w:tblInd w:w="221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000" w:noVBand="0" w:noHBand="0" w:lastColumn="0" w:firstColumn="0" w:lastRow="0" w:firstRow="0"/>
      </w:tblPr>
      <w:tblGrid>
        <w:gridCol w:w="843"/>
        <w:gridCol w:w="5310"/>
        <w:gridCol w:w="1985"/>
        <w:gridCol w:w="2125"/>
      </w:tblGrid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keepNext w:val="true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работ / этапа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</w:tc>
      </w:tr>
      <w:tr>
        <w:trPr/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>
        <w:trPr>
          <w:trHeight w:val="272" w:hRule="atLeast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312" w:leader="none"/>
              </w:tabs>
              <w:spacing w:before="0" w:after="0"/>
              <w:ind w:left="0" w:hanging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i/>
                <w:iCs/>
                <w:lang w:eastAsia="x-none"/>
              </w:rPr>
              <w:t>Ремонт ЭМП покрытия комплекта сегментов гидроагрегата №3 ГЭС-2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шт.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8</w:t>
            </w:r>
          </w:p>
        </w:tc>
      </w:tr>
      <w:tr>
        <w:trPr>
          <w:trHeight w:val="272" w:hRule="atLeast"/>
        </w:trPr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312" w:leader="none"/>
              </w:tabs>
              <w:spacing w:before="0" w:after="0"/>
              <w:ind w:left="0" w:hanging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i/>
                <w:iCs/>
                <w:lang w:eastAsia="x-none"/>
              </w:rPr>
              <w:t>Ремонт ЭМП покрытия комплекта сегментов гидроагрегата №4 Свистухинской ГЭС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шт.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8</w:t>
            </w:r>
          </w:p>
        </w:tc>
      </w:tr>
      <w:tr>
        <w:trPr>
          <w:trHeight w:val="272" w:hRule="atLeast"/>
        </w:trPr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tabs>
                <w:tab w:val="clear" w:pos="720"/>
                <w:tab w:val="left" w:pos="312" w:leader="none"/>
              </w:tabs>
              <w:spacing w:before="0" w:after="0"/>
              <w:ind w:left="0" w:hanging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53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i/>
                <w:iCs/>
                <w:lang w:eastAsia="x-none"/>
              </w:rPr>
              <w:t>Ремонт ЭМП покрытия комплекта сегментов гидроагрегата №2 Егорлыкской ГЭС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шт.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12" w:leader="none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lang w:val="en-US"/>
              </w:rPr>
              <w:t>8</w:t>
            </w:r>
          </w:p>
        </w:tc>
      </w:tr>
    </w:tbl>
    <w:p>
      <w:pPr>
        <w:pStyle w:val="Normal"/>
        <w:tabs>
          <w:tab w:val="clear" w:pos="720"/>
          <w:tab w:val="left" w:pos="426" w:leader="none"/>
        </w:tabs>
        <w:spacing w:before="120" w:after="120"/>
        <w:ind w:firstLine="142"/>
        <w:rPr>
          <w:rFonts w:ascii="Times New Roman" w:hAnsi="Times New Roman"/>
          <w:bCs/>
          <w:i/>
          <w:i/>
          <w:shd w:fill="FFFF99" w:val="clear"/>
        </w:rPr>
      </w:pPr>
      <w:r>
        <w:rPr>
          <w:rFonts w:ascii="Times New Roman" w:hAnsi="Times New Roman"/>
          <w:bCs/>
          <w:i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rFonts w:ascii="Times New Roman" w:hAnsi="Times New Roman"/>
        </w:rPr>
      </w:pPr>
      <w:bookmarkStart w:id="15" w:name="_Toc54646407"/>
      <w:bookmarkStart w:id="16" w:name="_Toc51339696"/>
      <w:r>
        <w:rPr>
          <w:rFonts w:ascii="Times New Roman" w:hAnsi="Times New Roman"/>
          <w:lang w:val="ru-RU"/>
        </w:rPr>
        <w:t xml:space="preserve">Требования </w:t>
      </w:r>
      <w:bookmarkEnd w:id="16"/>
      <w:r>
        <w:rPr>
          <w:rFonts w:ascii="Times New Roman" w:hAnsi="Times New Roman"/>
          <w:lang w:val="ru-RU"/>
        </w:rPr>
        <w:t>к срокам выполнения работ</w:t>
      </w:r>
      <w:bookmarkEnd w:id="15"/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Fonts w:ascii="Times New Roman" w:hAnsi="Times New Roman"/>
          <w:sz w:val="24"/>
          <w:szCs w:val="24"/>
        </w:rPr>
      </w:pPr>
      <w:bookmarkStart w:id="17" w:name="_Toc54646408"/>
      <w:bookmarkStart w:id="18" w:name="_Toc50125127"/>
      <w:bookmarkStart w:id="19" w:name="_Toc51339697"/>
      <w:bookmarkStart w:id="20" w:name="_Toc50125126"/>
      <w:bookmarkEnd w:id="20"/>
      <w:r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  <w:lang w:val="ru-RU"/>
        </w:rPr>
        <w:t>3</w:t>
      </w:r>
      <w:r>
        <w:rPr>
          <w:rFonts w:ascii="Times New Roman" w:hAnsi="Times New Roman"/>
          <w:sz w:val="24"/>
          <w:szCs w:val="24"/>
        </w:rPr>
        <w:t xml:space="preserve">. </w:t>
      </w:r>
      <w:bookmarkStart w:id="21" w:name="_Hlk50465284"/>
      <w:r>
        <w:rPr>
          <w:rFonts w:ascii="Times New Roman" w:hAnsi="Times New Roman"/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>
        <w:rPr>
          <w:rFonts w:ascii="Times New Roman" w:hAnsi="Times New Roman"/>
          <w:sz w:val="24"/>
          <w:szCs w:val="24"/>
          <w:lang w:val="ru-RU"/>
        </w:rPr>
        <w:t>выполнения работ</w:t>
      </w:r>
      <w:bookmarkEnd w:id="17"/>
    </w:p>
    <w:tbl>
      <w:tblPr>
        <w:tblW w:w="10515" w:type="dxa"/>
        <w:jc w:val="left"/>
        <w:tblInd w:w="33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noVBand="1" w:noHBand="0" w:lastColumn="0" w:firstColumn="1" w:lastRow="0" w:firstRow="1"/>
      </w:tblPr>
      <w:tblGrid>
        <w:gridCol w:w="704"/>
        <w:gridCol w:w="3572"/>
        <w:gridCol w:w="3073"/>
        <w:gridCol w:w="3165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работ/ этапа работ</w:t>
            </w:r>
          </w:p>
        </w:tc>
        <w:tc>
          <w:tcPr>
            <w:tcW w:w="3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началу срока выполнения работ/ этапа работ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35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4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3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keepNext w:val="false"/>
              <w:widowControl w:val="false"/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0" w:after="20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35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i/>
                <w:iCs/>
                <w:lang w:eastAsia="x-none"/>
              </w:rPr>
              <w:t>Ремонт ЭМП покрытия комплекта сегментов гидроагрегата №3 ГЭС-2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даты, следующей за датой заключения договора</w:t>
            </w:r>
          </w:p>
        </w:tc>
        <w:tc>
          <w:tcPr>
            <w:tcW w:w="3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27.10.2027</w:t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0" w:after="20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35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i/>
                <w:iCs/>
                <w:lang w:eastAsia="x-none"/>
              </w:rPr>
              <w:t>Ремонт ЭМП покрытия комплекта сегментов гидроагрегата №4 Свистухинской ГЭС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даты, следующей за датой заключения договора</w:t>
            </w:r>
          </w:p>
        </w:tc>
        <w:tc>
          <w:tcPr>
            <w:tcW w:w="3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 </w:t>
            </w:r>
            <w:r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7</w:t>
            </w:r>
          </w:p>
        </w:tc>
      </w:tr>
      <w:tr>
        <w:trPr/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0" w:after="20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</w:p>
        </w:tc>
        <w:tc>
          <w:tcPr>
            <w:tcW w:w="357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bCs/>
                <w:i/>
                <w:iCs/>
                <w:lang w:eastAsia="x-none"/>
              </w:rPr>
              <w:t>Ремонт ЭМП покрытия комплекта сегментов гидроагрегата №2 Егорлыкской ГЭС</w:t>
            </w:r>
          </w:p>
        </w:tc>
        <w:tc>
          <w:tcPr>
            <w:tcW w:w="307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даты, следующей за датой заключения договора</w:t>
            </w:r>
          </w:p>
        </w:tc>
        <w:tc>
          <w:tcPr>
            <w:tcW w:w="31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 </w:t>
            </w:r>
            <w:r>
              <w:rPr>
                <w:rFonts w:ascii="Times New Roman" w:hAnsi="Times New Roman"/>
              </w:rPr>
              <w:t>30</w:t>
            </w:r>
            <w:r>
              <w:rPr>
                <w:rFonts w:ascii="Times New Roman" w:hAnsi="Times New Roman"/>
              </w:rPr>
              <w:t>.11.202</w:t>
            </w:r>
            <w:r>
              <w:rPr>
                <w:rFonts w:ascii="Times New Roman" w:hAnsi="Times New Roman"/>
              </w:rPr>
              <w:t>7</w:t>
            </w:r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231" w:gutter="0" w:header="273" w:top="727" w:footer="0" w:bottom="24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rFonts w:ascii="Times New Roman" w:hAnsi="Times New Roman"/>
        </w:rPr>
      </w:pPr>
      <w:bookmarkStart w:id="22" w:name="_Toc54646410"/>
      <w:bookmarkStart w:id="23" w:name="_Toc51339698"/>
      <w:r>
        <w:rPr>
          <w:rFonts w:ascii="Times New Roman" w:hAnsi="Times New Roman"/>
        </w:rPr>
        <w:t xml:space="preserve">Требования к </w:t>
      </w:r>
      <w:r>
        <w:rPr>
          <w:rFonts w:ascii="Times New Roman" w:hAnsi="Times New Roman"/>
          <w:lang w:val="ru-RU"/>
        </w:rPr>
        <w:t>качеству работ</w:t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 </w:t>
      </w:r>
      <w:r>
        <w:rPr>
          <w:rFonts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. Требования к </w:t>
      </w:r>
      <w:bookmarkEnd w:id="23"/>
      <w:r>
        <w:rPr>
          <w:rFonts w:ascii="Times New Roman" w:hAnsi="Times New Roman"/>
          <w:sz w:val="24"/>
          <w:szCs w:val="24"/>
          <w:lang w:val="ru-RU"/>
        </w:rPr>
        <w:t>качеству работ</w:t>
      </w:r>
      <w:bookmarkEnd w:id="22"/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 работ/этапа работ (позиция №1 Таблицы 2): «ОКПД2 33.19.10.000. Текущий ремонт сегментов подпятника генератора синхронного к гидравлической турбине вертикальной ГЭС-2, Свистухинской ГЭС, Егорлыкской ГЭС филиала ПАО “РусГидро”- “Каскад Кубанских ГЭС”»</w:t>
      </w:r>
    </w:p>
    <w:tbl>
      <w:tblPr>
        <w:tblW w:w="15164" w:type="dxa"/>
        <w:jc w:val="center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noVBand="1" w:noHBand="0" w:lastColumn="0" w:firstColumn="1" w:lastRow="0" w:firstRow="1"/>
      </w:tblPr>
      <w:tblGrid>
        <w:gridCol w:w="988"/>
        <w:gridCol w:w="2666"/>
        <w:gridCol w:w="5412"/>
        <w:gridCol w:w="1700"/>
        <w:gridCol w:w="2077"/>
        <w:gridCol w:w="2320"/>
      </w:tblGrid>
      <w:tr>
        <w:trPr/>
        <w:tc>
          <w:tcPr>
            <w:tcW w:w="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  <w:t>п/п</w:t>
            </w:r>
          </w:p>
        </w:tc>
        <w:tc>
          <w:tcPr>
            <w:tcW w:w="2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  <w:t>Наименование</w:t>
              <w:br/>
              <w:t xml:space="preserve"> параметра</w:t>
            </w:r>
          </w:p>
        </w:tc>
        <w:tc>
          <w:tcPr>
            <w:tcW w:w="5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  <w:t>Требование заказчика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  <w:t>Предложение участника по характеристикам и</w:t>
              <w:br/>
              <w:t>параметрам</w:t>
            </w:r>
          </w:p>
        </w:tc>
      </w:tr>
      <w:tr>
        <w:trPr/>
        <w:tc>
          <w:tcPr>
            <w:tcW w:w="9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</w:r>
          </w:p>
        </w:tc>
        <w:tc>
          <w:tcPr>
            <w:tcW w:w="2666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</w:r>
          </w:p>
        </w:tc>
        <w:tc>
          <w:tcPr>
            <w:tcW w:w="5412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3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bCs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bookmarkStart w:id="24" w:name="_Toc53499667"/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1</w:t>
            </w:r>
            <w:bookmarkEnd w:id="24"/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2</w:t>
            </w:r>
          </w:p>
        </w:tc>
        <w:tc>
          <w:tcPr>
            <w:tcW w:w="54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3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4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5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6</w:t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1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  <w:t>Требования к выполнению работ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b/>
                <w:bCs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b/>
                <w:bCs/>
                <w:lang w:eastAsia="ru-RU" w:bidi="ar-SA"/>
              </w:rPr>
              <w:t>1.1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  <w:t>Общие требования к выполнению работ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1.1.1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Транспортировка, упаковка, погрузка, разгрузка и доставка заготовок для выполнения работ по нанесению ЭМП-покрытия, осуществляется Исполнителем самостоятельно и за свой счет.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1.1.2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Исполнитель при нанесении ЭМП-покрытия должен руководствоваться предоставленными Заказчиком чертежами. В случае разработки новых или необходимости доработки существующих чертежей необходимо в обязательном порядке согласовать их с Заказчиком до начала нанесения покрытия.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1.1.3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Доставка сегментов после ремонта с нанесенным ЭМП-покрытием должна быть осуществлена единовременно, в объёме, указанном в приложении №1 к ТТ, на склад Заказчика по адресу: Ставропольский край, г. Невинномысск, ул. Водопроводная 349а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1.1.4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Комплекты сегментов должны быть в индивидуальной упаковке с указанием, наименования, срока хранения и даты ремонта.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Упаковка должна быть произведена по ГОСТ 23170-78 и обеспечивать безопасную транспортировку и длительное хранение запасных частей. Применённые для консервации средства и препараты должны легко удаляться без применения специальных методик и химических веществ.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2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both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  <w:t>Требования к способам выполнения работ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2.1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lang w:eastAsia="ru-RU" w:bidi="ar-SA"/>
              </w:rPr>
              <w:t xml:space="preserve">Нанесение ЭМП-покрытия на сегменты </w:t>
            </w: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ГЭС-2</w:t>
            </w:r>
          </w:p>
        </w:tc>
        <w:tc>
          <w:tcPr>
            <w:tcW w:w="54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ЭМП-покрытие на сегментах подпятника ГА-4 ГЭС-2 в количестве 8 шт. должно быть нанесено в соответствии с требованиями чертежа 5.192.352-02СБ (Приложение № 2), разработанного АО ЧЗ «Энергозапчасть» г. Чебоксары, а также в соответствии с рекомендациями Самарского государственного аэрокосмического университета им. академика С.П. Королёва.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2.2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lang w:eastAsia="ru-RU" w:bidi="ar-SA"/>
              </w:rPr>
              <w:t xml:space="preserve">Нанесение ЭМП-покрытия на сегменты </w:t>
            </w:r>
            <w:r>
              <w:rPr>
                <w:rFonts w:eastAsia="Times New Roman" w:cs="Times New Roman" w:ascii="Times New Roman" w:hAnsi="Times New Roman"/>
                <w:lang w:eastAsia="ru-RU" w:bidi="ar-SA"/>
              </w:rPr>
              <w:t>Егорлыкской ГЭС</w:t>
            </w:r>
          </w:p>
        </w:tc>
        <w:tc>
          <w:tcPr>
            <w:tcW w:w="54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ЭМП-покрытие на сегментах подпятника для гидрогенератора ГА-2 Егорлыкской ГЭС в количестве 8 шт. должно быть нанесено в соответствии с требованиями ТУ 34-38-10515-83, профиль поверхности трения выполнить по методике завода АО ЧЗ «Энергозапчасть» Нанесение ЭМП- г. Чебоксары, общие линейные размеры сегмента указаны покрытия на сегменты в чертеже 5Б-5757 (Приложение № 3).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2.3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iCs/>
                <w:lang w:eastAsia="ru-RU" w:bidi="ar-SA"/>
              </w:rPr>
              <w:t>Нанесение ЭМП-покрытия на сегменты Свистухинской</w:t>
            </w:r>
            <w:r>
              <w:rPr>
                <w:rFonts w:eastAsia="Times New Roman" w:cs="Times New Roman" w:ascii="Times New Roman" w:hAnsi="Times New Roman"/>
                <w:lang w:eastAsia="ru-RU" w:bidi="ar-SA"/>
              </w:rPr>
              <w:t xml:space="preserve"> ГЭС</w:t>
            </w:r>
          </w:p>
        </w:tc>
        <w:tc>
          <w:tcPr>
            <w:tcW w:w="54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ЭМП-покрытие на сегментах подпятника для гидрогенератора ГА-4 Свистухинской ГЭС в количестве 8 шт. должно быть нанесено в соответствии с требованиями чертежа 5ФА.192.066.СБ (Приложение № 4 к ТТ)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2.4</w:t>
            </w:r>
          </w:p>
        </w:tc>
        <w:tc>
          <w:tcPr>
            <w:tcW w:w="266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  <w:tc>
          <w:tcPr>
            <w:tcW w:w="5412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До начала нанесения покрытия на сегменты Исполнителю необходимо согласовать разработанные чертежи с Заказчиком.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На всех сегментах должны быть нанесены контрольные (мерные) оттиски на поверхности трения.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3</w:t>
            </w:r>
          </w:p>
        </w:tc>
        <w:tc>
          <w:tcPr>
            <w:tcW w:w="11855" w:type="dxa"/>
            <w:gridSpan w:val="4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  <w:t>Требования к применяемым при выполнении работ оборудованию и материалам</w:t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3.1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Качество нанесения ЭМП покрытия на сегменты должны соответствовать ТУ 34-38-10515-83 «Сегменты эластичные металлопластмассовые подпятников для гидрогенераторов закрытые серии СЭМП-1-6,5» и подтверждаться сертификатом соответствия.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4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  <w:t>Требования к результатам работ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4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  <w:t>Общие требования к результатам работ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4.1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 каждым комплектом сегментов должны быть поставлены: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Паспорт изделия с указанием заводских номеров каждого сегмента.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Карта контроля качества.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Сертификат качества материала.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Заключение лаборатории неразрушающего контроля продукции.</w:t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Акт приёмки продукции ОТК завода-изготовителя.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5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  <w:t>Требования к приемке результата выполнения работ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5.1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Комплекты сегментов после выполнения работ по ремонту ЭМП-покрытия передаются Заказчику по Акту сдачи-приёмки сегментов подпятника после выполнения работ.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6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6.1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Гарантия качества на ЭМП-покрытие сегментов устанавливается в соответствии с гарантийными сроками предприятия изготовителя, но не менее 36 (тридцати шести) месяцев с момента подписания Сторонами Акта сдачи-приемки выполненных работ.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rPr>
                <w:rFonts w:ascii="Times New Roman" w:hAnsi="Times New Roman" w:eastAsia="Times New Roman" w:cs="Times New Roman"/>
                <w:b/>
                <w:bCs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lang w:eastAsia="ru-RU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bCs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eastAsia="Calibri" w:cs="Times New Roman"/>
                <w:lang w:eastAsia="ru-RU" w:bidi="ar-SA"/>
              </w:rPr>
            </w:pPr>
            <w:r>
              <w:rPr>
                <w:rFonts w:eastAsia="Calibri" w:cs="Times New Roman" w:ascii="Times New Roman" w:hAnsi="Times New Roman"/>
                <w:lang w:eastAsia="ru-RU" w:bidi="ar-SA"/>
              </w:rPr>
              <w:t>7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  <w:t>Прочие требования к выполнению работ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lang w:eastAsia="ru-RU" w:bidi="ar-SA"/>
              </w:rPr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lang w:eastAsia="x-none" w:bidi="ar-SA"/>
              </w:rPr>
            </w:pPr>
            <w:r>
              <w:rPr>
                <w:rFonts w:eastAsia="Calibri" w:cs="Times New Roman" w:ascii="Times New Roman" w:hAnsi="Times New Roman"/>
                <w:b/>
                <w:lang w:eastAsia="x-none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lang w:val="x-none" w:eastAsia="x-none" w:bidi="ar-SA"/>
              </w:rPr>
            </w:pPr>
            <w:r>
              <w:rPr>
                <w:rFonts w:eastAsia="Calibri" w:cs="Times New Roman" w:ascii="Times New Roman" w:hAnsi="Times New Roman"/>
                <w:b/>
                <w:lang w:val="x-none" w:eastAsia="x-none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lang w:eastAsia="ru-RU" w:bidi="ar-SA"/>
              </w:rPr>
            </w:pPr>
            <w:r>
              <w:rPr>
                <w:rFonts w:cs="Times New Roman" w:ascii="Times New Roman" w:hAnsi="Times New Roman"/>
                <w:lang w:eastAsia="ru-RU" w:bidi="ar-SA"/>
              </w:rPr>
              <w:t>7.1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Заготовки для нанесения ЭМП-покрытия в количестве 24 шт. передаются Исполнителю Заказчиком по Акту сдачи-приёмки сегментов подпятника для выполнения работ и накладной по форме М-15, утв. Постановлением Госкомстата РФ от 30.10.1997 N 71а, по адресу: Ставропольский край, г. Невинномысск, ул. Водопроводная 349а склад филиала ПАО «РусГидро» - «Каскад Кубанских ГЭС».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lang w:eastAsia="x-none" w:bidi="ar-SA"/>
              </w:rPr>
            </w:pPr>
            <w:r>
              <w:rPr>
                <w:rFonts w:eastAsia="Calibri" w:cs="Times New Roman" w:ascii="Times New Roman" w:hAnsi="Times New Roman"/>
                <w:b/>
                <w:lang w:eastAsia="x-none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lang w:val="x-none" w:eastAsia="x-none" w:bidi="ar-SA"/>
              </w:rPr>
            </w:pPr>
            <w:r>
              <w:rPr>
                <w:rFonts w:eastAsia="Calibri" w:cs="Times New Roman" w:ascii="Times New Roman" w:hAnsi="Times New Roman"/>
                <w:b/>
                <w:lang w:val="x-none" w:eastAsia="x-none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lang w:eastAsia="ru-RU" w:bidi="ar-SA"/>
              </w:rPr>
            </w:pPr>
            <w:r>
              <w:rPr>
                <w:rFonts w:cs="Times New Roman" w:ascii="Times New Roman" w:hAnsi="Times New Roman"/>
                <w:lang w:eastAsia="ru-RU" w:bidi="ar-SA"/>
              </w:rPr>
              <w:t>7.2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Риск случайной гибели, повреждения, утраты переданного Заказчиком имущества переходит к Исполнителю с даты подписания накладной М-15.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lang w:eastAsia="x-none" w:bidi="ar-SA"/>
              </w:rPr>
            </w:pPr>
            <w:r>
              <w:rPr>
                <w:rFonts w:eastAsia="Calibri" w:cs="Times New Roman" w:ascii="Times New Roman" w:hAnsi="Times New Roman"/>
                <w:b/>
                <w:lang w:eastAsia="x-none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lang w:val="x-none" w:eastAsia="x-none" w:bidi="ar-SA"/>
              </w:rPr>
            </w:pPr>
            <w:r>
              <w:rPr>
                <w:rFonts w:eastAsia="Calibri" w:cs="Times New Roman" w:ascii="Times New Roman" w:hAnsi="Times New Roman"/>
                <w:b/>
                <w:lang w:val="x-none" w:eastAsia="x-none" w:bidi="ar-SA"/>
              </w:rPr>
            </w:r>
          </w:p>
        </w:tc>
      </w:tr>
      <w:tr>
        <w:trPr/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0" w:after="0"/>
              <w:ind w:left="0" w:hanging="0"/>
              <w:contextualSpacing/>
              <w:jc w:val="center"/>
              <w:rPr>
                <w:rFonts w:ascii="Times New Roman" w:hAnsi="Times New Roman" w:cs="Times New Roman"/>
                <w:lang w:eastAsia="ru-RU" w:bidi="ar-SA"/>
              </w:rPr>
            </w:pPr>
            <w:r>
              <w:rPr>
                <w:rFonts w:cs="Times New Roman" w:ascii="Times New Roman" w:hAnsi="Times New Roman"/>
                <w:lang w:eastAsia="ru-RU" w:bidi="ar-SA"/>
              </w:rPr>
              <w:t>7.3</w:t>
            </w:r>
          </w:p>
        </w:tc>
        <w:tc>
          <w:tcPr>
            <w:tcW w:w="807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 w:bidi="ar-SA"/>
              </w:rPr>
              <w:t>Передача Заказчиком заготовок для выполнения работ осуществляется без перехода права собственности на данное имущество к Исполнителю.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lang w:eastAsia="ru-RU" w:bidi="ar-SA"/>
              </w:rPr>
            </w:pPr>
            <w:r>
              <w:rPr>
                <w:rFonts w:eastAsia="Times New Roman" w:cs="Times New Roman" w:ascii="Times New Roman" w:hAnsi="Times New Roman"/>
                <w:lang w:eastAsia="ru-RU" w:bidi="ar-SA"/>
              </w:rPr>
              <w:t>Согласие с требованием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lang w:eastAsia="x-none" w:bidi="ar-SA"/>
              </w:rPr>
            </w:pPr>
            <w:r>
              <w:rPr>
                <w:rFonts w:eastAsia="Calibri" w:cs="Times New Roman" w:ascii="Times New Roman" w:hAnsi="Times New Roman"/>
                <w:b/>
                <w:lang w:eastAsia="x-none" w:bidi="ar-SA"/>
              </w:rPr>
            </w:r>
          </w:p>
        </w:tc>
        <w:tc>
          <w:tcPr>
            <w:tcW w:w="23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Calibri" w:cs="Times New Roman"/>
                <w:b/>
                <w:lang w:val="x-none" w:eastAsia="x-none" w:bidi="ar-SA"/>
              </w:rPr>
            </w:pPr>
            <w:r>
              <w:rPr>
                <w:rFonts w:eastAsia="Calibri" w:cs="Times New Roman" w:ascii="Times New Roman" w:hAnsi="Times New Roman"/>
                <w:b/>
                <w:lang w:val="x-none" w:eastAsia="x-none" w:bidi="ar-SA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306" w:gutter="0" w:header="240" w:top="525" w:footer="0" w:bottom="85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Normal"/>
        <w:keepNext w:val="true"/>
        <w:keepLines/>
        <w:numPr>
          <w:ilvl w:val="0"/>
          <w:numId w:val="3"/>
        </w:numPr>
        <w:suppressAutoHyphens w:val="false"/>
        <w:spacing w:before="120" w:after="60"/>
        <w:ind w:left="357" w:hanging="357"/>
        <w:outlineLvl w:val="0"/>
        <w:rPr>
          <w:rFonts w:ascii="Times New Roman" w:hAnsi="Times New Roman"/>
        </w:rPr>
      </w:pPr>
      <w:r>
        <w:rPr>
          <w:rFonts w:eastAsia="Calibri" w:ascii="Times New Roman" w:hAnsi="Times New Roman"/>
          <w:b/>
          <w:lang w:eastAsia="x-none"/>
        </w:rPr>
        <w:t>Требования к документации по ценообразованию на этапе закупки</w:t>
      </w:r>
    </w:p>
    <w:p>
      <w:pPr>
        <w:pStyle w:val="Normal"/>
        <w:widowControl/>
        <w:rPr>
          <w:rFonts w:ascii="Times New Roman" w:hAnsi="Times New Roman"/>
        </w:rPr>
      </w:pPr>
      <w:bookmarkStart w:id="25" w:name="_Toc135643025"/>
      <w:bookmarkStart w:id="26" w:name="_Toc148102883"/>
      <w:bookmarkStart w:id="27" w:name="_Toc144812187"/>
      <w:bookmarkEnd w:id="27"/>
      <w:r>
        <w:rPr>
          <w:rFonts w:eastAsia="Calibri" w:ascii="Times New Roman" w:hAnsi="Times New Roman"/>
          <w:bCs/>
          <w:lang w:eastAsia="x-none"/>
        </w:rPr>
        <w:t xml:space="preserve">3.1 В </w:t>
      </w:r>
      <w:r>
        <w:rPr>
          <w:rFonts w:ascii="Times New Roman" w:hAnsi="Times New Roman"/>
        </w:rPr>
        <w:t>обоснование</w:t>
      </w:r>
      <w:r>
        <w:rPr>
          <w:rFonts w:eastAsia="Calibri" w:ascii="Times New Roman" w:hAnsi="Times New Roman"/>
          <w:bCs/>
          <w:lang w:eastAsia="x-none"/>
        </w:rPr>
        <w:t xml:space="preserve"> стоимости своей заявки Участник предоставляет Коммерческое предложение по форме, приведенной в Документации о закупке.</w:t>
      </w:r>
      <w:bookmarkEnd w:id="25"/>
      <w:bookmarkEnd w:id="26"/>
    </w:p>
    <w:p>
      <w:pPr>
        <w:pStyle w:val="Normal"/>
        <w:widowControl/>
        <w:rPr>
          <w:rFonts w:ascii="Times New Roman" w:hAnsi="Times New Roman"/>
        </w:rPr>
      </w:pPr>
      <w:bookmarkStart w:id="28" w:name="_Toc135643026"/>
      <w:bookmarkStart w:id="29" w:name="_Toc148102884"/>
      <w:r>
        <w:rPr>
          <w:rFonts w:eastAsia="Calibri" w:ascii="Times New Roman" w:hAnsi="Times New Roman"/>
          <w:bCs/>
          <w:lang w:eastAsia="x-none"/>
        </w:rPr>
        <w:t xml:space="preserve">3.2. </w:t>
      </w:r>
      <w:r>
        <w:rPr>
          <w:rFonts w:ascii="Times New Roman" w:hAnsi="Times New Roman"/>
        </w:rPr>
        <w:t>Дополнительные</w:t>
      </w:r>
      <w:r>
        <w:rPr>
          <w:rFonts w:eastAsia="Calibri" w:ascii="Times New Roman" w:hAnsi="Times New Roman"/>
          <w:bCs/>
          <w:lang w:eastAsia="x-none"/>
        </w:rPr>
        <w:t xml:space="preserve"> документы по ценообразованию (сметная документация) в состав заявки Участника не включаются.</w:t>
      </w:r>
      <w:bookmarkEnd w:id="28"/>
      <w:bookmarkEnd w:id="29"/>
    </w:p>
    <w:p>
      <w:pPr>
        <w:pStyle w:val="Heading1"/>
        <w:numPr>
          <w:ilvl w:val="0"/>
          <w:numId w:val="3"/>
        </w:numPr>
        <w:ind w:left="357" w:hanging="357"/>
        <w:jc w:val="center"/>
        <w:rPr>
          <w:rFonts w:ascii="Times New Roman" w:hAnsi="Times New Roman"/>
          <w:sz w:val="24"/>
          <w:szCs w:val="24"/>
        </w:rPr>
      </w:pPr>
      <w:bookmarkStart w:id="30" w:name="_Toc54646412"/>
      <w:r>
        <w:rPr>
          <w:rFonts w:ascii="Times New Roman" w:hAnsi="Times New Roman"/>
          <w:sz w:val="24"/>
          <w:szCs w:val="24"/>
          <w:lang w:val="ru-RU"/>
        </w:rPr>
        <w:t>Требования к документации по ценообразованию на этапе заключения (исполнения) договора</w:t>
      </w:r>
      <w:bookmarkEnd w:id="30"/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>
        <w:rPr>
          <w:rFonts w:eastAsia="Calibri" w:ascii="Times New Roman" w:hAnsi="Times New Roman"/>
          <w:bCs/>
          <w:lang w:val="x-none" w:eastAsia="x-none"/>
        </w:rPr>
        <w:t xml:space="preserve">На этапе заключения договора предоставить </w:t>
      </w:r>
      <w:r>
        <w:rPr>
          <w:rFonts w:eastAsia="Calibri" w:ascii="Times New Roman" w:hAnsi="Times New Roman"/>
          <w:bCs/>
          <w:lang w:eastAsia="x-none"/>
        </w:rPr>
        <w:t>сводный сметный расчет на предельную стоимость</w:t>
      </w:r>
      <w:r>
        <w:rPr>
          <w:rFonts w:eastAsia="Calibri" w:ascii="Times New Roman" w:hAnsi="Times New Roman"/>
          <w:bCs/>
          <w:lang w:val="x-none" w:eastAsia="x-none"/>
        </w:rPr>
        <w:t>.</w:t>
      </w:r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iCs/>
        </w:rPr>
        <w:t>4.2. Разработка сметной документации осуществляется на стадии заключения дополнительного соглашения на твердую стоимость в соответствии с Приложением №1 к настоящим Техническим</w:t>
      </w:r>
      <w:bookmarkStart w:id="31" w:name="_GoBack"/>
      <w:bookmarkEnd w:id="31"/>
      <w:r>
        <w:rPr>
          <w:rFonts w:ascii="Times New Roman" w:hAnsi="Times New Roman"/>
          <w:bCs/>
          <w:iCs/>
        </w:rPr>
        <w:t xml:space="preserve"> требованиям «Требования к оформлению и составлению сметной документации на работы по программе ремонтов с учетом работы в ИС «Максимо»».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rFonts w:ascii="Times New Roman" w:hAnsi="Times New Roman"/>
          <w:sz w:val="24"/>
          <w:szCs w:val="24"/>
        </w:rPr>
      </w:pPr>
      <w:bookmarkStart w:id="32" w:name="_Toc46743519"/>
      <w:bookmarkStart w:id="33" w:name="_Toc54646413"/>
      <w:bookmarkStart w:id="34" w:name="_Toc51339699"/>
      <w:r>
        <w:rPr>
          <w:rFonts w:ascii="Times New Roman" w:hAnsi="Times New Roman"/>
          <w:iCs/>
          <w:sz w:val="24"/>
          <w:szCs w:val="24"/>
        </w:rPr>
        <w:t>Приложения</w:t>
      </w:r>
      <w:bookmarkEnd w:id="32"/>
      <w:bookmarkEnd w:id="33"/>
      <w:bookmarkEnd w:id="34"/>
    </w:p>
    <w:p>
      <w:pPr>
        <w:pStyle w:val="Normal"/>
        <w:tabs>
          <w:tab w:val="clear" w:pos="720"/>
          <w:tab w:val="left" w:pos="426" w:leader="none"/>
        </w:tabs>
        <w:spacing w:before="60" w:after="0"/>
        <w:jc w:val="both"/>
        <w:rPr/>
      </w:pPr>
      <w:r>
        <w:rPr>
          <w:rStyle w:val="Style8"/>
          <w:rFonts w:ascii="Times New Roman" w:hAnsi="Times New Roman"/>
          <w:b w:val="false"/>
          <w:bCs/>
          <w:i w:val="false"/>
          <w:color w:val="000000"/>
          <w:shd w:fill="auto" w:val="clear"/>
        </w:rPr>
        <w:t>Приложение №1:</w:t>
      </w:r>
      <w:r>
        <w:rPr>
          <w:rStyle w:val="Style8"/>
          <w:rFonts w:ascii="Times New Roman" w:hAnsi="Times New Roman"/>
          <w:b w:val="false"/>
          <w:bCs/>
          <w:iCs/>
          <w:color w:val="000000"/>
          <w:shd w:fill="auto" w:val="clear"/>
        </w:rPr>
        <w:t xml:space="preserve"> </w:t>
      </w:r>
      <w:r>
        <w:rPr>
          <w:rStyle w:val="Style8"/>
          <w:rFonts w:ascii="Times New Roman" w:hAnsi="Times New Roman"/>
          <w:b w:val="false"/>
          <w:bCs/>
          <w:i w:val="false"/>
          <w:color w:val="000000"/>
          <w:shd w:fill="auto" w:val="clear"/>
        </w:rPr>
        <w:t xml:space="preserve">Требования к оформлению и составлении </w:t>
      </w:r>
      <w:r>
        <w:rPr>
          <w:rFonts w:ascii="Times New Roman" w:hAnsi="Times New Roman"/>
          <w:bCs/>
          <w:iCs/>
        </w:rPr>
        <w:t xml:space="preserve">сметной документации на работы по программе ремонтов </w:t>
      </w:r>
      <w:r>
        <w:rPr>
          <w:rStyle w:val="Style8"/>
          <w:rFonts w:ascii="Times New Roman" w:hAnsi="Times New Roman"/>
          <w:b w:val="false"/>
          <w:bCs/>
          <w:i w:val="false"/>
          <w:color w:val="000000"/>
          <w:shd w:fill="auto" w:val="clear"/>
        </w:rPr>
        <w:t>с учетом работы в ИС «Максимо».</w:t>
      </w:r>
    </w:p>
    <w:p>
      <w:pPr>
        <w:pStyle w:val="Normal"/>
        <w:tabs>
          <w:tab w:val="clear" w:pos="720"/>
          <w:tab w:val="left" w:pos="426" w:leader="none"/>
        </w:tabs>
        <w:spacing w:before="60" w:after="0"/>
        <w:jc w:val="both"/>
        <w:rPr/>
      </w:pPr>
      <w:r>
        <w:rPr>
          <w:rStyle w:val="Style8"/>
          <w:rFonts w:ascii="Times New Roman" w:hAnsi="Times New Roman"/>
          <w:b w:val="false"/>
          <w:bCs/>
          <w:i w:val="false"/>
          <w:color w:val="000000"/>
          <w:shd w:fill="auto" w:val="clear"/>
        </w:rPr>
        <w:t>Приложение №2: Чертеж 5.192.352-02СБ;</w:t>
      </w:r>
    </w:p>
    <w:p>
      <w:pPr>
        <w:pStyle w:val="Normal"/>
        <w:jc w:val="both"/>
        <w:rPr/>
      </w:pPr>
      <w:r>
        <w:rPr>
          <w:rStyle w:val="Style8"/>
          <w:rFonts w:ascii="Times New Roman" w:hAnsi="Times New Roman"/>
          <w:b w:val="false"/>
          <w:bCs/>
          <w:i w:val="false"/>
          <w:color w:val="000000"/>
          <w:shd w:fill="auto" w:val="clear"/>
        </w:rPr>
        <w:t>Приложение №3: Чертеж 5Б-5757;</w:t>
      </w:r>
    </w:p>
    <w:p>
      <w:pPr>
        <w:pStyle w:val="Normal"/>
        <w:jc w:val="both"/>
        <w:rPr/>
      </w:pPr>
      <w:r>
        <w:rPr>
          <w:rStyle w:val="Style8"/>
          <w:rFonts w:ascii="Times New Roman" w:hAnsi="Times New Roman"/>
          <w:b w:val="false"/>
          <w:bCs/>
          <w:i w:val="false"/>
          <w:color w:val="000000"/>
          <w:shd w:fill="auto" w:val="clear"/>
        </w:rPr>
        <w:t>Приложение №4: Чертеж 5ФА 192066 СБ.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uppressAutoHyphens w:val="true"/>
        <w:bidi w:val="0"/>
        <w:spacing w:before="120" w:after="120"/>
        <w:jc w:val="both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</w:r>
    </w:p>
    <w:tbl>
      <w:tblPr>
        <w:tblW w:w="9497" w:type="dxa"/>
        <w:jc w:val="left"/>
        <w:tblInd w:w="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4394"/>
        <w:gridCol w:w="420"/>
        <w:gridCol w:w="4683"/>
      </w:tblGrid>
      <w:tr>
        <w:trPr>
          <w:cantSplit w:val="true"/>
        </w:trPr>
        <w:tc>
          <w:tcPr>
            <w:tcW w:w="4394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Согласовано: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Производственно-технической службы филиала ПАО «РусГидро» - «Каскад Кубанских ГЭС»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 А.В. Погорелов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«_____» ____________ 202</w:t>
            </w:r>
            <w:r>
              <w:rPr>
                <w:rFonts w:ascii="Times New Roman" w:hAnsi="Times New Roman"/>
                <w:lang w:val="en-US"/>
              </w:rPr>
              <w:t>6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420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Согласовано: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Службы охраны труда и производственного контроля  филиала ПАО «РусГидро» -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«Каскад Кубанских ГЭС»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 А.А. Шкурко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«_____» ____________ 202</w:t>
            </w:r>
            <w:r>
              <w:rPr>
                <w:rFonts w:ascii="Times New Roman" w:hAnsi="Times New Roman"/>
                <w:lang w:val="en-US"/>
              </w:rPr>
              <w:t>6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</w:tr>
      <w:tr>
        <w:trPr>
          <w:trHeight w:val="318" w:hRule="atLeast"/>
          <w:cantSplit w:val="true"/>
        </w:trPr>
        <w:tc>
          <w:tcPr>
            <w:tcW w:w="4394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0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true"/>
        </w:trPr>
        <w:tc>
          <w:tcPr>
            <w:tcW w:w="4394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Согласовано: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главного инженера  по эксплуатации филиала ПАО «РусГидро» - «Каскад Кубанских ГЭС»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 </w:t>
            </w:r>
            <w:r>
              <w:rPr>
                <w:rFonts w:ascii="Times New Roman" w:hAnsi="Times New Roman"/>
                <w:lang w:val="en-US"/>
              </w:rPr>
              <w:t>А.А. Соболев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«_____» ____________ 202</w:t>
            </w:r>
            <w:r>
              <w:rPr>
                <w:rFonts w:ascii="Times New Roman" w:hAnsi="Times New Roman"/>
                <w:lang w:val="en-US"/>
              </w:rPr>
              <w:t>6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420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Согласовано: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главного инженера по технической части филиала ПАО «РусГидро» - «Каскад Кубанских ГЭС»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 В.Р. Старушко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«_____» ____________ 202</w:t>
            </w:r>
            <w:r>
              <w:rPr>
                <w:rFonts w:ascii="Times New Roman" w:hAnsi="Times New Roman"/>
                <w:lang w:val="en-US"/>
              </w:rPr>
              <w:t>6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</w:tr>
      <w:tr>
        <w:trPr>
          <w:cantSplit w:val="true"/>
        </w:trPr>
        <w:tc>
          <w:tcPr>
            <w:tcW w:w="4394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0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cantSplit w:val="true"/>
        </w:trPr>
        <w:tc>
          <w:tcPr>
            <w:tcW w:w="4394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Согласовано: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Службы подготовки, сопровождения ремонтов, технического перевооружения и реконструкции филиала ПАО «РусГидро» - «Каскад Кубанских ГЭС»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 А.</w:t>
            </w:r>
            <w:r>
              <w:rPr>
                <w:rFonts w:ascii="Times New Roman" w:hAnsi="Times New Roman"/>
                <w:lang w:val="en-US"/>
              </w:rPr>
              <w:t>В. Трубаченко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«_____» ____________ 202</w:t>
            </w:r>
            <w:r>
              <w:rPr>
                <w:rFonts w:ascii="Times New Roman" w:hAnsi="Times New Roman"/>
                <w:lang w:val="en-US"/>
              </w:rPr>
              <w:t>6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420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683" w:type="dxa"/>
            <w:tcBorders/>
          </w:tcPr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Согласовано: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закупок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филиала ПАО «РусГидро» - «Каскад Кубанских ГЭС»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 Е.В. Ковалева</w:t>
            </w:r>
          </w:p>
          <w:p>
            <w:pPr>
              <w:pStyle w:val="Normal"/>
              <w:widowControl w:val="false"/>
              <w:ind w:right="15" w:hanging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«_____» ____________ 202</w:t>
            </w:r>
            <w:r>
              <w:rPr>
                <w:rFonts w:ascii="Times New Roman" w:hAnsi="Times New Roman"/>
                <w:lang w:val="en-US"/>
              </w:rPr>
              <w:t>6</w:t>
            </w:r>
            <w:r>
              <w:rPr>
                <w:rFonts w:ascii="Times New Roman" w:hAnsi="Times New Roman"/>
              </w:rPr>
              <w:t xml:space="preserve"> год</w:t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8"/>
      <w:headerReference w:type="first" r:id="rId9"/>
      <w:type w:val="nextPage"/>
      <w:pgSz w:w="11906" w:h="16838"/>
      <w:pgMar w:left="1134" w:right="424" w:gutter="0" w:header="315" w:top="372" w:footer="0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Garamond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Book Antiqu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7A49B4E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7A49B4E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fldChar w:fldCharType="begin"/>
    </w:r>
    <w:r>
      <w:rPr>
        <w:sz w:val="22"/>
        <w:szCs w:val="22"/>
        <w:rFonts w:ascii="Times New Roman" w:hAnsi="Times New Roman"/>
      </w:rPr>
      <w:instrText xml:space="preserve"> PAGE </w:instrText>
    </w:r>
    <w:r>
      <w:rPr>
        <w:sz w:val="22"/>
        <w:szCs w:val="22"/>
        <w:rFonts w:ascii="Times New Roman" w:hAnsi="Times New Roman"/>
      </w:rPr>
      <w:fldChar w:fldCharType="separate"/>
    </w:r>
    <w:r>
      <w:rPr>
        <w:sz w:val="22"/>
        <w:szCs w:val="22"/>
        <w:rFonts w:ascii="Times New Roman" w:hAnsi="Times New Roman"/>
      </w:rPr>
      <w:t>4</w:t>
    </w:r>
    <w:r>
      <w:rPr>
        <w:sz w:val="22"/>
        <w:szCs w:val="22"/>
        <w:rFonts w:ascii="Times New Roman" w:hAnsi="Times New Roman"/>
      </w:rPr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2"/>
        <w:szCs w:val="22"/>
      </w:rPr>
    </w:pPr>
    <w:r>
      <w:rPr>
        <w:rFonts w:ascii="Times New Roman" w:hAnsi="Times New Roman"/>
        <w:sz w:val="22"/>
        <w:szCs w:val="22"/>
      </w:rPr>
      <w:fldChar w:fldCharType="begin"/>
    </w:r>
    <w:r>
      <w:rPr>
        <w:sz w:val="22"/>
        <w:szCs w:val="22"/>
        <w:rFonts w:ascii="Times New Roman" w:hAnsi="Times New Roman"/>
      </w:rPr>
      <w:instrText xml:space="preserve"> PAGE </w:instrText>
    </w:r>
    <w:r>
      <w:rPr>
        <w:sz w:val="22"/>
        <w:szCs w:val="22"/>
        <w:rFonts w:ascii="Times New Roman" w:hAnsi="Times New Roman"/>
      </w:rPr>
      <w:fldChar w:fldCharType="separate"/>
    </w:r>
    <w:r>
      <w:rPr>
        <w:sz w:val="22"/>
        <w:szCs w:val="22"/>
        <w:rFonts w:ascii="Times New Roman" w:hAnsi="Times New Roman"/>
      </w:rPr>
      <w:t>4</w:t>
    </w:r>
    <w:r>
      <w:rPr>
        <w:sz w:val="22"/>
        <w:szCs w:val="22"/>
        <w:rFonts w:ascii="Times New Roman" w:hAnsi="Times New Roman"/>
      </w:rPr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397"/>
        </w:tabs>
        <w:ind w:left="0" w:hanging="0"/>
      </w:pPr>
      <w:rPr>
        <w:i w:val="false"/>
        <w:b w:val="fals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284" w:hanging="0"/>
      </w:pPr>
      <w:rPr>
        <w:smallCaps w:val="false"/>
        <w:caps w:val="false"/>
        <w:dstrike w:val="false"/>
        <w:strike w:val="false"/>
        <w:vertAlign w:val="baseline"/>
        <w:position w:val="0"/>
        <w:sz w:val="20"/>
        <w:sz w:val="20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0"/>
  <w:revisionView w:insDel="0" w:formatting="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99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;Times New Roma" w:hAnsi="Liberation Serif;Times New Roma" w:eastAsia="Arial Unicode MS" w:cs="Arial Unicode MS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20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uiPriority w:val="99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ascii="Liberation Serif;Times New Roma" w:hAnsi="Liberation Serif;Times New Roma" w:eastAsia="Calibri" w:cs="Arial Unicode MS"/>
      <w:b/>
      <w:bCs/>
      <w:sz w:val="24"/>
      <w:szCs w:val="24"/>
      <w:lang w:val="x-none" w:eastAsia="x-none" w:bidi="hi-IN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7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5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uiPriority w:val="99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Текст выноски Знак"/>
    <w:basedOn w:val="DefaultParagraphFont"/>
    <w:link w:val="BalloonText"/>
    <w:qFormat/>
    <w:rsid w:val="000431e2"/>
    <w:rPr>
      <w:rFonts w:ascii="Tahoma" w:hAnsi="Tahoma" w:cs="Tahoma"/>
      <w:sz w:val="16"/>
      <w:szCs w:val="16"/>
    </w:rPr>
  </w:style>
  <w:style w:type="character" w:styleId="Style15" w:customStyle="1">
    <w:name w:val="Тема примечания Знак"/>
    <w:basedOn w:val="Style11"/>
    <w:link w:val="Annotationsubject"/>
    <w:uiPriority w:val="99"/>
    <w:semiHidden/>
    <w:qFormat/>
    <w:rsid w:val="000431e2"/>
    <w:rPr>
      <w:b/>
      <w:bCs/>
    </w:rPr>
  </w:style>
  <w:style w:type="character" w:styleId="WW8Num5z0" w:customStyle="1">
    <w:name w:val="WW8Num5z0"/>
    <w:qFormat/>
    <w:rPr>
      <w:rFonts w:ascii="Times New Roman" w:hAnsi="Times New Roman" w:eastAsia="Times New Roman" w:cs="Times New Roman"/>
      <w:b w:val="false"/>
      <w:color w:val="auto"/>
      <w:sz w:val="22"/>
      <w:szCs w:val="22"/>
      <w:lang w:val="ru-RU" w:bidi="ar-SA"/>
    </w:rPr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14z0" w:customStyle="1">
    <w:name w:val="WW8Num14z0"/>
    <w:qFormat/>
    <w:rPr>
      <w:rFonts w:ascii="Symbol" w:hAnsi="Symbol" w:cs="OpenSymbol;Arial Unicode MS"/>
    </w:rPr>
  </w:style>
  <w:style w:type="character" w:styleId="WW8Num14z1" w:customStyle="1">
    <w:name w:val="WW8Num14z1"/>
    <w:qFormat/>
    <w:rPr>
      <w:rFonts w:ascii="OpenSymbol;Arial Unicode MS" w:hAnsi="OpenSymbol;Arial Unicode MS" w:cs="OpenSymbol;Arial Unicode MS"/>
    </w:rPr>
  </w:style>
  <w:style w:type="character" w:styleId="WW8Num8z0" w:customStyle="1">
    <w:name w:val="WW8Num8z0"/>
    <w:qFormat/>
    <w:rPr>
      <w:rFonts w:ascii="Symbol" w:hAnsi="Symbol" w:cs="Symbol"/>
      <w:color w:val="auto"/>
    </w:rPr>
  </w:style>
  <w:style w:type="character" w:styleId="WW8Num8z1" w:customStyle="1">
    <w:name w:val="WW8Num8z1"/>
    <w:qFormat/>
    <w:rPr>
      <w:rFonts w:ascii="Times New Roman" w:hAnsi="Times New Roman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8z3" w:customStyle="1">
    <w:name w:val="WW8Num8z3"/>
    <w:qFormat/>
    <w:rPr>
      <w:rFonts w:ascii="Symbol" w:hAnsi="Symbol" w:cs="Symbol"/>
    </w:rPr>
  </w:style>
  <w:style w:type="character" w:styleId="WW8Num9z0" w:customStyle="1">
    <w:name w:val="WW8Num9z0"/>
    <w:qFormat/>
    <w:rPr>
      <w:rFonts w:ascii="Symbol" w:hAnsi="Symbol" w:cs="Symbol"/>
    </w:rPr>
  </w:style>
  <w:style w:type="character" w:styleId="WW8Num9z1" w:customStyle="1">
    <w:name w:val="WW8Num9z1"/>
    <w:qFormat/>
    <w:rPr>
      <w:rFonts w:ascii="Times New Roman" w:hAnsi="Times New Roman" w:cs="Courier New"/>
    </w:rPr>
  </w:style>
  <w:style w:type="character" w:styleId="WW8Num9z2" w:customStyle="1">
    <w:name w:val="WW8Num9z2"/>
    <w:qFormat/>
    <w:rPr>
      <w:rFonts w:ascii="Wingdings" w:hAnsi="Wingdings" w:cs="Wingdings"/>
    </w:rPr>
  </w:style>
  <w:style w:type="character" w:styleId="WW8Num10z0" w:customStyle="1">
    <w:name w:val="WW8Num10z0"/>
    <w:qFormat/>
    <w:rPr>
      <w:rFonts w:ascii="Symbol" w:hAnsi="Symbol" w:cs="Symbol"/>
      <w:color w:val="000000"/>
    </w:rPr>
  </w:style>
  <w:style w:type="character" w:styleId="WW8Num10z1" w:customStyle="1">
    <w:name w:val="WW8Num10z1"/>
    <w:qFormat/>
    <w:rPr>
      <w:rFonts w:ascii="Times New Roman" w:hAnsi="Times New Roman" w:cs="Courier New"/>
    </w:rPr>
  </w:style>
  <w:style w:type="character" w:styleId="WW8Num10z2" w:customStyle="1">
    <w:name w:val="WW8Num10z2"/>
    <w:qFormat/>
    <w:rPr>
      <w:rFonts w:ascii="Wingdings" w:hAnsi="Wingdings" w:cs="Wingdings"/>
    </w:rPr>
  </w:style>
  <w:style w:type="character" w:styleId="WW8Num10z3" w:customStyle="1">
    <w:name w:val="WW8Num10z3"/>
    <w:qFormat/>
    <w:rPr>
      <w:rFonts w:ascii="Symbol" w:hAnsi="Symbol" w:cs="Symbol"/>
    </w:rPr>
  </w:style>
  <w:style w:type="character" w:styleId="WW8Num11z0" w:customStyle="1">
    <w:name w:val="WW8Num11z0"/>
    <w:qFormat/>
    <w:rPr>
      <w:rFonts w:ascii="Symbol" w:hAnsi="Symbol" w:cs="Symbol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2z0" w:customStyle="1">
    <w:name w:val="WW8Num12z0"/>
    <w:qFormat/>
    <w:rPr>
      <w:rFonts w:ascii="Symbol" w:hAnsi="Symbol" w:cs="Symbol"/>
    </w:rPr>
  </w:style>
  <w:style w:type="character" w:styleId="WW8Num12z1" w:customStyle="1">
    <w:name w:val="WW8Num12z1"/>
    <w:qFormat/>
    <w:rPr>
      <w:rFonts w:ascii="Times New Roman" w:hAnsi="Times New Roman" w:cs="Courier New"/>
    </w:rPr>
  </w:style>
  <w:style w:type="character" w:styleId="WW8Num12z2" w:customStyle="1">
    <w:name w:val="WW8Num12z2"/>
    <w:qFormat/>
    <w:rPr>
      <w:rFonts w:ascii="Wingdings" w:hAnsi="Wingdings" w:cs="Wingdings"/>
    </w:rPr>
  </w:style>
  <w:style w:type="character" w:styleId="FootnoteReference1" w:customStyle="1">
    <w:name w:val="Footnote Reference1"/>
    <w:basedOn w:val="DefaultParagraphFont"/>
    <w:qFormat/>
    <w:rPr>
      <w:sz w:val="16"/>
      <w:vertAlign w:val="superscript"/>
    </w:rPr>
  </w:style>
  <w:style w:type="character" w:styleId="FollowedHyperlink">
    <w:name w:val="FollowedHyperlink"/>
    <w:rPr>
      <w:color w:val="954F72"/>
      <w:u w:val="single"/>
    </w:rPr>
  </w:style>
  <w:style w:type="character" w:styleId="WW8Num15z0" w:customStyle="1">
    <w:name w:val="WW8Num15z0"/>
    <w:qFormat/>
    <w:rPr>
      <w:rFonts w:ascii="Times New Roman" w:hAnsi="Times New Roman" w:eastAsia="Calibri" w:cs="Times New Roman"/>
      <w:color w:val="000000"/>
    </w:rPr>
  </w:style>
  <w:style w:type="character" w:styleId="WW8Num13z0" w:customStyle="1">
    <w:name w:val="WW8Num13z0"/>
    <w:qFormat/>
    <w:rPr>
      <w:rFonts w:ascii="Times New Roman" w:hAnsi="Times New Roman" w:eastAsia="Calibri" w:cs="Times New Roman"/>
      <w:color w:val="000000"/>
    </w:rPr>
  </w:style>
  <w:style w:type="character" w:styleId="WW-" w:customStyle="1">
    <w:name w:val="WW-Символ концевой сноски"/>
    <w:qFormat/>
    <w:rPr/>
  </w:style>
  <w:style w:type="character" w:styleId="WWCharLFO8LVL1" w:customStyle="1">
    <w:name w:val="WW_CharLFO8LVL1"/>
    <w:qFormat/>
    <w:rPr>
      <w:rFonts w:ascii="Times New Roman" w:hAnsi="Times New Roman" w:eastAsia="Calibri" w:cs="Times New Roman"/>
      <w:color w:val="000000"/>
    </w:rPr>
  </w:style>
  <w:style w:type="character" w:styleId="FootnoteReference11" w:customStyle="1">
    <w:name w:val="Footnote Reference11"/>
    <w:qFormat/>
    <w:rPr>
      <w:rFonts w:ascii="Times New Roman" w:hAnsi="Times New Roman" w:eastAsia="Times New Roman" w:cs="Times New Roman"/>
      <w:color w:val="000000"/>
      <w:sz w:val="16"/>
      <w:szCs w:val="24"/>
      <w:vertAlign w:val="superscript"/>
    </w:rPr>
  </w:style>
  <w:style w:type="character" w:styleId="WWCharLFO7LVL8" w:customStyle="1">
    <w:name w:val="WW_CharLFO7LVL8"/>
    <w:qFormat/>
    <w:rPr>
      <w:rFonts w:cs="Courier New"/>
    </w:rPr>
  </w:style>
  <w:style w:type="character" w:styleId="WWCharLFO7LVL5" w:customStyle="1">
    <w:name w:val="WW_CharLFO7LVL5"/>
    <w:qFormat/>
    <w:rPr>
      <w:rFonts w:cs="Courier New"/>
    </w:rPr>
  </w:style>
  <w:style w:type="character" w:styleId="WWCharLFO7LVL2" w:customStyle="1">
    <w:name w:val="WW_CharLFO7LVL2"/>
    <w:qFormat/>
    <w:rPr>
      <w:rFonts w:cs="Courier New"/>
    </w:rPr>
  </w:style>
  <w:style w:type="character" w:styleId="WWCharLFO26LVL8" w:customStyle="1">
    <w:name w:val="WW_CharLFO26LVL8"/>
    <w:qFormat/>
    <w:rPr>
      <w:rFonts w:ascii="Courier New" w:hAnsi="Courier New" w:cs="Courier New"/>
    </w:rPr>
  </w:style>
  <w:style w:type="character" w:styleId="WWCharLFO26LVL5" w:customStyle="1">
    <w:name w:val="WW_CharLFO26LVL5"/>
    <w:qFormat/>
    <w:rPr>
      <w:rFonts w:ascii="Courier New" w:hAnsi="Courier New" w:cs="Courier New"/>
    </w:rPr>
  </w:style>
  <w:style w:type="character" w:styleId="WWCharLFO26LVL2" w:customStyle="1">
    <w:name w:val="WW_CharLFO26LVL2"/>
    <w:qFormat/>
    <w:rPr>
      <w:rFonts w:ascii="Courier New" w:hAnsi="Courier New" w:cs="Courier New"/>
    </w:rPr>
  </w:style>
  <w:style w:type="character" w:styleId="WWCharLFO6LVL8" w:customStyle="1">
    <w:name w:val="WW_CharLFO6LVL8"/>
    <w:qFormat/>
    <w:rPr>
      <w:rFonts w:cs="Courier New"/>
    </w:rPr>
  </w:style>
  <w:style w:type="character" w:styleId="WWCharLFO6LVL5" w:customStyle="1">
    <w:name w:val="WW_CharLFO6LVL5"/>
    <w:qFormat/>
    <w:rPr>
      <w:rFonts w:cs="Courier New"/>
    </w:rPr>
  </w:style>
  <w:style w:type="character" w:styleId="WWCharLFO6LVL2" w:customStyle="1">
    <w:name w:val="WW_CharLFO6LVL2"/>
    <w:qFormat/>
    <w:rPr>
      <w:rFonts w:cs="Courier New"/>
    </w:rPr>
  </w:style>
  <w:style w:type="character" w:styleId="WWCharLFO5LVL8" w:customStyle="1">
    <w:name w:val="WW_CharLFO5LVL8"/>
    <w:qFormat/>
    <w:rPr>
      <w:rFonts w:cs="Courier New"/>
    </w:rPr>
  </w:style>
  <w:style w:type="character" w:styleId="WWCharLFO5LVL5" w:customStyle="1">
    <w:name w:val="WW_CharLFO5LVL5"/>
    <w:qFormat/>
    <w:rPr>
      <w:rFonts w:cs="Courier New"/>
    </w:rPr>
  </w:style>
  <w:style w:type="character" w:styleId="WWCharLFO5LVL2" w:customStyle="1">
    <w:name w:val="WW_CharLFO5LVL2"/>
    <w:qFormat/>
    <w:rPr>
      <w:rFonts w:cs="Courier New"/>
    </w:rPr>
  </w:style>
  <w:style w:type="character" w:styleId="WWCharLFO3LVL8" w:customStyle="1">
    <w:name w:val="WW_CharLFO3LVL8"/>
    <w:qFormat/>
    <w:rPr>
      <w:rFonts w:cs="Courier New"/>
    </w:rPr>
  </w:style>
  <w:style w:type="character" w:styleId="WWCharLFO3LVL5" w:customStyle="1">
    <w:name w:val="WW_CharLFO3LVL5"/>
    <w:qFormat/>
    <w:rPr>
      <w:rFonts w:cs="Courier New"/>
    </w:rPr>
  </w:style>
  <w:style w:type="character" w:styleId="WWCharLFO3LVL2" w:customStyle="1">
    <w:name w:val="WW_CharLFO3LVL2"/>
    <w:qFormat/>
    <w:rPr>
      <w:rFonts w:cs="Courier New"/>
    </w:rPr>
  </w:style>
  <w:style w:type="character" w:styleId="WWCharLFO2LVL2" w:customStyle="1">
    <w:name w:val="WW_CharLFO2LVL2"/>
    <w:qFormat/>
    <w:rPr>
      <w:b w:val="false"/>
      <w:color w:val="auto"/>
    </w:rPr>
  </w:style>
  <w:style w:type="character" w:styleId="WWCharLFO1LVL9" w:customStyle="1">
    <w:name w:val="WW_CharLFO1LVL9"/>
    <w:qFormat/>
    <w:rPr>
      <w:sz w:val="28"/>
    </w:rPr>
  </w:style>
  <w:style w:type="character" w:styleId="WWCharLFO1LVL8" w:customStyle="1">
    <w:name w:val="WW_CharLFO1LVL8"/>
    <w:qFormat/>
    <w:rPr>
      <w:sz w:val="28"/>
    </w:rPr>
  </w:style>
  <w:style w:type="character" w:styleId="WWCharLFO1LVL7" w:customStyle="1">
    <w:name w:val="WW_CharLFO1LVL7"/>
    <w:qFormat/>
    <w:rPr>
      <w:sz w:val="28"/>
    </w:rPr>
  </w:style>
  <w:style w:type="character" w:styleId="WWCharLFO1LVL6" w:customStyle="1">
    <w:name w:val="WW_CharLFO1LVL6"/>
    <w:qFormat/>
    <w:rPr>
      <w:sz w:val="28"/>
    </w:rPr>
  </w:style>
  <w:style w:type="character" w:styleId="WWCharLFO1LVL5" w:customStyle="1">
    <w:name w:val="WW_CharLFO1LVL5"/>
    <w:qFormat/>
    <w:rPr>
      <w:sz w:val="28"/>
    </w:rPr>
  </w:style>
  <w:style w:type="character" w:styleId="WWCharLFO1LVL4" w:customStyle="1">
    <w:name w:val="WW_CharLFO1LVL4"/>
    <w:qFormat/>
    <w:rPr>
      <w:sz w:val="28"/>
    </w:rPr>
  </w:style>
  <w:style w:type="character" w:styleId="WWCharLFO1LVL3" w:customStyle="1">
    <w:name w:val="WW_CharLFO1LVL3"/>
    <w:qFormat/>
    <w:rPr>
      <w:sz w:val="22"/>
      <w:szCs w:val="22"/>
    </w:rPr>
  </w:style>
  <w:style w:type="character" w:styleId="WWCharLFO1LVL2" w:customStyle="1">
    <w:name w:val="WW_CharLFO1LVL2"/>
    <w:qFormat/>
    <w:rPr>
      <w:b w:val="false"/>
      <w:color w:val="auto"/>
      <w:sz w:val="22"/>
      <w:szCs w:val="22"/>
    </w:rPr>
  </w:style>
  <w:style w:type="character" w:styleId="WWCharLFO1LVL1" w:customStyle="1">
    <w:name w:val="WW_CharLFO1LVL1"/>
    <w:qFormat/>
    <w:rPr>
      <w:b w:val="false"/>
      <w:i w:val="false"/>
      <w:color w:val="auto"/>
      <w:sz w:val="24"/>
      <w:szCs w:val="24"/>
    </w:rPr>
  </w:style>
  <w:style w:type="character" w:styleId="Style16" w:customStyle="1">
    <w:name w:val="Основной текст с отступом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Style17" w:customStyle="1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18" w:customStyle="1">
    <w:name w:val="Нижний колонтитул Знак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Apple-converted-space" w:customStyle="1">
    <w:name w:val="apple-converted-space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Apple-style-span" w:customStyle="1">
    <w:name w:val="apple-style-span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WW8Num20z1" w:customStyle="1">
    <w:name w:val="WW8Num20z1"/>
    <w:qFormat/>
    <w:rPr>
      <w:rFonts w:ascii="Courier New" w:hAnsi="Courier New" w:cs="Courier New"/>
    </w:rPr>
  </w:style>
  <w:style w:type="character" w:styleId="WW8Num19z1" w:customStyle="1">
    <w:name w:val="WW8Num19z1"/>
    <w:qFormat/>
    <w:rPr>
      <w:rFonts w:ascii="Courier New" w:hAnsi="Courier New" w:cs="Courier New"/>
    </w:rPr>
  </w:style>
  <w:style w:type="character" w:styleId="WW8Num18z0" w:customStyle="1">
    <w:name w:val="WW8Num18z0"/>
    <w:qFormat/>
    <w:rPr/>
  </w:style>
  <w:style w:type="character" w:styleId="WW8Num17z0" w:customStyle="1">
    <w:name w:val="WW8Num17z0"/>
    <w:qFormat/>
    <w:rPr/>
  </w:style>
  <w:style w:type="character" w:styleId="WW8Num16z2" w:customStyle="1">
    <w:name w:val="WW8Num16z2"/>
    <w:qFormat/>
    <w:rPr>
      <w:strike w:val="false"/>
      <w:dstrike w:val="false"/>
    </w:rPr>
  </w:style>
  <w:style w:type="character" w:styleId="WW8Num16z1" w:customStyle="1">
    <w:name w:val="WW8Num16z1"/>
    <w:qFormat/>
    <w:rPr>
      <w:u w:val="none"/>
    </w:rPr>
  </w:style>
  <w:style w:type="character" w:styleId="WW8Num16z0" w:customStyle="1">
    <w:name w:val="WW8Num16z0"/>
    <w:qFormat/>
    <w:rPr/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5z2" w:customStyle="1">
    <w:name w:val="WW8Num5z2"/>
    <w:qFormat/>
    <w:rPr>
      <w:rFonts w:ascii="Garamond" w:hAnsi="Garamond" w:cs="Garamond"/>
      <w:i w:val="false"/>
    </w:rPr>
  </w:style>
  <w:style w:type="character" w:styleId="WW8Num5z1" w:customStyle="1">
    <w:name w:val="WW8Num5z1"/>
    <w:qFormat/>
    <w:rPr>
      <w:color w:val="000000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1z0" w:customStyle="1">
    <w:name w:val="WW8Num1z0"/>
    <w:qFormat/>
    <w:rPr/>
  </w:style>
  <w:style w:type="character" w:styleId="WW8Num7z3" w:customStyle="1">
    <w:name w:val="WW8Num7z3"/>
    <w:qFormat/>
    <w:rPr>
      <w:sz w:val="28"/>
    </w:rPr>
  </w:style>
  <w:style w:type="character" w:styleId="WW8Num7z2" w:customStyle="1">
    <w:name w:val="WW8Num7z2"/>
    <w:qFormat/>
    <w:rPr>
      <w:sz w:val="22"/>
      <w:szCs w:val="22"/>
    </w:rPr>
  </w:style>
  <w:style w:type="character" w:styleId="WW8Num7z1" w:customStyle="1">
    <w:name w:val="WW8Num7z1"/>
    <w:qFormat/>
    <w:rPr>
      <w:b w:val="false"/>
      <w:color w:val="auto"/>
      <w:sz w:val="22"/>
      <w:szCs w:val="22"/>
    </w:rPr>
  </w:style>
  <w:style w:type="character" w:styleId="WW8Num7z0" w:customStyle="1">
    <w:name w:val="WW8Num7z0"/>
    <w:qFormat/>
    <w:rPr>
      <w:b w:val="false"/>
      <w:i w:val="false"/>
      <w:color w:val="auto"/>
      <w:sz w:val="24"/>
      <w:szCs w:val="24"/>
    </w:rPr>
  </w:style>
  <w:style w:type="character" w:styleId="WW8Num6z2" w:customStyle="1">
    <w:name w:val="WW8Num6z2"/>
    <w:qFormat/>
    <w:rPr>
      <w:strike w:val="false"/>
      <w:dstrike w:val="false"/>
    </w:rPr>
  </w:style>
  <w:style w:type="character" w:styleId="WW8Num6z1" w:customStyle="1">
    <w:name w:val="WW8Num6z1"/>
    <w:qFormat/>
    <w:rPr>
      <w:u w:val="none"/>
    </w:rPr>
  </w:style>
  <w:style w:type="character" w:styleId="WW8Num6z0" w:customStyle="1">
    <w:name w:val="WW8Num6z0"/>
    <w:qFormat/>
    <w:rPr/>
  </w:style>
  <w:style w:type="character" w:styleId="WW8Num4z2" w:customStyle="1">
    <w:name w:val="WW8Num4z2"/>
    <w:qFormat/>
    <w:rPr>
      <w:rFonts w:ascii="Garamond" w:hAnsi="Garamond" w:cs="Garamond"/>
      <w:i w:val="false"/>
    </w:rPr>
  </w:style>
  <w:style w:type="character" w:styleId="WW8Num4z1" w:customStyle="1">
    <w:name w:val="WW8Num4z1"/>
    <w:qFormat/>
    <w:rPr>
      <w:color w:val="000000"/>
    </w:rPr>
  </w:style>
  <w:style w:type="character" w:styleId="WW8Num4z0" w:customStyle="1">
    <w:name w:val="WW8Num4z0"/>
    <w:qFormat/>
    <w:rPr/>
  </w:style>
  <w:style w:type="character" w:styleId="Style19" w:customStyle="1">
    <w:name w:val="Маркеры"/>
    <w:qFormat/>
    <w:rPr>
      <w:rFonts w:ascii="OpenSymbol" w:hAnsi="OpenSymbol" w:eastAsia="OpenSymbol" w:cs="OpenSymbol"/>
    </w:rPr>
  </w:style>
  <w:style w:type="character" w:styleId="Style20" w:customStyle="1">
    <w:name w:val="Символ нумерации"/>
    <w:qFormat/>
    <w:rPr/>
  </w:style>
  <w:style w:type="character" w:styleId="Linenumber1" w:customStyle="1">
    <w:name w:val="line number1"/>
    <w:qFormat/>
    <w:rPr/>
  </w:style>
  <w:style w:type="character" w:styleId="Linenumber2">
    <w:name w:val="line number2"/>
    <w:qFormat/>
    <w:rPr/>
  </w:style>
  <w:style w:type="character" w:styleId="LineNumber">
    <w:name w:val="Line Number"/>
    <w:rPr/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Times New Roman" w:hAnsi="Times New Roman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qFormat/>
    <w:pPr>
      <w:spacing w:lineRule="exact" w:line="240"/>
    </w:pPr>
    <w:rPr>
      <w:rFonts w:ascii="Times New Roman" w:hAnsi="Times New Roman"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23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4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5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">
    <w:name w:val="Body Text Indent"/>
    <w:basedOn w:val="Normal"/>
    <w:rsid w:val="0076353a"/>
    <w:pPr>
      <w:ind w:left="360" w:hanging="0"/>
    </w:pPr>
    <w:rPr/>
  </w:style>
  <w:style w:type="paragraph" w:styleId="Footer">
    <w:name w:val="Footer"/>
    <w:basedOn w:val="Normal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Cs w:val="20"/>
    </w:rPr>
  </w:style>
  <w:style w:type="paragraph" w:styleId="Style27" w:customStyle="1">
    <w:name w:val="Подпункт"/>
    <w:basedOn w:val="Normal"/>
    <w:link w:val="11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8" w:customStyle="1">
    <w:name w:val="Раздел регламента"/>
    <w:basedOn w:val="Normal"/>
    <w:qFormat/>
    <w:rsid w:val="00e228fa"/>
    <w:pPr/>
    <w:rPr/>
  </w:style>
  <w:style w:type="paragraph" w:styleId="Style29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14"/>
    <w:qFormat/>
    <w:pPr>
      <w:spacing w:lineRule="exact" w:line="24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>
      <w:spacing w:lineRule="exact" w:line="240"/>
    </w:pPr>
    <w:rPr>
      <w:rFonts w:ascii="Times New Roman" w:hAnsi="Times New Roman"/>
      <w:sz w:val="20"/>
      <w:szCs w:val="20"/>
    </w:rPr>
  </w:style>
  <w:style w:type="paragraph" w:styleId="Annotationsubject">
    <w:name w:val="annotation subject"/>
    <w:link w:val="Style15"/>
    <w:qFormat/>
    <w:pPr>
      <w:widowControl/>
      <w:suppressAutoHyphens w:val="true"/>
      <w:bidi w:val="0"/>
      <w:spacing w:lineRule="exact" w:line="240" w:before="0" w:after="0"/>
      <w:jc w:val="left"/>
    </w:pPr>
    <w:rPr>
      <w:rFonts w:ascii="Times New Roman" w:hAnsi="Times New Roman" w:eastAsia="Calibri" w:cs="Times New Roman"/>
      <w:b/>
      <w:bCs/>
      <w:color w:val="auto"/>
      <w:kern w:val="0"/>
      <w:sz w:val="20"/>
      <w:szCs w:val="20"/>
      <w:lang w:val="ru-RU" w:eastAsia="ru-RU" w:bidi="ar-SA"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0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exact" w:line="360"/>
    </w:pPr>
    <w:rPr>
      <w:rFonts w:ascii="Times New Roman" w:hAnsi="Times New Roman" w:eastAsia="Calibri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1"/>
    <w:qFormat/>
    <w:pPr>
      <w:spacing w:lineRule="exact" w:line="240"/>
    </w:pPr>
    <w:rPr>
      <w:rFonts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lineRule="exact" w:line="240" w:before="200" w:after="280"/>
      <w:ind w:left="936" w:right="936" w:hanging="0"/>
    </w:pPr>
    <w:rPr>
      <w:rFonts w:eastAsia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21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>
      <w:spacing w:lineRule="exact" w:line="240"/>
    </w:pPr>
    <w:rPr>
      <w:rFonts w:ascii="Times New Roman" w:hAnsi="Times New Roman" w:eastAsia="Calibri"/>
    </w:rPr>
  </w:style>
  <w:style w:type="paragraph" w:styleId="Style31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2" w:customStyle="1">
    <w:name w:val="Пункт"/>
    <w:basedOn w:val="Normal"/>
    <w:qFormat/>
    <w:rsid w:val="00d22f6d"/>
    <w:pPr>
      <w:tabs>
        <w:tab w:val="clear" w:pos="720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3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4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Подподпункт"/>
    <w:basedOn w:val="Style27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6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7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2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Cs w:val="20"/>
      <w:lang w:eastAsia="x-none"/>
    </w:rPr>
  </w:style>
  <w:style w:type="paragraph" w:styleId="Style38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Cs w:val="26"/>
    </w:rPr>
  </w:style>
  <w:style w:type="paragraph" w:styleId="NormalWeb">
    <w:name w:val="Normal (Web)"/>
    <w:basedOn w:val="Normal"/>
    <w:qFormat/>
    <w:pPr>
      <w:spacing w:lineRule="exact" w:line="240" w:before="30" w:after="30"/>
    </w:pPr>
    <w:rPr>
      <w:rFonts w:ascii="Arial" w:hAnsi="Arial" w:cs="Arial"/>
      <w:color w:val="332E2D"/>
      <w:spacing w:val="2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9" w:customStyle="1">
    <w:name w:val="Содержимое врезки"/>
    <w:basedOn w:val="Normal"/>
    <w:qFormat/>
    <w:pPr/>
    <w:rPr/>
  </w:style>
  <w:style w:type="paragraph" w:styleId="Style40" w:customStyle="1">
    <w:name w:val="РГ_номер текста табл"/>
    <w:basedOn w:val="ListParagraph"/>
    <w:qFormat/>
    <w:pPr>
      <w:numPr>
        <w:ilvl w:val="0"/>
        <w:numId w:val="9"/>
      </w:numPr>
      <w:spacing w:before="0" w:after="0"/>
      <w:contextualSpacing/>
      <w:jc w:val="both"/>
    </w:pPr>
    <w:rPr>
      <w:rFonts w:ascii="Book Antiqua" w:hAnsi="Book Antiqua" w:eastAsia="Calibri" w:cs="Book Antiqua"/>
      <w:szCs w:val="22"/>
      <w:lang w:eastAsia="en-US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zh-CN" w:bidi="ar-SA"/>
    </w:rPr>
  </w:style>
  <w:style w:type="paragraph" w:styleId="29" w:customStyle="1">
    <w:name w:val="Абзац списка2"/>
    <w:basedOn w:val="Normal"/>
    <w:qFormat/>
    <w:pPr>
      <w:spacing w:before="0" w:after="200"/>
      <w:ind w:left="720" w:hanging="0"/>
      <w:contextualSpacing/>
    </w:pPr>
    <w:rPr/>
  </w:style>
  <w:style w:type="paragraph" w:styleId="DocumentMap">
    <w:name w:val="Document Map"/>
    <w:basedOn w:val="Normal"/>
    <w:qFormat/>
    <w:pPr>
      <w:spacing w:lineRule="exact" w:line="240"/>
    </w:pPr>
    <w:rPr>
      <w:rFonts w:ascii="Tahoma" w:hAnsi="Tahoma" w:cs="Tahoma"/>
      <w:sz w:val="16"/>
      <w:szCs w:val="16"/>
    </w:rPr>
  </w:style>
  <w:style w:type="paragraph" w:styleId="37" w:customStyle="1">
    <w:name w:val="Пункт_3"/>
    <w:basedOn w:val="Normal"/>
    <w:qFormat/>
    <w:pPr>
      <w:spacing w:lineRule="exact" w:line="360"/>
      <w:ind w:left="1134" w:hanging="1133"/>
      <w:jc w:val="both"/>
    </w:pPr>
    <w:rPr>
      <w:rFonts w:ascii="Times New Roman" w:hAnsi="Times New Roman"/>
      <w:sz w:val="28"/>
      <w:szCs w:val="20"/>
    </w:rPr>
  </w:style>
  <w:style w:type="paragraph" w:styleId="110" w:customStyle="1">
    <w:name w:val="Пункт1"/>
    <w:basedOn w:val="Normal"/>
    <w:qFormat/>
    <w:pPr>
      <w:spacing w:lineRule="exact" w:line="360" w:before="240" w:after="0"/>
      <w:jc w:val="center"/>
    </w:pPr>
    <w:rPr>
      <w:rFonts w:ascii="Arial" w:hAnsi="Arial"/>
      <w:b/>
      <w:sz w:val="28"/>
      <w:szCs w:val="28"/>
    </w:rPr>
  </w:style>
  <w:style w:type="paragraph" w:styleId="Style41" w:customStyle="1">
    <w:name w:val="Подподподпункт"/>
    <w:basedOn w:val="Normal"/>
    <w:qFormat/>
    <w:pPr>
      <w:tabs>
        <w:tab w:val="clear" w:pos="720"/>
        <w:tab w:val="left" w:pos="1134" w:leader="none"/>
        <w:tab w:val="left" w:pos="1701" w:leader="none"/>
      </w:tabs>
      <w:spacing w:lineRule="exact" w:line="360"/>
      <w:jc w:val="both"/>
    </w:pPr>
    <w:rPr>
      <w:rFonts w:ascii="Times New Roman" w:hAnsi="Times New Roman"/>
      <w:sz w:val="28"/>
      <w:szCs w:val="20"/>
    </w:rPr>
  </w:style>
  <w:style w:type="paragraph" w:styleId="Style42" w:customStyle="1">
    <w:name w:val="Пункт Знак"/>
    <w:basedOn w:val="Normal"/>
    <w:qFormat/>
    <w:pPr>
      <w:tabs>
        <w:tab w:val="clear" w:pos="720"/>
        <w:tab w:val="left" w:pos="851" w:leader="none"/>
        <w:tab w:val="left" w:pos="1134" w:leader="none"/>
      </w:tabs>
      <w:spacing w:lineRule="exact" w:line="360"/>
      <w:jc w:val="both"/>
    </w:pPr>
    <w:rPr>
      <w:rFonts w:ascii="Times New Roman" w:hAnsi="Times New Roman"/>
      <w:b/>
      <w:sz w:val="28"/>
      <w:szCs w:val="20"/>
    </w:rPr>
  </w:style>
  <w:style w:type="paragraph" w:styleId="Style43" w:customStyle="1">
    <w:name w:val="Текст таблицы"/>
    <w:basedOn w:val="Normal"/>
    <w:qFormat/>
    <w:pPr>
      <w:spacing w:lineRule="exact" w:line="240" w:before="40" w:after="40"/>
      <w:ind w:left="57" w:right="57" w:hanging="0"/>
    </w:pPr>
    <w:rPr>
      <w:rFonts w:ascii="Times New Roman" w:hAnsi="Times New Roman"/>
    </w:rPr>
  </w:style>
  <w:style w:type="paragraph" w:styleId="Style44" w:customStyle="1">
    <w:name w:val="Обычный+ без отступа"/>
    <w:basedOn w:val="Normal"/>
    <w:qFormat/>
    <w:pPr>
      <w:spacing w:lineRule="exact" w:line="360" w:before="120" w:after="0"/>
      <w:jc w:val="both"/>
    </w:pPr>
    <w:rPr>
      <w:rFonts w:ascii="Times New Roman" w:hAnsi="Times New Roman" w:eastAsia="MS Mincho"/>
      <w:sz w:val="28"/>
      <w:szCs w:val="28"/>
    </w:rPr>
  </w:style>
  <w:style w:type="paragraph" w:styleId="Caption11111" w:customStyle="1">
    <w:name w:val="Caption11111"/>
    <w:basedOn w:val="Normal"/>
    <w:qFormat/>
    <w:pPr>
      <w:spacing w:before="120" w:after="120"/>
    </w:pPr>
    <w:rPr>
      <w:i/>
      <w:iCs/>
    </w:rPr>
  </w:style>
  <w:style w:type="paragraph" w:styleId="Style45" w:customStyle="1">
    <w:name w:val="Содержимое таблицы"/>
    <w:basedOn w:val="Normal"/>
    <w:qFormat/>
    <w:pPr>
      <w:suppressLineNumbers/>
    </w:pPr>
    <w:rPr/>
  </w:style>
  <w:style w:type="paragraph" w:styleId="Style46" w:customStyle="1">
    <w:name w:val="Заголовок таблицы"/>
    <w:basedOn w:val="Style4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WW8Num5" w:customStyle="1">
    <w:name w:val="WW8Num5"/>
    <w:qFormat/>
  </w:style>
  <w:style w:type="numbering" w:styleId="WW8Num3" w:customStyle="1">
    <w:name w:val="WW8Num3"/>
    <w:qFormat/>
  </w:style>
  <w:style w:type="numbering" w:styleId="WW8Num2" w:customStyle="1">
    <w:name w:val="WW8Num2"/>
    <w:qFormat/>
  </w:style>
  <w:style w:type="numbering" w:styleId="WW8Num14" w:customStyle="1">
    <w:name w:val="WW8Num14"/>
    <w:qFormat/>
  </w:style>
  <w:style w:type="numbering" w:styleId="WW8Num8" w:customStyle="1">
    <w:name w:val="WW8Num8"/>
    <w:qFormat/>
  </w:style>
  <w:style w:type="numbering" w:styleId="WW8Num9" w:customStyle="1">
    <w:name w:val="WW8Num9"/>
    <w:qFormat/>
  </w:style>
  <w:style w:type="numbering" w:styleId="WW8Num10" w:customStyle="1">
    <w:name w:val="WW8Num10"/>
    <w:qFormat/>
  </w:style>
  <w:style w:type="numbering" w:styleId="WW8Num11" w:customStyle="1">
    <w:name w:val="WW8Num11"/>
    <w:qFormat/>
  </w:style>
  <w:style w:type="numbering" w:styleId="WW8Num12" w:customStyle="1">
    <w:name w:val="WW8Num12"/>
    <w:qFormat/>
  </w:style>
  <w:style w:type="numbering" w:styleId="WW8Num15" w:customStyle="1">
    <w:name w:val="WW8Num15"/>
    <w:qFormat/>
  </w:style>
  <w:style w:type="numbering" w:styleId="WW8Num13" w:customStyle="1">
    <w:name w:val="WW8Num13"/>
    <w:qFormat/>
  </w:style>
  <w:style w:type="numbering" w:styleId="34281084181" w:customStyle="1">
    <w:name w:val="34281084181"/>
    <w:qFormat/>
  </w:style>
  <w:style w:type="numbering" w:styleId="27134417211" w:customStyle="1">
    <w:name w:val="27134417211"/>
    <w:qFormat/>
  </w:style>
  <w:style w:type="numbering" w:styleId="41487512701" w:customStyle="1">
    <w:name w:val="41487512701"/>
    <w:qFormat/>
  </w:style>
  <w:style w:type="numbering" w:styleId="27974803401" w:customStyle="1">
    <w:name w:val="27974803401"/>
    <w:qFormat/>
  </w:style>
  <w:style w:type="numbering" w:styleId="21553660691" w:customStyle="1">
    <w:name w:val="21553660691"/>
    <w:qFormat/>
  </w:style>
  <w:style w:type="numbering" w:styleId="26819183311" w:customStyle="1">
    <w:name w:val="26819183311"/>
    <w:qFormat/>
  </w:style>
  <w:style w:type="numbering" w:styleId="2336723421" w:customStyle="1">
    <w:name w:val="2336723421"/>
    <w:qFormat/>
  </w:style>
  <w:style w:type="numbering" w:styleId="10410691701" w:customStyle="1">
    <w:name w:val="10410691701"/>
    <w:qFormat/>
  </w:style>
  <w:style w:type="numbering" w:styleId="8044608101" w:customStyle="1">
    <w:name w:val="8044608101"/>
    <w:qFormat/>
  </w:style>
  <w:style w:type="numbering" w:styleId="8250384351" w:customStyle="1">
    <w:name w:val="8250384351"/>
    <w:qFormat/>
  </w:style>
  <w:style w:type="numbering" w:styleId="29847879621" w:customStyle="1">
    <w:name w:val="29847879621"/>
    <w:qFormat/>
  </w:style>
  <w:style w:type="numbering" w:styleId="7701712271" w:customStyle="1">
    <w:name w:val="7701712271"/>
    <w:qFormat/>
  </w:style>
  <w:style w:type="numbering" w:styleId="32969065891" w:customStyle="1">
    <w:name w:val="32969065891"/>
    <w:qFormat/>
  </w:style>
  <w:style w:type="numbering" w:styleId="14419557611" w:customStyle="1">
    <w:name w:val="14419557611"/>
    <w:qFormat/>
  </w:style>
  <w:style w:type="numbering" w:styleId="1699123231" w:customStyle="1">
    <w:name w:val="1699123231"/>
    <w:qFormat/>
  </w:style>
  <w:style w:type="numbering" w:styleId="38493279131" w:customStyle="1">
    <w:name w:val="38493279131"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5">
    <w:name w:val="Table Grid"/>
    <w:basedOn w:val="a6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6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CBC417-001C-417A-84D2-05DC5FD57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AlterOffice/3.4.0.9$Linux_X86_64 LibreOffice_project/b8daf9e823b1a5463a2f48435ddc2e8696e7d4fc</Application>
  <AppVersion>15.0000</AppVersion>
  <Pages>8</Pages>
  <Words>1395</Words>
  <Characters>9583</Characters>
  <CharactersWithSpaces>10563</CharactersWithSpaces>
  <Paragraphs>232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2026-04-01T13:14:00Z</dcterms:created>
  <dc:creator>Быстров Олег Геннадьевич</dc:creator>
  <dc:description/>
  <dc:language>ru-RU</dc:language>
  <cp:lastModifiedBy/>
  <cp:lastPrinted>2026-09-08T14:57:12Z</cp:lastPrinted>
  <dcterms:modified xsi:type="dcterms:W3CDTF">2026-09-08T14:56:59Z</dcterms:modified>
  <cp:revision>11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