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3"/>
        <w:rPr>
          <w:b/>
          <w:bCs/>
        </w:rPr>
        <w:outlineLvl w:val="0"/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rPr>
          <w:rFonts w:ascii="Arial" w:hAnsi="Arial"/>
          <w:b/>
          <w:bCs/>
          <w:sz w:val="22"/>
          <w:szCs w:val="22"/>
          <w:lang w:val="en-US" w:eastAsia="en-US"/>
        </w:rPr>
        <w:outlineLvl w:val="0"/>
      </w:pPr>
      <w:r>
        <w:rPr>
          <w:rFonts w:ascii="Arial" w:hAnsi="Arial"/>
          <w:b/>
          <w:bCs/>
          <w:sz w:val="22"/>
          <w:szCs w:val="22"/>
          <w:lang w:val="en-US" w:eastAsia="en-US"/>
        </w:rPr>
      </w:r>
      <w:r>
        <w:rPr>
          <w:rFonts w:ascii="Arial" w:hAnsi="Arial"/>
          <w:b/>
          <w:bCs/>
          <w:sz w:val="22"/>
          <w:szCs w:val="22"/>
          <w:lang w:val="en-US" w:eastAsia="en-US"/>
        </w:rPr>
      </w:r>
      <w:r>
        <w:rPr>
          <w:rFonts w:ascii="Arial" w:hAnsi="Arial"/>
          <w:b/>
          <w:bCs/>
          <w:sz w:val="22"/>
          <w:szCs w:val="22"/>
          <w:lang w:val="en-US" w:eastAsia="en-US"/>
        </w:rPr>
      </w:r>
    </w:p>
    <w:p>
      <w:pPr>
        <w:jc w:val="center"/>
        <w:rPr>
          <w:rFonts w:ascii="Arial" w:hAnsi="Arial"/>
          <w:b/>
          <w:bCs/>
          <w:sz w:val="22"/>
          <w:szCs w:val="22"/>
          <w:lang w:val="en-US" w:eastAsia="en-US"/>
        </w:rPr>
        <w:outlineLvl w:val="0"/>
      </w:pPr>
      <w:r>
        <w:rPr>
          <w:rFonts w:ascii="Arial" w:hAnsi="Arial"/>
          <w:b/>
          <w:bCs/>
          <w:sz w:val="22"/>
          <w:szCs w:val="22"/>
          <w:lang w:val="en-US" w:eastAsia="en-US"/>
        </w:rPr>
      </w:r>
      <w:r>
        <w:rPr>
          <w:rFonts w:ascii="Arial" w:hAnsi="Arial"/>
          <w:b/>
          <w:bCs/>
          <w:sz w:val="22"/>
          <w:szCs w:val="22"/>
          <w:lang w:val="en-US" w:eastAsia="en-US"/>
        </w:rPr>
      </w:r>
      <w:r>
        <w:rPr>
          <w:rFonts w:ascii="Arial" w:hAnsi="Arial"/>
          <w:b/>
          <w:bCs/>
          <w:sz w:val="22"/>
          <w:szCs w:val="22"/>
          <w:lang w:val="en-US" w:eastAsia="en-US"/>
        </w:rPr>
      </w:r>
    </w:p>
    <w:p>
      <w:pPr>
        <w:jc w:val="center"/>
        <w:rPr>
          <w:rFonts w:ascii="Arial" w:hAnsi="Arial"/>
          <w:b/>
          <w:bCs/>
          <w:sz w:val="22"/>
          <w:szCs w:val="22"/>
          <w:lang w:val="en-US" w:eastAsia="en-US"/>
        </w:rPr>
        <w:outlineLvl w:val="0"/>
      </w:pPr>
      <w:r>
        <w:rPr>
          <w:rFonts w:ascii="Arial" w:hAnsi="Arial"/>
          <w:b/>
          <w:bCs/>
          <w:sz w:val="22"/>
          <w:szCs w:val="22"/>
          <w:lang w:val="en-US" w:eastAsia="en-US"/>
        </w:rPr>
      </w:r>
      <w:r>
        <w:rPr>
          <w:rFonts w:ascii="Arial" w:hAnsi="Arial"/>
          <w:b/>
          <w:bCs/>
          <w:sz w:val="22"/>
          <w:szCs w:val="22"/>
          <w:lang w:val="en-US" w:eastAsia="en-US"/>
        </w:rPr>
      </w:r>
      <w:r>
        <w:rPr>
          <w:rFonts w:ascii="Arial" w:hAnsi="Arial"/>
          <w:b/>
          <w:bCs/>
          <w:sz w:val="22"/>
          <w:szCs w:val="22"/>
          <w:lang w:val="en-US" w:eastAsia="en-US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2"/>
          <w:szCs w:val="22"/>
        </w:rPr>
      </w:pPr>
      <w:r>
        <w:rPr>
          <w:b/>
          <w:spacing w:val="1"/>
          <w:sz w:val="22"/>
          <w:szCs w:val="22"/>
        </w:rPr>
        <w:t xml:space="preserve">ИЗВЕЩЕНИЕ</w:t>
      </w:r>
      <w:r>
        <w:rPr>
          <w:b/>
          <w:spacing w:val="1"/>
          <w:sz w:val="22"/>
          <w:szCs w:val="22"/>
        </w:rPr>
      </w:r>
      <w:r>
        <w:rPr>
          <w:b/>
          <w:spacing w:val="1"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rFonts w:ascii="Liberation Serif" w:hAnsi="Liberation Serif"/>
          <w:b/>
          <w:i/>
          <w:sz w:val="22"/>
          <w:szCs w:val="22"/>
        </w:rPr>
      </w:pPr>
      <w:r>
        <w:rPr>
          <w:b/>
          <w:spacing w:val="1"/>
          <w:sz w:val="22"/>
          <w:szCs w:val="22"/>
        </w:rPr>
        <w:t xml:space="preserve">ОБ АУКЦИОНЕ В ЭЛЕКТРОННОЙ ФОРМЕ</w:t>
      </w:r>
      <w:r>
        <w:rPr>
          <w:rFonts w:ascii="Liberation Serif" w:hAnsi="Liberation Serif"/>
          <w:b/>
          <w:i/>
          <w:sz w:val="22"/>
          <w:szCs w:val="22"/>
        </w:rPr>
        <w:t xml:space="preserve"> </w:t>
      </w:r>
      <w:r>
        <w:rPr>
          <w:rFonts w:ascii="Liberation Serif" w:hAnsi="Liberation Serif"/>
          <w:b/>
          <w:i/>
          <w:sz w:val="22"/>
          <w:szCs w:val="22"/>
        </w:rPr>
      </w:r>
      <w:r>
        <w:rPr>
          <w:rFonts w:ascii="Liberation Serif" w:hAnsi="Liberation Serif"/>
          <w:b/>
          <w:i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rFonts w:ascii="Liberation Serif" w:hAnsi="Liberation Serif"/>
          <w:b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</w:r>
      <w:r>
        <w:rPr>
          <w:rFonts w:ascii="Liberation Serif" w:hAnsi="Liberation Serif"/>
          <w:b/>
          <w:i/>
          <w:sz w:val="22"/>
          <w:szCs w:val="22"/>
        </w:rPr>
      </w:r>
      <w:r>
        <w:rPr>
          <w:rFonts w:ascii="Liberation Serif" w:hAnsi="Liberation Serif"/>
          <w:b/>
          <w:i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bCs/>
          <w:spacing w:val="1"/>
          <w:sz w:val="22"/>
          <w:szCs w:val="22"/>
        </w:rPr>
      </w:pPr>
      <w:r>
        <w:rPr>
          <w:bCs/>
          <w:spacing w:val="1"/>
          <w:sz w:val="22"/>
          <w:szCs w:val="22"/>
        </w:rPr>
        <w:t xml:space="preserve">на право заключения договора </w:t>
      </w:r>
      <w:r>
        <w:rPr>
          <w:bCs/>
          <w:spacing w:val="1"/>
          <w:sz w:val="22"/>
          <w:szCs w:val="22"/>
        </w:rPr>
        <w:t xml:space="preserve">на поставку продуктов питания</w:t>
      </w:r>
      <w:r>
        <w:rPr>
          <w:bCs/>
          <w:spacing w:val="1"/>
          <w:sz w:val="22"/>
          <w:szCs w:val="22"/>
        </w:rPr>
        <w:t xml:space="preserve">:</w:t>
      </w:r>
      <w:r>
        <w:rPr>
          <w:bCs/>
          <w:spacing w:val="1"/>
          <w:sz w:val="22"/>
          <w:szCs w:val="22"/>
        </w:rPr>
      </w:r>
      <w:r>
        <w:rPr>
          <w:bCs/>
          <w:spacing w:val="1"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bCs/>
          <w:spacing w:val="1"/>
          <w:sz w:val="22"/>
          <w:szCs w:val="22"/>
        </w:rPr>
      </w:pPr>
      <w:r>
        <w:rPr>
          <w:b/>
          <w:spacing w:val="1"/>
          <w:sz w:val="22"/>
          <w:szCs w:val="22"/>
        </w:rPr>
        <w:t xml:space="preserve"> «хлеб и хлебобулочные</w:t>
      </w:r>
      <w:r>
        <w:rPr>
          <w:b/>
          <w:spacing w:val="1"/>
          <w:sz w:val="22"/>
          <w:szCs w:val="22"/>
        </w:rPr>
        <w:t xml:space="preserve"> и кондитерские</w:t>
      </w:r>
      <w:r>
        <w:rPr>
          <w:b/>
          <w:spacing w:val="1"/>
          <w:sz w:val="22"/>
          <w:szCs w:val="22"/>
        </w:rPr>
        <w:t xml:space="preserve"> изделия»</w:t>
      </w:r>
      <w:r>
        <w:rPr>
          <w:bCs/>
          <w:spacing w:val="1"/>
          <w:sz w:val="22"/>
          <w:szCs w:val="22"/>
        </w:rPr>
        <w:t xml:space="preserve"> </w:t>
      </w:r>
      <w:r>
        <w:rPr>
          <w:bCs/>
          <w:spacing w:val="1"/>
          <w:sz w:val="22"/>
          <w:szCs w:val="22"/>
        </w:rPr>
        <w:t xml:space="preserve"> </w:t>
      </w:r>
      <w:r>
        <w:rPr>
          <w:bCs/>
          <w:spacing w:val="1"/>
          <w:sz w:val="22"/>
          <w:szCs w:val="22"/>
        </w:rPr>
      </w:r>
      <w:r>
        <w:rPr>
          <w:bCs/>
          <w:spacing w:val="1"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bCs/>
          <w:color w:val="ff0000"/>
          <w:spacing w:val="1"/>
          <w:sz w:val="22"/>
          <w:szCs w:val="22"/>
        </w:rPr>
      </w:pPr>
      <w:r>
        <w:rPr>
          <w:bCs/>
          <w:spacing w:val="1"/>
          <w:sz w:val="22"/>
          <w:szCs w:val="22"/>
        </w:rPr>
        <w:t xml:space="preserve">для МАДОУ «ДС №4 «Морозко».</w:t>
      </w:r>
      <w:r>
        <w:rPr>
          <w:b/>
          <w:spacing w:val="1"/>
          <w:sz w:val="22"/>
          <w:szCs w:val="22"/>
        </w:rPr>
        <w:t xml:space="preserve">, </w:t>
      </w:r>
      <w:r>
        <w:rPr>
          <w:bCs/>
          <w:spacing w:val="1"/>
          <w:sz w:val="22"/>
          <w:szCs w:val="22"/>
        </w:rPr>
        <w:t xml:space="preserve">участниками которого могут являться только субъекты малого и среднего предпринимательства </w:t>
      </w:r>
      <w:r>
        <w:rPr>
          <w:bCs/>
          <w:color w:val="ff0000"/>
          <w:spacing w:val="1"/>
          <w:sz w:val="22"/>
          <w:szCs w:val="22"/>
        </w:rPr>
      </w:r>
      <w:r>
        <w:rPr>
          <w:bCs/>
          <w:color w:val="ff0000"/>
          <w:spacing w:val="1"/>
          <w:sz w:val="22"/>
          <w:szCs w:val="22"/>
        </w:rPr>
      </w:r>
    </w:p>
    <w:p>
      <w:pPr>
        <w:jc w:val="center"/>
        <w:tabs>
          <w:tab w:val="left" w:pos="5442" w:leader="none"/>
        </w:tabs>
        <w:rPr>
          <w:bCs/>
          <w:iCs/>
          <w:sz w:val="22"/>
          <w:szCs w:val="22"/>
          <w:lang w:eastAsia="en-US"/>
        </w:rPr>
      </w:pPr>
      <w:r>
        <w:rPr>
          <w:bCs/>
          <w:iCs/>
          <w:sz w:val="22"/>
          <w:szCs w:val="22"/>
          <w:lang w:eastAsia="en-US"/>
        </w:rPr>
      </w:r>
      <w:r>
        <w:rPr>
          <w:bCs/>
          <w:iCs/>
          <w:sz w:val="22"/>
          <w:szCs w:val="22"/>
          <w:lang w:eastAsia="en-US"/>
        </w:rPr>
      </w:r>
      <w:r>
        <w:rPr>
          <w:bCs/>
          <w:iCs/>
          <w:sz w:val="22"/>
          <w:szCs w:val="22"/>
          <w:lang w:eastAsia="en-US"/>
        </w:rPr>
      </w:r>
    </w:p>
    <w:p>
      <w:pPr>
        <w:jc w:val="center"/>
        <w:spacing w:line="276" w:lineRule="auto"/>
        <w:rPr>
          <w:bCs/>
          <w:iCs/>
          <w:sz w:val="22"/>
          <w:szCs w:val="22"/>
          <w:lang w:eastAsia="en-US"/>
        </w:rPr>
        <w:outlineLvl w:val="0"/>
      </w:pPr>
      <w:r>
        <w:rPr>
          <w:bCs/>
          <w:iCs/>
          <w:sz w:val="22"/>
          <w:szCs w:val="22"/>
          <w:lang w:eastAsia="en-US"/>
        </w:rPr>
      </w:r>
      <w:r>
        <w:rPr>
          <w:bCs/>
          <w:iCs/>
          <w:sz w:val="22"/>
          <w:szCs w:val="22"/>
          <w:lang w:eastAsia="en-US"/>
        </w:rPr>
      </w:r>
      <w:r>
        <w:rPr>
          <w:bCs/>
          <w:iCs/>
          <w:sz w:val="22"/>
          <w:szCs w:val="22"/>
          <w:lang w:eastAsia="en-US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55"/>
        <w:gridCol w:w="7095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bottom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Место, дата начала и дата окончания срока подачи заявок на участие и их рассмотрения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(в соответствии с частями 9, 10 статьи 4 Федерального закона № 223-ФЗ)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Место, дата начала приема заявок 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торговая площадка Российский аукционный дом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площадки в сети Интернет: </w:t>
            </w:r>
            <w:hyperlink r:id="rId11" w:tooltip="https://tender.lot-online.ru" w:history="1">
              <w:r>
                <w:rPr>
                  <w:rStyle w:val="913"/>
                  <w:sz w:val="22"/>
                  <w:szCs w:val="22"/>
                </w:rPr>
                <w:t xml:space="preserve">https://tender.lot-online.ru</w:t>
              </w:r>
            </w:hyperlink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момента размещения информации об осуществлении закупки на официальном сайте ЕИС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highlight w:val="none"/>
                <w:lang w:val="en-US"/>
              </w:rPr>
              <w:t xml:space="preserve">28 </w:t>
            </w:r>
            <w:r>
              <w:rPr>
                <w:b/>
                <w:bCs/>
                <w:sz w:val="22"/>
                <w:szCs w:val="22"/>
                <w:highlight w:val="none"/>
                <w:lang w:val="en-US"/>
              </w:rPr>
              <w:t xml:space="preserve">о</w:t>
            </w:r>
            <w:r>
              <w:rPr>
                <w:b/>
                <w:bCs/>
                <w:sz w:val="22"/>
                <w:szCs w:val="22"/>
                <w:highlight w:val="none"/>
                <w:lang w:val="en-US"/>
              </w:rPr>
              <w:t xml:space="preserve">к</w:t>
            </w:r>
            <w:r>
              <w:rPr>
                <w:b/>
                <w:bCs/>
                <w:sz w:val="22"/>
                <w:szCs w:val="22"/>
                <w:highlight w:val="none"/>
                <w:lang w:val="en-US"/>
              </w:rPr>
              <w:t xml:space="preserve">т</w:t>
            </w:r>
            <w:r>
              <w:rPr>
                <w:b/>
                <w:bCs/>
                <w:sz w:val="22"/>
                <w:szCs w:val="22"/>
                <w:highlight w:val="none"/>
                <w:lang w:val="en-US"/>
              </w:rPr>
              <w:t xml:space="preserve">я</w:t>
            </w:r>
            <w:r>
              <w:rPr>
                <w:b/>
                <w:bCs/>
                <w:sz w:val="22"/>
                <w:szCs w:val="22"/>
                <w:highlight w:val="none"/>
                <w:lang w:val="en-US"/>
              </w:rPr>
              <w:t xml:space="preserve">б</w:t>
            </w:r>
            <w:r>
              <w:rPr>
                <w:b/>
                <w:bCs/>
                <w:sz w:val="22"/>
                <w:szCs w:val="22"/>
                <w:highlight w:val="none"/>
                <w:lang w:val="en-US"/>
              </w:rPr>
              <w:t xml:space="preserve">р</w:t>
            </w:r>
            <w:r>
              <w:rPr>
                <w:b/>
                <w:bCs/>
                <w:sz w:val="22"/>
                <w:szCs w:val="22"/>
                <w:highlight w:val="none"/>
                <w:lang w:val="en-US"/>
              </w:rPr>
              <w:t xml:space="preserve">я</w:t>
            </w:r>
            <w:r>
              <w:rPr>
                <w:b/>
                <w:bCs/>
                <w:sz w:val="22"/>
                <w:szCs w:val="22"/>
                <w:highlight w:val="none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highlight w:val="none"/>
                <w:lang w:val="en-US"/>
              </w:rPr>
              <w:t xml:space="preserve">2</w:t>
            </w:r>
            <w:r>
              <w:rPr>
                <w:b/>
                <w:bCs/>
                <w:sz w:val="22"/>
                <w:szCs w:val="22"/>
                <w:highlight w:val="none"/>
                <w:lang w:val="en-US"/>
              </w:rPr>
              <w:t xml:space="preserve">0</w:t>
            </w:r>
            <w:r>
              <w:rPr>
                <w:b/>
                <w:bCs/>
                <w:sz w:val="22"/>
                <w:szCs w:val="22"/>
                <w:highlight w:val="none"/>
                <w:lang w:val="en-US"/>
              </w:rPr>
              <w:t xml:space="preserve">2</w:t>
            </w:r>
            <w:r>
              <w:rPr>
                <w:b/>
                <w:bCs/>
                <w:sz w:val="22"/>
                <w:szCs w:val="22"/>
                <w:highlight w:val="none"/>
                <w:lang w:val="en-US"/>
              </w:rPr>
              <w:t xml:space="preserve">6</w:t>
            </w:r>
            <w:r>
              <w:rPr>
                <w:b/>
                <w:bCs/>
                <w:sz w:val="22"/>
                <w:szCs w:val="22"/>
                <w:highlight w:val="none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highlight w:val="none"/>
                <w:lang w:val="en-US"/>
              </w:rPr>
              <w:t xml:space="preserve">г</w:t>
            </w:r>
            <w:r>
              <w:rPr>
                <w:b/>
                <w:bCs/>
                <w:sz w:val="22"/>
                <w:szCs w:val="22"/>
                <w:highlight w:val="none"/>
                <w:lang w:val="en-US"/>
              </w:rPr>
              <w:t xml:space="preserve">о</w:t>
            </w:r>
            <w:r>
              <w:rPr>
                <w:b/>
                <w:bCs/>
                <w:sz w:val="22"/>
                <w:szCs w:val="22"/>
                <w:highlight w:val="none"/>
                <w:lang w:val="en-US"/>
              </w:rPr>
              <w:t xml:space="preserve">д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Место, дата и время окончания срока подачи заявок 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торговая площадка Российский аукционный дом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площадки в сети Интернет: </w:t>
            </w:r>
            <w:hyperlink r:id="rId12" w:tooltip="https://tender.lot-online.ru" w:history="1">
              <w:r>
                <w:rPr>
                  <w:rStyle w:val="913"/>
                  <w:sz w:val="22"/>
                  <w:szCs w:val="22"/>
                </w:rPr>
                <w:t xml:space="preserve">https://tender.lot-online.ru</w:t>
              </w:r>
            </w:hyperlink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05</w:t>
            </w:r>
            <w:r>
              <w:rPr>
                <w:b/>
                <w:bCs/>
                <w:sz w:val="22"/>
                <w:szCs w:val="22"/>
              </w:rPr>
              <w:t xml:space="preserve"> ноября </w:t>
            </w:r>
            <w:r>
              <w:rPr>
                <w:b/>
                <w:bCs/>
                <w:sz w:val="22"/>
                <w:szCs w:val="22"/>
              </w:rPr>
              <w:t xml:space="preserve"> 202</w:t>
            </w:r>
            <w:r>
              <w:rPr>
                <w:b/>
                <w:bCs/>
                <w:sz w:val="22"/>
                <w:szCs w:val="22"/>
              </w:rPr>
              <w:t xml:space="preserve">6</w:t>
            </w:r>
            <w:r>
              <w:rPr>
                <w:b/>
                <w:bCs/>
                <w:sz w:val="22"/>
                <w:szCs w:val="22"/>
              </w:rPr>
              <w:t xml:space="preserve"> года</w:t>
            </w:r>
            <w:r>
              <w:rPr>
                <w:sz w:val="22"/>
                <w:szCs w:val="22"/>
              </w:rPr>
              <w:t xml:space="preserve">, 10.00 (местное время заказчика)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Место, дата рассмотрения первых частей заявок 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месту нахождения Заказчика.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</w:t>
            </w:r>
            <w:r>
              <w:rPr>
                <w:b/>
                <w:bCs/>
                <w:sz w:val="22"/>
                <w:szCs w:val="22"/>
              </w:rPr>
              <w:t xml:space="preserve">6</w:t>
            </w:r>
            <w:r>
              <w:rPr>
                <w:b/>
                <w:bCs/>
                <w:sz w:val="22"/>
                <w:szCs w:val="22"/>
              </w:rPr>
              <w:t xml:space="preserve"> ноября</w:t>
            </w:r>
            <w:r>
              <w:rPr>
                <w:b/>
                <w:bCs/>
                <w:sz w:val="22"/>
                <w:szCs w:val="22"/>
              </w:rPr>
              <w:t xml:space="preserve"> 2026</w:t>
            </w:r>
            <w:r>
              <w:rPr>
                <w:b/>
                <w:bCs/>
                <w:sz w:val="22"/>
                <w:szCs w:val="22"/>
              </w:rPr>
              <w:t xml:space="preserve">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Место, дата и время проведения аукциона в электронной форме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торговая площадка Российский аукционный дом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площадки в сети Интернет: </w:t>
            </w:r>
            <w:hyperlink r:id="rId13" w:tooltip="https://tender.lot-online.ru" w:history="1">
              <w:r>
                <w:rPr>
                  <w:rStyle w:val="913"/>
                  <w:sz w:val="22"/>
                  <w:szCs w:val="22"/>
                </w:rPr>
                <w:t xml:space="preserve">https://tender.lot-online.ru</w:t>
              </w:r>
            </w:hyperlink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09 ноября</w:t>
            </w:r>
            <w:r>
              <w:rPr>
                <w:b/>
                <w:bCs/>
                <w:sz w:val="22"/>
                <w:szCs w:val="22"/>
              </w:rPr>
              <w:t xml:space="preserve"> 2026</w:t>
            </w:r>
            <w:r>
              <w:rPr>
                <w:b/>
                <w:bCs/>
                <w:sz w:val="22"/>
                <w:szCs w:val="22"/>
              </w:rPr>
              <w:t xml:space="preserve"> года, 10.00 </w:t>
            </w:r>
            <w:r>
              <w:rPr>
                <w:sz w:val="22"/>
                <w:szCs w:val="22"/>
              </w:rPr>
              <w:t xml:space="preserve">(местное время заказчика)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Место, дата </w:t>
            </w:r>
            <w:r>
              <w:rPr>
                <w:b/>
                <w:color w:val="000000"/>
                <w:sz w:val="22"/>
                <w:szCs w:val="22"/>
              </w:rPr>
              <w:t xml:space="preserve">рассмотрения вторых частей заявок и </w:t>
            </w:r>
            <w:r>
              <w:rPr>
                <w:b/>
                <w:bCs/>
                <w:sz w:val="22"/>
                <w:szCs w:val="22"/>
              </w:rPr>
              <w:t xml:space="preserve">подведения итогов 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месту нахождения Заказчика.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 ноября</w:t>
            </w:r>
            <w:r>
              <w:rPr>
                <w:b/>
                <w:bCs/>
                <w:sz w:val="22"/>
                <w:szCs w:val="22"/>
              </w:rPr>
              <w:t xml:space="preserve">  202</w:t>
            </w:r>
            <w:r>
              <w:rPr>
                <w:b/>
                <w:bCs/>
                <w:sz w:val="22"/>
                <w:szCs w:val="22"/>
              </w:rPr>
              <w:t xml:space="preserve">6</w:t>
            </w:r>
            <w:r>
              <w:rPr>
                <w:b/>
                <w:bCs/>
                <w:sz w:val="22"/>
                <w:szCs w:val="22"/>
              </w:rPr>
              <w:t xml:space="preserve"> года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Начало срока предоставления участникам закупки разъяснений положений документации о закупке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С момента размещения информации об осуществлении закупки на официальном сайте ЕИС.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Форма, порядок предоставления участникам закупки разъяснений положений документации о закупке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В электронной форме, в соответствии с регламентом </w:t>
            </w:r>
            <w:r>
              <w:rPr>
                <w:sz w:val="22"/>
                <w:szCs w:val="22"/>
              </w:rPr>
              <w:t xml:space="preserve">электронной площадки в сети Интернет: </w:t>
            </w:r>
            <w:r>
              <w:t xml:space="preserve">https://tender.lot-online.ru</w:t>
            </w:r>
            <w:r>
              <w:rPr>
                <w:bCs/>
                <w:iCs/>
                <w:sz w:val="22"/>
                <w:szCs w:val="22"/>
              </w:rPr>
            </w:r>
            <w:r>
              <w:rPr>
                <w:bCs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Окончание срока предоставления участникам закупки разъяснений положений документации о закупке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6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05 ноября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202</w:t>
            </w:r>
            <w:r>
              <w:rPr>
                <w:b/>
                <w:bCs/>
                <w:sz w:val="22"/>
                <w:szCs w:val="22"/>
              </w:rPr>
              <w:t xml:space="preserve">6</w:t>
            </w:r>
            <w:r>
              <w:rPr>
                <w:b/>
                <w:bCs/>
                <w:sz w:val="22"/>
                <w:szCs w:val="22"/>
              </w:rPr>
              <w:t xml:space="preserve"> года</w:t>
            </w:r>
            <w:r>
              <w:rPr>
                <w:rFonts w:cs="Times New Roman"/>
                <w:sz w:val="22"/>
                <w:szCs w:val="22"/>
              </w:rPr>
              <w:t xml:space="preserve">, 09.59. (местное время заказчика)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202</w:t>
      </w:r>
      <w:r>
        <w:rPr>
          <w:b/>
          <w:sz w:val="22"/>
          <w:szCs w:val="22"/>
        </w:rPr>
        <w:t xml:space="preserve">6</w:t>
      </w:r>
      <w:r>
        <w:rPr>
          <w:b/>
          <w:bCs/>
          <w:sz w:val="22"/>
          <w:szCs w:val="22"/>
        </w:rPr>
        <w:t xml:space="preserve"> г.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rFonts w:ascii="Arial" w:hAnsi="Arial"/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br w:type="page" w:clear="all"/>
      </w:r>
      <w:r>
        <w:rPr>
          <w:rFonts w:ascii="Arial" w:hAnsi="Arial"/>
          <w:b/>
          <w:bCs/>
          <w:sz w:val="22"/>
          <w:szCs w:val="22"/>
          <w:lang w:eastAsia="en-US"/>
        </w:rPr>
      </w:r>
      <w:r>
        <w:rPr>
          <w:rFonts w:ascii="Arial" w:hAnsi="Arial"/>
          <w:b/>
          <w:bCs/>
          <w:sz w:val="22"/>
          <w:szCs w:val="22"/>
          <w:lang w:eastAsia="en-US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47"/>
        <w:gridCol w:w="20"/>
        <w:gridCol w:w="2090"/>
        <w:gridCol w:w="24"/>
        <w:gridCol w:w="3062"/>
        <w:gridCol w:w="4007"/>
      </w:tblGrid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1. Сведения о заказчике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1.1.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Полное наименование Заказчика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right w:val="single" w:color="000000" w:sz="4" w:space="0"/>
            </w:tcBorders>
            <w:tcW w:w="3449" w:type="pct"/>
            <w:vAlign w:val="center"/>
            <w:vMerge w:val="restart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аименование Заказчика: </w:t>
            </w:r>
            <w:r>
              <w:rPr>
                <w:b/>
                <w:bCs/>
                <w:sz w:val="22"/>
                <w:szCs w:val="22"/>
              </w:rPr>
              <w:t xml:space="preserve">Муниципальное автономное дошкольное образовательное учреждение «Детский сад №4 «Морозко» (МАДОУ «ДС №4 «Морозко»)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628684, Ханты-Мансийский автономный округ-Югра, город Мегион, улица Заречная, 16/1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Jilia06@inbox.ru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Денисова Юлия Андреевна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89044676198</w:t>
            </w:r>
            <w:r>
              <w:rPr>
                <w:sz w:val="22"/>
                <w:szCs w:val="22"/>
              </w:rPr>
              <w:t xml:space="preserve">,8(34643) 3-24-97.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1.1.1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Сокращенное наименование Заказчика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4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1.2.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Адрес места нахождения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4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1.3.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Почтовый адрес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4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1.4.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Адрес электронной почты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4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i/>
                <w:color w:val="0000ff"/>
                <w:sz w:val="22"/>
                <w:szCs w:val="22"/>
                <w:u w:val="single"/>
              </w:rPr>
            </w:pPr>
            <w:r>
              <w:rPr>
                <w:i/>
                <w:color w:val="0000ff"/>
                <w:sz w:val="22"/>
                <w:szCs w:val="22"/>
                <w:u w:val="single"/>
              </w:rPr>
            </w:r>
            <w:r>
              <w:rPr>
                <w:i/>
                <w:color w:val="0000ff"/>
                <w:sz w:val="22"/>
                <w:szCs w:val="22"/>
                <w:u w:val="single"/>
              </w:rPr>
            </w:r>
            <w:r>
              <w:rPr>
                <w:i/>
                <w:color w:val="0000ff"/>
                <w:sz w:val="22"/>
                <w:szCs w:val="22"/>
                <w:u w:val="single"/>
              </w:rPr>
            </w:r>
          </w:p>
        </w:tc>
      </w:tr>
      <w:tr>
        <w:tblPrEx/>
        <w:trPr>
          <w:trHeight w:val="298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1.5.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Контактный телефон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i/>
                <w:color w:val="0000ff"/>
                <w:sz w:val="22"/>
                <w:szCs w:val="22"/>
                <w:u w:val="single"/>
              </w:rPr>
            </w:pPr>
            <w:r>
              <w:rPr>
                <w:i/>
                <w:color w:val="0000ff"/>
                <w:sz w:val="22"/>
                <w:szCs w:val="22"/>
                <w:u w:val="single"/>
              </w:rPr>
            </w:r>
            <w:r>
              <w:rPr>
                <w:i/>
                <w:color w:val="0000ff"/>
                <w:sz w:val="22"/>
                <w:szCs w:val="22"/>
                <w:u w:val="single"/>
              </w:rPr>
            </w:r>
            <w:r>
              <w:rPr>
                <w:i/>
                <w:color w:val="0000ff"/>
                <w:sz w:val="22"/>
                <w:szCs w:val="22"/>
                <w:u w:val="single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2. Сведения о закупке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Способ закупки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Аукцион в электронной форме </w:t>
            </w:r>
            <w:r>
              <w:rPr>
                <w:color w:val="000000"/>
                <w:sz w:val="22"/>
                <w:szCs w:val="22"/>
              </w:rPr>
              <w:t xml:space="preserve">на поставку продуктов </w:t>
            </w:r>
            <w:r>
              <w:rPr>
                <w:color w:val="000000"/>
                <w:sz w:val="22"/>
                <w:szCs w:val="22"/>
              </w:rPr>
              <w:t xml:space="preserve">питания </w:t>
            </w:r>
            <w:r>
              <w:rPr>
                <w:color w:val="000000"/>
                <w:sz w:val="22"/>
                <w:szCs w:val="22"/>
              </w:rPr>
              <w:t xml:space="preserve">«</w:t>
            </w:r>
            <w:r>
              <w:rPr>
                <w:color w:val="000000"/>
                <w:sz w:val="22"/>
                <w:szCs w:val="22"/>
              </w:rPr>
              <w:t xml:space="preserve">хлеб и хлебобулочные </w:t>
            </w:r>
            <w:r>
              <w:rPr>
                <w:color w:val="000000"/>
                <w:sz w:val="22"/>
                <w:szCs w:val="22"/>
              </w:rPr>
              <w:t xml:space="preserve">изделия» </w:t>
            </w:r>
            <w:r>
              <w:rPr>
                <w:color w:val="000000"/>
                <w:sz w:val="22"/>
                <w:szCs w:val="22"/>
              </w:rPr>
              <w:t xml:space="preserve">для</w:t>
            </w:r>
            <w:r>
              <w:rPr>
                <w:color w:val="000000"/>
                <w:sz w:val="22"/>
                <w:szCs w:val="22"/>
              </w:rPr>
              <w:t xml:space="preserve"> МАДОУ «ДС №4 «Морозко».</w:t>
            </w:r>
            <w:r>
              <w:rPr>
                <w:color w:val="000000"/>
                <w:sz w:val="22"/>
                <w:szCs w:val="22"/>
              </w:rPr>
              <w:t xml:space="preserve">, участниками которого могут являться только субъекты малого и среднего предпринимательства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Адрес электронной площадки в сети "Интернет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торговая площадка Российский аукционный дом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площадки в сети Интернет: https://tender.lot-online.ru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414 695 (четыреста четырнадцать тысяч шестьсот девяносто пять) </w:t>
            </w:r>
            <w:r>
              <w:rPr>
                <w:sz w:val="22"/>
                <w:szCs w:val="22"/>
              </w:rPr>
              <w:t xml:space="preserve">рублей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47</w:t>
            </w:r>
            <w:r>
              <w:rPr>
                <w:sz w:val="22"/>
                <w:szCs w:val="22"/>
              </w:rPr>
              <w:t xml:space="preserve"> копеек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</w:r>
            <w:r>
              <w:rPr>
                <w:b/>
                <w:color w:val="000000"/>
                <w:sz w:val="22"/>
                <w:szCs w:val="22"/>
              </w:rPr>
            </w:r>
            <w:r>
              <w:rPr>
                <w:b/>
                <w:color w:val="000000"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Расчет начальной (максимальной) цены произведен методом </w:t>
            </w:r>
            <w:r>
              <w:rPr>
                <w:b/>
                <w:sz w:val="22"/>
                <w:szCs w:val="22"/>
              </w:rPr>
              <w:t xml:space="preserve">сопостав</w:t>
            </w:r>
            <w:r>
              <w:rPr>
                <w:b/>
                <w:sz w:val="22"/>
                <w:szCs w:val="22"/>
              </w:rPr>
              <w:t xml:space="preserve">ления </w:t>
            </w:r>
            <w:r>
              <w:rPr>
                <w:b/>
                <w:sz w:val="22"/>
                <w:szCs w:val="22"/>
              </w:rPr>
              <w:t xml:space="preserve">рыночных</w:t>
            </w:r>
            <w:r>
              <w:rPr>
                <w:b/>
                <w:sz w:val="22"/>
                <w:szCs w:val="22"/>
              </w:rPr>
              <w:t xml:space="preserve"> цен.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Обоснование начальной (максимальной) цены в Приложении № 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Предмет договора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П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оставк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продуктов питания «хлеб и хлебобулочные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и кондитерские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изделия»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ОКПД 2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</w:t>
            </w:r>
            <w:bookmarkStart w:id="0" w:name="_Hlk212197735"/>
            <w:r>
              <w:rPr>
                <w:bCs/>
                <w:sz w:val="22"/>
                <w:szCs w:val="22"/>
                <w:lang w:val="ba-RU" w:eastAsia="en-US"/>
              </w:rPr>
              <w:t xml:space="preserve">приложение № 1</w:t>
            </w:r>
            <w:bookmarkEnd w:id="0"/>
            <w:r>
              <w:rPr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Количество товара (объем выполняемых работ, оказываемых услуг)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 1)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Требования к качеству товара (работам, услугам)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 1)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2.7.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Технические, функциональные, эксплуатационные характеристики товара (работ, услуг)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(приложение № 1)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2.8.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Срок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49" w:type="pct"/>
            <w:vAlign w:val="center"/>
            <w:textDirection w:val="lrTb"/>
            <w:noWrap w:val="false"/>
          </w:tcPr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Поставка продуктов питания должна осу</w:t>
            </w:r>
            <w:r>
              <w:rPr>
                <w:sz w:val="22"/>
                <w:szCs w:val="22"/>
              </w:rPr>
              <w:t xml:space="preserve">ществляется с </w:t>
            </w:r>
            <w:r>
              <w:rPr>
                <w:sz w:val="22"/>
                <w:szCs w:val="22"/>
              </w:rPr>
              <w:t xml:space="preserve">01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01</w:t>
            </w:r>
            <w:r>
              <w:rPr>
                <w:sz w:val="22"/>
                <w:szCs w:val="22"/>
              </w:rPr>
              <w:t xml:space="preserve">.202</w:t>
            </w: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 г по 3</w:t>
            </w: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06</w:t>
            </w:r>
            <w:r>
              <w:rPr>
                <w:sz w:val="22"/>
                <w:szCs w:val="22"/>
              </w:rPr>
              <w:t xml:space="preserve">.202</w:t>
            </w:r>
            <w:r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 xml:space="preserve">г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 (включительно). Заявка на поставку продуктов питания направляется поставщику в письменном виде, не позднее, чем за 5 дней до поставки продуктов питания. Поставка осуществляется согласно Графику </w:t>
            </w:r>
            <w:r>
              <w:rPr>
                <w:sz w:val="22"/>
                <w:szCs w:val="22"/>
              </w:rPr>
              <w:t xml:space="preserve">поставки,</w:t>
            </w:r>
            <w:r>
              <w:rPr>
                <w:sz w:val="22"/>
                <w:szCs w:val="22"/>
              </w:rPr>
              <w:t xml:space="preserve"> являющемуся неотъемлемой частью Договора.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2.9.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 поставки товара, выполнения </w:t>
            </w:r>
            <w:r>
              <w:rPr>
                <w:b/>
                <w:bCs/>
                <w:sz w:val="22"/>
                <w:szCs w:val="22"/>
              </w:rPr>
              <w:t xml:space="preserve">работ, оказания услуг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344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ХМАО-Югра, г. Мегион, ул. Заречная, д. 16/1, корпус №1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ХМАО-Югра, г. Мегион, ул. Заречная, д. 16/4, корпус №2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МАДОУ «ДС №4 «Морозко»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Условия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проектом договора (приложение № </w:t>
            </w:r>
            <w:r>
              <w:rPr>
                <w:sz w:val="22"/>
                <w:szCs w:val="22"/>
              </w:rPr>
              <w:t xml:space="preserve">2)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Форма, порядок предоставления разъяснений участникам закупки разъяснений положений Извещения о проведении закупки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9" w:type="pct"/>
            <w:vAlign w:val="center"/>
            <w:textDirection w:val="lrTb"/>
            <w:noWrap w:val="false"/>
          </w:tcPr>
          <w:p>
            <w:pPr>
              <w:ind w:firstLine="341"/>
              <w:jc w:val="both"/>
              <w:widowControl w:val="off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 xml:space="preserve">Любой участник закупки вправе направить Заказчику запрос о даче разъяснений положений Извещения о проведении закупки. Запрос должен направляться </w:t>
            </w:r>
            <w:r>
              <w:rPr>
                <w:rFonts w:cs="Times New Roman"/>
                <w:sz w:val="22"/>
                <w:szCs w:val="22"/>
              </w:rPr>
              <w:t xml:space="preserve">посредством интерфейса http://etp.zakazrf.ru </w:t>
            </w:r>
            <w:r>
              <w:rPr>
                <w:rFonts w:cs="Times New Roman"/>
                <w:sz w:val="22"/>
                <w:szCs w:val="22"/>
              </w:rPr>
            </w:r>
            <w:r>
              <w:rPr>
                <w:rFonts w:cs="Times New Roman"/>
                <w:sz w:val="22"/>
                <w:szCs w:val="22"/>
              </w:rPr>
            </w:r>
          </w:p>
          <w:p>
            <w:pPr>
              <w:ind w:firstLine="341"/>
              <w:jc w:val="both"/>
              <w:widowControl w:val="off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 xml:space="preserve">1) В течение трёх рабочих дней с даты поступления запроса Заказчик осуществляет разъяснение положений Извещения о закупке и размещает их в ЕИС с указанием предмета запроса, но без указания на участника такой закупки, от которого поступил указанный запрос. </w:t>
            </w:r>
            <w:r>
              <w:rPr>
                <w:rFonts w:cs="Times New Roman"/>
                <w:sz w:val="22"/>
                <w:szCs w:val="22"/>
                <w:lang w:eastAsia="en-US"/>
              </w:rPr>
            </w:r>
            <w:r>
              <w:rPr>
                <w:rFonts w:cs="Times New Roman"/>
                <w:sz w:val="22"/>
                <w:szCs w:val="22"/>
                <w:lang w:eastAsia="en-US"/>
              </w:rPr>
            </w:r>
          </w:p>
          <w:p>
            <w:pPr>
              <w:ind w:firstLine="341"/>
              <w:jc w:val="both"/>
              <w:widowControl w:val="off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 xml:space="preserve">2) При этом, Заказчик вправе не осуществлять такое разъяснение в случае, если указанный запрос поступил позднее, чем за три рабочих дня до даты окончания срока подачи заявок на участие в закупке.</w:t>
            </w:r>
            <w:r>
              <w:rPr>
                <w:rFonts w:cs="Times New Roman"/>
                <w:sz w:val="22"/>
                <w:szCs w:val="22"/>
                <w:lang w:eastAsia="en-US"/>
              </w:rPr>
            </w:r>
            <w:r>
              <w:rPr>
                <w:rFonts w:cs="Times New Roman"/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bottom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3. Обеспечение исполнения обязательств в связи с подачей заявок на участие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2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Обеспечение заявки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0" w:type="pct"/>
            <w:vAlign w:val="center"/>
            <w:textDirection w:val="lrTb"/>
            <w:noWrap w:val="false"/>
          </w:tcPr>
          <w:p>
            <w:pPr>
              <w:ind w:firstLine="289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Не установлено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20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Обеспечение исполнения договора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460" w:type="pct"/>
            <w:vAlign w:val="center"/>
            <w:textDirection w:val="lrTb"/>
            <w:noWrap w:val="false"/>
          </w:tcPr>
          <w:p>
            <w:pPr>
              <w:ind w:firstLine="289"/>
              <w:jc w:val="both"/>
              <w:widowControl w:val="off"/>
              <w:rPr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Не установлено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ind w:left="560"/>
              <w:jc w:val="center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 Предоставление национального режима при осуществлении закупок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480" w:type="pct"/>
            <w:vAlign w:val="center"/>
            <w:textDirection w:val="lrTb"/>
            <w:noWrap w:val="false"/>
          </w:tcPr>
          <w:p>
            <w:pPr>
              <w:ind w:firstLine="3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При осуществл</w:t>
            </w:r>
            <w:r>
              <w:rPr>
                <w:b/>
                <w:bCs/>
                <w:sz w:val="22"/>
                <w:szCs w:val="22"/>
              </w:rPr>
              <w:t xml:space="preserve">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</w:t>
            </w:r>
            <w:r>
              <w:rPr>
                <w:b/>
                <w:bCs/>
                <w:sz w:val="22"/>
                <w:szCs w:val="22"/>
              </w:rPr>
              <w:t xml:space="preserve">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</w:t>
            </w:r>
            <w:r>
              <w:rPr>
                <w:b/>
                <w:bCs/>
                <w:sz w:val="22"/>
                <w:szCs w:val="22"/>
              </w:rPr>
              <w:t xml:space="preserve">цо), за исключением случаев принятия Правительством Российской Федерации мер, предусмотренных пунктом 1 части 2 статьи 3.1-4 Федерального закона № 223-ФЗ. Если иное не предусмотрено мерами, принятыми Правительством Российской Федерации в соответствии с пун</w:t>
            </w:r>
            <w:r>
              <w:rPr>
                <w:b/>
                <w:bCs/>
                <w:sz w:val="22"/>
                <w:szCs w:val="22"/>
              </w:rPr>
              <w:t xml:space="preserve">ктом 1 части 2 статьи 3.1-4 Федерального закона № 223-ФЗ, положения настоящей статьи,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</w:t>
            </w:r>
            <w:r>
              <w:rPr>
                <w:b/>
                <w:bCs/>
                <w:sz w:val="22"/>
                <w:szCs w:val="22"/>
              </w:rPr>
              <w:t xml:space="preserve">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25" w:type="pct"/>
            <w:vAlign w:val="center"/>
            <w:textDirection w:val="lrTb"/>
            <w:noWrap w:val="false"/>
          </w:tcPr>
          <w:p>
            <w:pPr>
              <w:ind w:firstLine="3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ЗАПРЕТ</w:t>
            </w:r>
            <w:r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55" w:type="pct"/>
            <w:textDirection w:val="lrTb"/>
            <w:noWrap w:val="false"/>
          </w:tcPr>
          <w:p>
            <w:pPr>
              <w:ind w:left="112"/>
              <w:jc w:val="center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установлено 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25" w:type="pct"/>
            <w:vAlign w:val="center"/>
            <w:textDirection w:val="lrTb"/>
            <w:noWrap w:val="false"/>
          </w:tcPr>
          <w:p>
            <w:pPr>
              <w:ind w:firstLine="3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ОГРАНИЧЕНИЕ</w:t>
            </w:r>
            <w:r>
              <w:rPr>
                <w:sz w:val="22"/>
                <w:szCs w:val="22"/>
              </w:rPr>
              <w:t xml:space="preserve"> закупок товаров (в том числе поставляемых при </w:t>
            </w:r>
            <w:r>
              <w:rPr>
                <w:sz w:val="22"/>
                <w:szCs w:val="22"/>
              </w:rPr>
              <w:t xml:space="preserve">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55" w:type="pct"/>
            <w:textDirection w:val="lrTb"/>
            <w:noWrap w:val="false"/>
          </w:tcPr>
          <w:p>
            <w:pPr>
              <w:ind w:left="112"/>
              <w:jc w:val="center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у</w:t>
            </w:r>
            <w:r>
              <w:rPr>
                <w:sz w:val="22"/>
                <w:szCs w:val="22"/>
              </w:rPr>
              <w:t xml:space="preserve">становлено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25" w:type="pct"/>
            <w:vAlign w:val="center"/>
            <w:textDirection w:val="lrTb"/>
            <w:noWrap w:val="false"/>
          </w:tcPr>
          <w:p>
            <w:pPr>
              <w:ind w:firstLine="3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ПРЕИМУЩЕСТВО</w:t>
            </w:r>
            <w:r>
              <w:rPr>
                <w:sz w:val="22"/>
                <w:szCs w:val="22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55" w:type="pct"/>
            <w:vAlign w:val="center"/>
            <w:textDirection w:val="lrTb"/>
            <w:noWrap w:val="false"/>
          </w:tcPr>
          <w:p>
            <w:pPr>
              <w:ind w:left="112"/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33"/>
        <w:ind w:firstLine="709"/>
        <w:jc w:val="center"/>
        <w:rPr>
          <w:b/>
          <w:bCs/>
          <w:lang w:val="ru-RU"/>
        </w:rPr>
        <w:outlineLvl w:val="0"/>
      </w:pPr>
      <w:r>
        <w:rPr>
          <w:b/>
          <w:bCs/>
          <w:lang w:val="ru-RU"/>
        </w:rPr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ind w:left="5580" w:right="-54"/>
        <w:jc w:val="right"/>
        <w:rPr>
          <w:b/>
        </w:rPr>
        <w:outlineLvl w:val="0"/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left="5580" w:right="-54"/>
        <w:jc w:val="right"/>
        <w:rPr>
          <w:b/>
        </w:rPr>
        <w:outlineLvl w:val="0"/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left="5580" w:right="-54"/>
        <w:jc w:val="right"/>
        <w:rPr>
          <w:b/>
        </w:rPr>
        <w:outlineLvl w:val="0"/>
      </w:pPr>
      <w:r>
        <w:rPr>
          <w:b/>
        </w:rPr>
        <w:t xml:space="preserve">УТВЕРЖДАЮ:</w:t>
      </w:r>
      <w:r>
        <w:rPr>
          <w:b/>
        </w:rPr>
      </w:r>
      <w:r>
        <w:rPr>
          <w:b/>
        </w:rPr>
      </w:r>
    </w:p>
    <w:p>
      <w:pPr>
        <w:ind w:left="5580" w:right="-54"/>
        <w:jc w:val="right"/>
        <w:rPr>
          <w:bCs/>
        </w:rPr>
        <w:outlineLvl w:val="0"/>
      </w:pPr>
      <w:r>
        <w:rPr>
          <w:bCs/>
        </w:rPr>
        <w:t xml:space="preserve">Заведующий МАДОУ «ДС №4 «Морозко»</w:t>
      </w:r>
      <w:r>
        <w:rPr>
          <w:bCs/>
        </w:rPr>
      </w:r>
      <w:r>
        <w:rPr>
          <w:bCs/>
        </w:rPr>
      </w:r>
    </w:p>
    <w:p>
      <w:pPr>
        <w:ind w:left="5580" w:right="-54"/>
        <w:jc w:val="right"/>
        <w:rPr>
          <w:bCs/>
        </w:rPr>
        <w:outlineLvl w:val="0"/>
      </w:pPr>
      <w:r>
        <w:rPr>
          <w:bCs/>
        </w:rPr>
        <w:t xml:space="preserve">______________</w:t>
      </w:r>
      <w:r>
        <w:rPr>
          <w:bCs/>
        </w:rPr>
        <w:t xml:space="preserve">Т.Л. Гвоздь</w:t>
      </w:r>
      <w:r>
        <w:rPr>
          <w:bCs/>
        </w:rPr>
      </w:r>
      <w:r>
        <w:rPr>
          <w:bCs/>
        </w:rPr>
      </w:r>
    </w:p>
    <w:p>
      <w:pPr>
        <w:ind w:left="5580" w:right="-54"/>
        <w:jc w:val="right"/>
        <w:rPr>
          <w:bCs/>
        </w:rPr>
        <w:outlineLvl w:val="0"/>
      </w:pPr>
      <w:r>
        <w:rPr>
          <w:bCs/>
        </w:rPr>
        <w:t xml:space="preserve">«___» _______ 20</w:t>
      </w:r>
      <w:r>
        <w:rPr>
          <w:bCs/>
        </w:rPr>
        <w:t xml:space="preserve">2</w:t>
      </w:r>
      <w:r>
        <w:rPr>
          <w:bCs/>
        </w:rPr>
        <w:t xml:space="preserve">6</w:t>
      </w:r>
      <w:r>
        <w:rPr>
          <w:bCs/>
        </w:rPr>
        <w:t xml:space="preserve">г.</w:t>
      </w:r>
      <w:r>
        <w:rPr>
          <w:bCs/>
        </w:rPr>
      </w:r>
      <w:r>
        <w:rPr>
          <w:bCs/>
        </w:rPr>
      </w:r>
    </w:p>
    <w:p>
      <w:pPr>
        <w:pStyle w:val="933"/>
        <w:ind w:firstLine="709"/>
        <w:jc w:val="center"/>
        <w:rPr>
          <w:bCs/>
          <w:lang w:val="ru-RU"/>
        </w:rPr>
        <w:outlineLvl w:val="0"/>
      </w:pPr>
      <w:r>
        <w:rPr>
          <w:bCs/>
          <w:lang w:val="ru-RU"/>
        </w:rPr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Style w:val="933"/>
        <w:ind w:firstLine="709"/>
        <w:jc w:val="center"/>
        <w:rPr>
          <w:b/>
          <w:bCs/>
          <w:lang w:val="ru-RU"/>
        </w:rPr>
        <w:outlineLvl w:val="0"/>
      </w:pPr>
      <w:r>
        <w:rPr>
          <w:b/>
          <w:bCs/>
          <w:lang w:val="ru-RU"/>
        </w:rPr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933"/>
        <w:ind w:firstLine="709"/>
        <w:jc w:val="center"/>
        <w:rPr>
          <w:b/>
          <w:bCs/>
          <w:lang w:val="ru-RU"/>
        </w:rPr>
        <w:outlineLvl w:val="0"/>
      </w:pPr>
      <w:r>
        <w:rPr>
          <w:b/>
          <w:bCs/>
          <w:lang w:val="ru-RU"/>
        </w:rPr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933"/>
        <w:ind w:firstLine="709"/>
        <w:jc w:val="center"/>
        <w:rPr>
          <w:b/>
          <w:bCs/>
          <w:lang w:val="ru-RU"/>
        </w:rPr>
        <w:outlineLvl w:val="0"/>
      </w:pPr>
      <w:r>
        <w:rPr>
          <w:b/>
          <w:bCs/>
          <w:lang w:val="ru-RU"/>
        </w:rPr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933"/>
        <w:ind w:firstLine="709"/>
        <w:jc w:val="center"/>
        <w:rPr>
          <w:b/>
          <w:bCs/>
          <w:lang w:val="ru-RU"/>
        </w:rPr>
        <w:outlineLvl w:val="0"/>
      </w:pPr>
      <w:r>
        <w:rPr>
          <w:b/>
          <w:bCs/>
          <w:lang w:val="ru-RU"/>
        </w:rPr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jc w:val="both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  <w:t xml:space="preserve">ДОКУМЕНТАЦИЯ</w:t>
      </w:r>
      <w:r>
        <w:rPr>
          <w:b/>
          <w:spacing w:val="1"/>
          <w:sz w:val="28"/>
          <w:szCs w:val="28"/>
        </w:rPr>
      </w:r>
      <w:r>
        <w:rPr>
          <w:b/>
          <w:spacing w:val="1"/>
          <w:sz w:val="28"/>
          <w:szCs w:val="28"/>
        </w:rPr>
      </w:r>
    </w:p>
    <w:p>
      <w:pPr>
        <w:jc w:val="center"/>
        <w:tabs>
          <w:tab w:val="left" w:pos="5442" w:leader="none"/>
        </w:tabs>
        <w:rPr>
          <w:rFonts w:ascii="Liberation Serif" w:hAnsi="Liberation Serif"/>
          <w:b/>
          <w:i/>
          <w:sz w:val="20"/>
          <w:szCs w:val="20"/>
        </w:rPr>
      </w:pPr>
      <w:r>
        <w:rPr>
          <w:b/>
          <w:spacing w:val="1"/>
          <w:sz w:val="28"/>
          <w:szCs w:val="28"/>
        </w:rPr>
        <w:t xml:space="preserve">ОБ АУКЦИОНЕ В ЭЛЕКТРОННОЙ ФОРМЕ</w:t>
      </w:r>
      <w:r>
        <w:rPr>
          <w:rFonts w:ascii="Liberation Serif" w:hAnsi="Liberation Serif"/>
          <w:b/>
          <w:i/>
          <w:sz w:val="20"/>
          <w:szCs w:val="20"/>
        </w:rPr>
        <w:t xml:space="preserve"> </w:t>
      </w:r>
      <w:r>
        <w:rPr>
          <w:rFonts w:ascii="Liberation Serif" w:hAnsi="Liberation Serif"/>
          <w:b/>
          <w:i/>
          <w:sz w:val="20"/>
          <w:szCs w:val="20"/>
        </w:rPr>
      </w:r>
      <w:r>
        <w:rPr>
          <w:rFonts w:ascii="Liberation Serif" w:hAnsi="Liberation Serif"/>
          <w:b/>
          <w:i/>
          <w:sz w:val="20"/>
          <w:szCs w:val="20"/>
        </w:rPr>
      </w:r>
    </w:p>
    <w:p>
      <w:pPr>
        <w:jc w:val="center"/>
        <w:tabs>
          <w:tab w:val="left" w:pos="5442" w:leader="none"/>
        </w:tabs>
        <w:rPr>
          <w:rFonts w:ascii="Liberation Serif" w:hAnsi="Liberation Serif"/>
          <w:b/>
          <w:i/>
          <w:sz w:val="20"/>
          <w:szCs w:val="20"/>
        </w:rPr>
      </w:pPr>
      <w:r>
        <w:rPr>
          <w:rFonts w:ascii="Liberation Serif" w:hAnsi="Liberation Serif"/>
          <w:b/>
          <w:i/>
          <w:sz w:val="20"/>
          <w:szCs w:val="20"/>
        </w:rPr>
      </w:r>
      <w:r>
        <w:rPr>
          <w:rFonts w:ascii="Liberation Serif" w:hAnsi="Liberation Serif"/>
          <w:b/>
          <w:i/>
          <w:sz w:val="20"/>
          <w:szCs w:val="20"/>
        </w:rPr>
      </w:r>
      <w:r>
        <w:rPr>
          <w:rFonts w:ascii="Liberation Serif" w:hAnsi="Liberation Serif"/>
          <w:b/>
          <w:i/>
          <w:sz w:val="20"/>
          <w:szCs w:val="20"/>
        </w:rPr>
      </w:r>
    </w:p>
    <w:p>
      <w:pPr>
        <w:jc w:val="center"/>
        <w:tabs>
          <w:tab w:val="left" w:pos="5442" w:leader="none"/>
        </w:tabs>
        <w:rPr>
          <w:bCs/>
          <w:spacing w:val="1"/>
        </w:rPr>
      </w:pPr>
      <w:r>
        <w:rPr>
          <w:bCs/>
          <w:spacing w:val="1"/>
        </w:rPr>
        <w:t xml:space="preserve">на право заключения договора </w:t>
      </w:r>
      <w:r>
        <w:rPr>
          <w:bCs/>
          <w:spacing w:val="1"/>
        </w:rPr>
        <w:t xml:space="preserve">на поставку продуктов питания </w:t>
      </w:r>
      <w:r>
        <w:rPr>
          <w:bCs/>
          <w:spacing w:val="1"/>
        </w:rPr>
      </w:r>
      <w:r>
        <w:rPr>
          <w:bCs/>
          <w:spacing w:val="1"/>
        </w:rPr>
      </w:r>
    </w:p>
    <w:p>
      <w:pPr>
        <w:jc w:val="center"/>
        <w:tabs>
          <w:tab w:val="left" w:pos="5442" w:leader="none"/>
        </w:tabs>
        <w:rPr>
          <w:bCs/>
          <w:spacing w:val="1"/>
        </w:rPr>
      </w:pPr>
      <w:r>
        <w:rPr>
          <w:bCs/>
          <w:spacing w:val="1"/>
        </w:rPr>
        <w:t xml:space="preserve">«хлеб</w:t>
      </w:r>
      <w:r>
        <w:rPr>
          <w:bCs/>
          <w:spacing w:val="1"/>
        </w:rPr>
        <w:t xml:space="preserve">, </w:t>
      </w:r>
      <w:r>
        <w:rPr>
          <w:bCs/>
          <w:spacing w:val="1"/>
        </w:rPr>
        <w:t xml:space="preserve">хлебобулочные</w:t>
      </w:r>
      <w:r>
        <w:rPr>
          <w:bCs/>
          <w:spacing w:val="1"/>
        </w:rPr>
        <w:t xml:space="preserve"> и кондитерские</w:t>
      </w:r>
      <w:r>
        <w:rPr>
          <w:bCs/>
          <w:spacing w:val="1"/>
        </w:rPr>
        <w:t xml:space="preserve"> изделия» </w:t>
      </w:r>
      <w:r>
        <w:rPr>
          <w:bCs/>
          <w:spacing w:val="1"/>
        </w:rPr>
      </w:r>
      <w:r>
        <w:rPr>
          <w:bCs/>
          <w:spacing w:val="1"/>
        </w:rPr>
      </w:r>
    </w:p>
    <w:p>
      <w:pPr>
        <w:jc w:val="center"/>
        <w:tabs>
          <w:tab w:val="left" w:pos="5442" w:leader="none"/>
        </w:tabs>
        <w:rPr>
          <w:bCs/>
          <w:spacing w:val="1"/>
        </w:rPr>
      </w:pPr>
      <w:r>
        <w:rPr>
          <w:bCs/>
          <w:spacing w:val="1"/>
        </w:rPr>
        <w:t xml:space="preserve">для МАДОУ «ДС №4 «Морозко»</w:t>
      </w:r>
      <w:r>
        <w:rPr>
          <w:bCs/>
          <w:spacing w:val="1"/>
        </w:rPr>
        <w:t xml:space="preserve">, участниками которого могут являться только субъекты малого и среднего предпринимательства</w:t>
      </w:r>
      <w:r>
        <w:rPr>
          <w:bCs/>
          <w:spacing w:val="1"/>
        </w:rPr>
      </w:r>
      <w:r>
        <w:rPr>
          <w:bCs/>
          <w:spacing w:val="1"/>
        </w:rPr>
      </w:r>
    </w:p>
    <w:p>
      <w:pPr>
        <w:jc w:val="center"/>
        <w:tabs>
          <w:tab w:val="left" w:pos="5442" w:leader="none"/>
        </w:tabs>
        <w:rPr>
          <w:bCs/>
          <w:spacing w:val="1"/>
        </w:rPr>
      </w:pPr>
      <w:r>
        <w:rPr>
          <w:bCs/>
          <w:spacing w:val="1"/>
        </w:rPr>
      </w:r>
      <w:r>
        <w:rPr>
          <w:bCs/>
          <w:spacing w:val="1"/>
        </w:rPr>
      </w:r>
      <w:r>
        <w:rPr>
          <w:bCs/>
          <w:spacing w:val="1"/>
        </w:rPr>
      </w:r>
    </w:p>
    <w:p>
      <w:pPr>
        <w:jc w:val="center"/>
        <w:tabs>
          <w:tab w:val="left" w:pos="5442" w:leader="none"/>
        </w:tabs>
        <w:rPr>
          <w:b/>
          <w:i/>
          <w:color w:val="000000"/>
        </w:rPr>
      </w:pPr>
      <w:r>
        <w:rPr>
          <w:b/>
          <w:i/>
          <w:color w:val="000000"/>
        </w:rPr>
      </w:r>
      <w:r>
        <w:rPr>
          <w:b/>
          <w:i/>
          <w:color w:val="000000"/>
        </w:rPr>
      </w:r>
      <w:r>
        <w:rPr>
          <w:b/>
          <w:i/>
          <w:color w:val="000000"/>
        </w:rPr>
      </w:r>
    </w:p>
    <w:p>
      <w:pPr>
        <w:jc w:val="center"/>
        <w:tabs>
          <w:tab w:val="left" w:pos="5442" w:leader="none"/>
        </w:tabs>
        <w:rPr>
          <w:i/>
          <w:color w:val="000000"/>
        </w:rPr>
      </w:pPr>
      <w:r>
        <w:rPr>
          <w:i/>
          <w:color w:val="000000"/>
        </w:rPr>
      </w:r>
      <w:r>
        <w:rPr>
          <w:i/>
          <w:color w:val="000000"/>
        </w:rPr>
      </w:r>
      <w:r>
        <w:rPr>
          <w:i/>
          <w:color w:val="000000"/>
        </w:rPr>
      </w:r>
    </w:p>
    <w:p>
      <w:pPr>
        <w:jc w:val="center"/>
        <w:tabs>
          <w:tab w:val="left" w:pos="5442" w:leader="none"/>
        </w:tabs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</w:r>
      <w:r>
        <w:rPr>
          <w:bCs/>
          <w:iCs/>
          <w:sz w:val="28"/>
          <w:szCs w:val="28"/>
          <w:lang w:eastAsia="en-US"/>
        </w:rPr>
      </w:r>
      <w:r>
        <w:rPr>
          <w:bCs/>
          <w:iCs/>
          <w:sz w:val="28"/>
          <w:szCs w:val="28"/>
          <w:lang w:eastAsia="en-US"/>
        </w:rPr>
      </w:r>
    </w:p>
    <w:p>
      <w:pPr>
        <w:jc w:val="center"/>
        <w:spacing w:line="276" w:lineRule="auto"/>
        <w:rPr>
          <w:bCs/>
          <w:iCs/>
          <w:lang w:eastAsia="en-US"/>
        </w:rPr>
        <w:outlineLvl w:val="0"/>
      </w:pPr>
      <w:r>
        <w:rPr>
          <w:bCs/>
          <w:iCs/>
          <w:lang w:eastAsia="en-US"/>
        </w:rPr>
      </w:r>
      <w:r>
        <w:rPr>
          <w:bCs/>
          <w:iCs/>
          <w:lang w:eastAsia="en-US"/>
        </w:rPr>
      </w:r>
      <w:r>
        <w:rPr>
          <w:bCs/>
          <w:iCs/>
          <w:lang w:eastAsia="en-US"/>
        </w:rPr>
      </w:r>
    </w:p>
    <w:p>
      <w:pPr>
        <w:jc w:val="center"/>
        <w:spacing w:line="276" w:lineRule="auto"/>
        <w:rPr>
          <w:bCs/>
          <w:iCs/>
          <w:lang w:eastAsia="en-US"/>
        </w:rPr>
        <w:outlineLvl w:val="0"/>
      </w:pPr>
      <w:r>
        <w:rPr>
          <w:bCs/>
          <w:iCs/>
          <w:lang w:eastAsia="en-US"/>
        </w:rPr>
      </w:r>
      <w:r>
        <w:rPr>
          <w:bCs/>
          <w:iCs/>
          <w:lang w:eastAsia="en-US"/>
        </w:rPr>
      </w:r>
      <w:r>
        <w:rPr>
          <w:bCs/>
          <w:iCs/>
          <w:lang w:eastAsia="en-US"/>
        </w:rPr>
      </w:r>
    </w:p>
    <w:p>
      <w:pPr>
        <w:pStyle w:val="933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933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933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933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933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933"/>
        <w:ind w:left="284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933"/>
        <w:ind w:left="284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  <w:rPr>
          <w:b/>
          <w:bCs/>
        </w:rPr>
      </w:pPr>
      <w:r>
        <w:rPr>
          <w:b/>
        </w:rPr>
        <w:t xml:space="preserve">202</w:t>
      </w:r>
      <w:r>
        <w:rPr>
          <w:b/>
        </w:rPr>
        <w:t xml:space="preserve">6</w:t>
      </w:r>
      <w:r>
        <w:rPr>
          <w:b/>
          <w:bCs/>
        </w:rPr>
        <w:t xml:space="preserve"> г.</w:t>
      </w:r>
      <w:r>
        <w:rPr>
          <w:b/>
          <w:bCs/>
        </w:rPr>
      </w:r>
      <w:r>
        <w:rPr>
          <w:b/>
          <w:bCs/>
        </w:rPr>
      </w:r>
    </w:p>
    <w:p>
      <w:r/>
      <w:r/>
    </w:p>
    <w:tbl>
      <w:tblPr>
        <w:tblW w:w="5000" w:type="pct"/>
        <w:tblLook w:val="04A0" w:firstRow="1" w:lastRow="0" w:firstColumn="1" w:lastColumn="0" w:noHBand="0" w:noVBand="1"/>
      </w:tblPr>
      <w:tblGrid>
        <w:gridCol w:w="1357"/>
        <w:gridCol w:w="3257"/>
        <w:gridCol w:w="2513"/>
        <w:gridCol w:w="771"/>
        <w:gridCol w:w="2352"/>
      </w:tblGrid>
      <w:tr>
        <w:tblPrEx/>
        <w:trPr>
          <w:trHeight w:val="992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br w:type="page" w:clear="all"/>
            </w:r>
            <w:r>
              <w:rPr>
                <w:sz w:val="22"/>
                <w:szCs w:val="22"/>
              </w:rPr>
              <w:br w:type="page" w:clear="all"/>
            </w:r>
            <w:r>
              <w:rPr>
                <w:b/>
                <w:bCs/>
                <w:sz w:val="22"/>
                <w:szCs w:val="22"/>
              </w:rPr>
              <w:t xml:space="preserve">Информационная карта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Аукцион в электронной форме (далее – аукцион в электронной форме) - это форма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торгов, проведение которой обеспечивается оператором электронной площадки; информация о закупке сообщается Заказчиком путем размещения в ЕИС извещения о проведении аукциона в электронной форме, доступного неограниченному кругу лиц, с приложением документа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ции о закупке и проекта договора; описание предмета закупки осуществляется с соблюдением требований ч. 6.1 ст. 3 Федерального закона от 18 июля 2011 года № 223-ФЗ «О закупках товаров, работ, услуг отдельными видами юридических лиц» (далее – Закон № 223-ФЗ)</w:t>
            </w:r>
            <w:r>
              <w:rPr>
                <w:rStyle w:val="927"/>
                <w:rFonts w:ascii="Times New Roman" w:hAnsi="Times New Roman"/>
                <w:sz w:val="22"/>
                <w:szCs w:val="22"/>
                <w:lang w:val="ru-RU"/>
              </w:rPr>
              <w:footnoteReference w:id="2"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Победителем аукциона в электронной форме признается участник закупки, заявка которого соответствует требованиям, установленным документацией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 закупке, и которое предложило наиболее низкую цену договора или в случае, если при проведении аукциона в электронной форме цена договора снижена до нуля и аукцион в электронной форме проводится на право заключить договор, наиболее высокую цену договора.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933"/>
              <w:ind w:firstLine="560"/>
              <w:widowControl w:val="off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Аукцион в электронной форме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участниками которого могут быть только субъекты малого и среднего предпринимательства проводится на электронной площадке по правилам и в порядке, установ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ленным оператором электронной площадки, с учетом требований Положения о закупках товаров, работ, услуг. В случае, если регламентом электронной площадки установлены иные по сравнению с установленными Положением правила проведения закупки в электронной форме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процедурного (технического) характера, приоритет будут иметь правила, содержащиеся в регламенте электронной площадки, при условии, что указанный регламент размещен в информационно-телекоммуникационной сети «Интернет» и доступен неограниченному кругу лиц. 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</w:r>
          </w:p>
          <w:p>
            <w:pPr>
              <w:pStyle w:val="933"/>
              <w:ind w:firstLine="560"/>
              <w:widowControl w:val="off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Документация о закупке должна содержать указание на применение иных правил проведения закупки в эле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ктронной форме процедурного (технического) характера, предусмотренных регламентом электронной площадки, а также обоснование их применения. При этом в любом случае не допускается осуществление закупки по правилам, противоречащим требованиям Закона № 223-ФЗ.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</w:r>
          </w:p>
          <w:p>
            <w:pPr>
              <w:pStyle w:val="933"/>
              <w:ind w:firstLine="560"/>
              <w:widowControl w:val="off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указаны в пункте 2.3 настоящего Извещения.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auto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Начальная (максимальная) цена договора: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414 695 (четыреста четырнадцать тысяч шестьсот девяносто пять) </w:t>
            </w:r>
            <w:r>
              <w:rPr>
                <w:sz w:val="22"/>
                <w:szCs w:val="22"/>
              </w:rPr>
              <w:t xml:space="preserve">рублей </w:t>
            </w:r>
            <w:r>
              <w:rPr>
                <w:sz w:val="22"/>
                <w:szCs w:val="22"/>
              </w:rPr>
              <w:t xml:space="preserve">47</w:t>
            </w:r>
            <w:r>
              <w:rPr>
                <w:sz w:val="22"/>
                <w:szCs w:val="22"/>
              </w:rPr>
              <w:t xml:space="preserve"> копеек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Расчет начальной (максимальной) цены произведен методом </w:t>
            </w:r>
            <w:sdt>
              <w:sdtPr>
                <w15:appearance w15:val="boundingBox"/>
                <w15:color w:val="ff00ff"/>
                <w:id w:val="1482041609"/>
                <w:placeholder>
                  <w:docPart w:val="B9FCEBBAD9BF42ACB20DC9C32CA4BA48"/>
                </w:placeholder>
                <w:comboBox>
                  <w:listItem w:value="Выберите элемент."/>
                  <w:listItem w:displayText="проектно-сметный" w:value="проектно-сметный"/>
                  <w:listItem w:displayText="тарифный" w:value="тарифный"/>
                  <w:listItem w:displayText="затратный" w:value="затратный"/>
                  <w:listItem w:displayText="иной" w:value="иной"/>
                  <w:listItem w:displayText="метод сопоставимых рыночных цен (анализ рынка)" w:value="метод сопоставимых рыночных цен (анализ рынка)"/>
                </w:comboBox>
                <w:rPr>
                  <w:sz w:val="22"/>
                  <w:szCs w:val="22"/>
                </w:rPr>
              </w:sdtPr>
              <w:sdtContent>
                <w:r>
                  <w:rPr>
                    <w:sz w:val="22"/>
                    <w:szCs w:val="22"/>
                  </w:rPr>
                  <w:t xml:space="preserve">метод сопоставимых рыночных цен (анализ рынка)</w:t>
                </w:r>
              </w:sdtContent>
            </w:sdt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Обоснование начальной (максимальной) цены в Приложении №</w:t>
            </w: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общую цену Договора включены все р</w:t>
            </w:r>
            <w:r>
              <w:rPr>
                <w:sz w:val="22"/>
                <w:szCs w:val="22"/>
              </w:rPr>
              <w:t xml:space="preserve">асходы Поставщика, необходимые для осуществления им своих обязательств по Договору в полном объеме и надлежащего качества, в том числе все подлежащие к уплате налоги, сборы и другие обязательные платежи, расходы на упаковку, маркировку, страхование, сертиф</w:t>
            </w:r>
            <w:r>
              <w:rPr>
                <w:sz w:val="22"/>
                <w:szCs w:val="22"/>
              </w:rPr>
              <w:t xml:space="preserve">икацию, транспортные расходы по доставке товара до места поставки, затраты по хранению товара на складе Поставщика, стоимость всех необходимых погрузочно-разгрузочных работ (выгрузки товара на склад Заказчика)  и иные расходы, связанные с поставкой товара.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Предмет договора</w:t>
            </w:r>
            <w:r>
              <w:rPr>
                <w:b/>
                <w:bCs/>
                <w:color w:val="000000"/>
                <w:sz w:val="22"/>
                <w:szCs w:val="22"/>
              </w:rPr>
            </w: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Поставка продуктов питания «хлеб и хлебобулочные </w:t>
            </w:r>
            <w:r>
              <w:rPr>
                <w:sz w:val="22"/>
                <w:szCs w:val="22"/>
              </w:rPr>
              <w:t xml:space="preserve">и кондитерские </w:t>
            </w:r>
            <w:r>
              <w:rPr>
                <w:sz w:val="22"/>
                <w:szCs w:val="22"/>
              </w:rPr>
              <w:t xml:space="preserve">изделия»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Количество товара (объем выполняемых работ, оказываемых услуг)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1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Требования к качеству товара (работам, услугам)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1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Технические, функциональные, эксплуатационные характеристики товара (работ, услуг)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техническому заданию 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(приложение №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1</w:t>
            </w:r>
            <w:r>
              <w:rPr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1.6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Срок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8774" w:leader="underscor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Поставка продуктов питания должна осуществляется с </w:t>
            </w:r>
            <w:r>
              <w:rPr>
                <w:sz w:val="22"/>
                <w:szCs w:val="22"/>
              </w:rPr>
              <w:t xml:space="preserve">01</w:t>
            </w:r>
            <w:r>
              <w:rPr>
                <w:sz w:val="22"/>
                <w:szCs w:val="22"/>
              </w:rPr>
              <w:t xml:space="preserve">.0</w:t>
            </w: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  <w:t xml:space="preserve">.202</w:t>
            </w: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 г по 3</w:t>
            </w: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06</w:t>
            </w:r>
            <w:r>
              <w:rPr>
                <w:sz w:val="22"/>
                <w:szCs w:val="22"/>
              </w:rPr>
              <w:t xml:space="preserve">.202</w:t>
            </w: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г (включительно). Заявка на поставку продуктов питания направляется поставщику в письменном виде, </w:t>
            </w:r>
            <w:r>
              <w:rPr>
                <w:sz w:val="22"/>
                <w:szCs w:val="22"/>
              </w:rPr>
              <w:t xml:space="preserve">ежедневно</w:t>
            </w:r>
            <w:r>
              <w:rPr>
                <w:sz w:val="22"/>
                <w:szCs w:val="22"/>
              </w:rPr>
              <w:t xml:space="preserve"> до поставки продуктов питания. Поставка осуществляется согласно Графику </w:t>
            </w:r>
            <w:r>
              <w:rPr>
                <w:sz w:val="22"/>
                <w:szCs w:val="22"/>
              </w:rPr>
              <w:t xml:space="preserve">поставки,</w:t>
            </w:r>
            <w:r>
              <w:rPr>
                <w:sz w:val="22"/>
                <w:szCs w:val="22"/>
              </w:rPr>
              <w:t xml:space="preserve"> являющемуся неотъемлемой частью Договора.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1.7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автономное дошкольное образовательное учреж</w:t>
            </w:r>
            <w:r>
              <w:rPr>
                <w:sz w:val="22"/>
                <w:szCs w:val="22"/>
              </w:rPr>
              <w:t xml:space="preserve">дение "Детский сад №4 «Морозко":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  <w:t xml:space="preserve"> 628684, Ханты-Мансийский автономный округ-Югра, город Мегион, улица Заречная 16/1</w:t>
            </w:r>
            <w:r>
              <w:rPr>
                <w:sz w:val="22"/>
                <w:szCs w:val="22"/>
              </w:rPr>
              <w:t xml:space="preserve"> корпус 1;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</w:t>
            </w:r>
            <w:r>
              <w:rPr>
                <w:sz w:val="22"/>
                <w:szCs w:val="22"/>
              </w:rPr>
              <w:t xml:space="preserve">628684, Ханты-Мансийский автономный округ-Югра, город Мегион, улица Заречная 16/</w:t>
            </w: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  <w:t xml:space="preserve"> корпус 2;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1.8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Условия поставки товара, выполнения работ, оказания услуг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</w:t>
            </w:r>
            <w:r>
              <w:rPr>
                <w:sz w:val="22"/>
                <w:szCs w:val="22"/>
              </w:rPr>
              <w:t xml:space="preserve">техническим заданием</w:t>
            </w:r>
            <w:r>
              <w:rPr>
                <w:sz w:val="22"/>
                <w:szCs w:val="22"/>
              </w:rPr>
              <w:t xml:space="preserve"> (приложение №1),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проектом договора (приложение №</w:t>
            </w: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  <w:t xml:space="preserve">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1.9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Форма, сроки и порядок оплаты товара, работ, услуг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Расчет за поставленный тов</w:t>
            </w:r>
            <w:r>
              <w:rPr>
                <w:color w:val="000000"/>
                <w:sz w:val="22"/>
                <w:szCs w:val="22"/>
              </w:rPr>
              <w:t xml:space="preserve">ар (партию товара) осуществляется в течение 7 (семи) рабочих дней со дня подписания Заказчиком товарной накладной на данный товар (партию товара) или универсального передаточного документа либо, в случаях, предусмотренных Договором, со дня подписания Акта </w:t>
            </w:r>
            <w:r>
              <w:rPr>
                <w:color w:val="000000"/>
                <w:sz w:val="22"/>
                <w:szCs w:val="22"/>
              </w:rPr>
              <w:t xml:space="preserve">взаимосверки</w:t>
            </w:r>
            <w:r>
              <w:rPr>
                <w:color w:val="000000"/>
                <w:sz w:val="22"/>
                <w:szCs w:val="22"/>
              </w:rPr>
              <w:t xml:space="preserve"> обязательств на основании представленных Поставщиком счета и счета-фактуры.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1.10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Информация о валюте, используемой для формирования цены договора и расчетов с поставщиками (подрядчиками, исполнителями)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Рубль Российской Федерации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договора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ПРИМЕНЯЕТСЯ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1.12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Требования к гарантии качества товара (работ, услуг)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В соответствии </w:t>
            </w:r>
            <w:r>
              <w:rPr>
                <w:rFonts w:cs="Times New Roman"/>
                <w:sz w:val="22"/>
                <w:szCs w:val="22"/>
              </w:rPr>
              <w:t xml:space="preserve">с </w:t>
            </w:r>
            <w:r>
              <w:rPr>
                <w:rFonts w:cs="Times New Roman"/>
                <w:sz w:val="22"/>
                <w:szCs w:val="22"/>
              </w:rPr>
              <w:t xml:space="preserve">техническим </w:t>
            </w:r>
            <w:r>
              <w:rPr>
                <w:rFonts w:cs="Times New Roman"/>
                <w:sz w:val="22"/>
                <w:szCs w:val="22"/>
              </w:rPr>
              <w:t xml:space="preserve">заданием </w:t>
            </w:r>
            <w:r>
              <w:rPr>
                <w:rFonts w:cs="Times New Roman"/>
                <w:bCs/>
                <w:sz w:val="22"/>
                <w:szCs w:val="22"/>
                <w:lang w:val="ba-RU" w:eastAsia="en-US"/>
              </w:rPr>
              <w:t xml:space="preserve">(приложение №1), </w:t>
            </w:r>
            <w:r>
              <w:rPr>
                <w:rFonts w:cs="Times New Roman"/>
                <w:sz w:val="22"/>
                <w:szCs w:val="22"/>
              </w:rPr>
              <w:t xml:space="preserve">проектом договора </w:t>
            </w:r>
            <w:r>
              <w:rPr>
                <w:rFonts w:cs="Times New Roman"/>
                <w:bCs/>
                <w:sz w:val="22"/>
                <w:szCs w:val="22"/>
                <w:lang w:val="ba-RU" w:eastAsia="en-US"/>
              </w:rPr>
              <w:t xml:space="preserve">(приложение №</w:t>
            </w:r>
            <w:r>
              <w:rPr>
                <w:rFonts w:cs="Times New Roman"/>
                <w:bCs/>
                <w:sz w:val="22"/>
                <w:szCs w:val="22"/>
                <w:lang w:val="ba-RU" w:eastAsia="en-US"/>
              </w:rPr>
              <w:t xml:space="preserve">2</w:t>
            </w:r>
            <w:r>
              <w:rPr>
                <w:rFonts w:cs="Times New Roman"/>
                <w:bCs/>
                <w:sz w:val="22"/>
                <w:szCs w:val="22"/>
                <w:lang w:val="ba-RU" w:eastAsia="en-US"/>
              </w:rPr>
              <w:t xml:space="preserve">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</w:t>
            </w:r>
            <w:r>
              <w:rPr>
                <w:b/>
                <w:sz w:val="22"/>
                <w:szCs w:val="22"/>
              </w:rPr>
              <w:t xml:space="preserve">. Требования к потенциальным участникам закупки и перечень документов, для подтверждения их соответствия установленным требованиям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</w:t>
            </w:r>
            <w:r>
              <w:rPr>
                <w:b/>
                <w:bCs/>
                <w:sz w:val="22"/>
                <w:szCs w:val="22"/>
              </w:rPr>
              <w:t xml:space="preserve">частники процедуры закупки должны соответствовать требованиям, предъявляемым в соответствии с Положением о закупках и законодательством Российской Федерации к лицам, осуществляющим поставки товаров (работ, услуг), являющихся предметом закупки, в том числе: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pStyle w:val="912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b/>
                <w:sz w:val="22"/>
              </w:rPr>
              <w:t xml:space="preserve">Требования к участникам закупки: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12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а) непроведение ликвидации участника кон</w:t>
            </w:r>
            <w:r>
              <w:rPr>
                <w:sz w:val="22"/>
              </w:rPr>
              <w:t xml:space="preserve">курентной закупки с участием субъектов малого и среднего предпринимательства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12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б) </w:t>
            </w:r>
            <w:r>
              <w:rPr>
                <w:sz w:val="22"/>
              </w:rPr>
              <w:t xml:space="preserve">неприостановление</w:t>
            </w:r>
            <w:r>
              <w:rPr>
                <w:sz w:val="22"/>
              </w:rPr>
              <w:t xml:space="preserve"> деятельности участника конкурентной закупки с участием субъектов малого и среднего предпринимательства в порядке, установленном Кодексом Российской Федерации об административных правонарушениях;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12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в) отсутствие у участника конкурентной закупки с участием субъектов малого и среднего предпринимательства недоимки по налогам, сборам, </w:t>
            </w:r>
            <w:r>
              <w:rPr>
                <w:sz w:val="22"/>
              </w:rPr>
              <w:t xml:space="preserve">задолженности по иным обязательным платежам в бюджеты бюджетной системы Российской Федерации (за исключением сумм, на которые предос</w:t>
            </w:r>
            <w:r>
              <w:rPr>
                <w:sz w:val="22"/>
              </w:rPr>
              <w:t xml:space="preserve">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</w:t>
            </w:r>
            <w:r>
              <w:rPr>
                <w:sz w:val="22"/>
              </w:rPr>
              <w:t xml:space="preserve">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</w:t>
            </w:r>
            <w:r>
              <w:rPr>
                <w:sz w:val="22"/>
              </w:rPr>
              <w:t xml:space="preserve">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</w:t>
            </w:r>
            <w:r>
              <w:rPr>
                <w:sz w:val="22"/>
              </w:rPr>
              <w:t xml:space="preserve">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12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г) отсутствие у участника конкурентной закупки с участием субъектов малого и среднего предпринимательства - физического лица, зарегистрированного в качестве индивидуального предпринимателя, либо у руков</w:t>
            </w:r>
            <w:r>
              <w:rPr>
                <w:sz w:val="22"/>
              </w:rPr>
              <w:t xml:space="preserve">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конкурентной закупки с участием субъектов малого и среднего предпринимательства неп</w:t>
            </w:r>
            <w:r>
              <w:rPr>
                <w:sz w:val="22"/>
              </w:rPr>
              <w:t xml:space="preserve">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</w:t>
            </w:r>
            <w:r>
              <w:rPr>
                <w:sz w:val="22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12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д) отсутствие фактов привлечения в течение двух лет до момента подачи заявки на участие в конкурентной закупке с участием субъектов малог</w:t>
            </w:r>
            <w:r>
              <w:rPr>
                <w:sz w:val="22"/>
              </w:rPr>
              <w:t xml:space="preserve">о и среднего предпринимательства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12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е)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лицам, осуществляющим поставку товара, выполнен</w:t>
            </w:r>
            <w:r>
              <w:rPr>
                <w:sz w:val="22"/>
              </w:rPr>
              <w:t xml:space="preserve">ие работы, оказание услуги, являющихся предметом закупки, если 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</w:t>
            </w:r>
            <w:r>
              <w:rPr>
                <w:sz w:val="22"/>
              </w:rPr>
              <w:t xml:space="preserve">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12"/>
              <w:ind w:firstLine="317"/>
              <w:jc w:val="both"/>
              <w:widowControl w:val="off"/>
              <w:rPr>
                <w:sz w:val="22"/>
              </w:rPr>
            </w:pPr>
            <w:r>
              <w:rPr>
                <w:sz w:val="22"/>
              </w:rPr>
              <w:t xml:space="preserve">ж)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ind w:firstLine="317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з)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317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317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Заказчиком также установлено требование об отсутствии сведений об участниках закупки в реестре недобросовестных поставщиков, предусмотренном статьей 5 Федерального закона от 18 июля 2011 года № 223-ФЗ «О закупках товаров, работ, услуг отде</w:t>
            </w:r>
            <w:r>
              <w:rPr>
                <w:sz w:val="22"/>
                <w:szCs w:val="22"/>
                <w:lang w:eastAsia="en-US"/>
              </w:rPr>
              <w:t xml:space="preserve">льными видами юридических лиц».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ind w:firstLine="330"/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</w:t>
            </w:r>
            <w:r>
              <w:rPr>
                <w:b/>
                <w:sz w:val="22"/>
                <w:szCs w:val="22"/>
              </w:rPr>
              <w:t xml:space="preserve">.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Требования к содержанию и составу заявки на участие в аукционе в электронной форме.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аукциона в электронной форме формирует заявку на участие в аукционе в электронной </w:t>
            </w:r>
            <w:r>
              <w:rPr>
                <w:sz w:val="22"/>
                <w:szCs w:val="22"/>
              </w:rPr>
              <w:t xml:space="preserve">форме в соответствии с регламентом электронной площадки, определенной для проведения настоящего аукциона в электронной форме, требованиями Федерального закона № 223-ФЗ, Положения, а также требованиями настоящей документации об аукционе в электронной форме.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описании условий и предложений участником аукциона в электронной форме должны п</w:t>
            </w:r>
            <w:r>
              <w:rPr>
                <w:sz w:val="22"/>
                <w:szCs w:val="22"/>
              </w:rPr>
              <w:t xml:space="preserve">рименяться общепринятые обозначения и наименования в соответствии с требованиями действующего законодательства Российской Федерации. Сведения, которые содержатся в заявке участника аукциона в электронной форме, не должны допускать двусмысленных толкований.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Электронные документы, входящие в состав заявки должны иметь один из распространенных форматов документов: с расширением (*.</w:t>
            </w:r>
            <w:r>
              <w:rPr>
                <w:sz w:val="22"/>
                <w:szCs w:val="22"/>
              </w:rPr>
              <w:t xml:space="preserve">doc</w:t>
            </w:r>
            <w:r>
              <w:rPr>
                <w:sz w:val="22"/>
                <w:szCs w:val="22"/>
              </w:rPr>
              <w:t xml:space="preserve">), (*.</w:t>
            </w:r>
            <w:r>
              <w:rPr>
                <w:sz w:val="22"/>
                <w:szCs w:val="22"/>
              </w:rPr>
              <w:t xml:space="preserve">docx</w:t>
            </w:r>
            <w:r>
              <w:rPr>
                <w:sz w:val="22"/>
                <w:szCs w:val="22"/>
              </w:rPr>
              <w:t xml:space="preserve">), (*.</w:t>
            </w:r>
            <w:r>
              <w:rPr>
                <w:sz w:val="22"/>
                <w:szCs w:val="22"/>
              </w:rPr>
              <w:t xml:space="preserve">xls</w:t>
            </w:r>
            <w:r>
              <w:rPr>
                <w:sz w:val="22"/>
                <w:szCs w:val="22"/>
              </w:rPr>
              <w:t xml:space="preserve">), (*.</w:t>
            </w:r>
            <w:r>
              <w:rPr>
                <w:sz w:val="22"/>
                <w:szCs w:val="22"/>
              </w:rPr>
              <w:t xml:space="preserve">xlsx</w:t>
            </w:r>
            <w:r>
              <w:rPr>
                <w:sz w:val="22"/>
                <w:szCs w:val="22"/>
              </w:rPr>
              <w:t xml:space="preserve">), (*.</w:t>
            </w:r>
            <w:r>
              <w:rPr>
                <w:sz w:val="22"/>
                <w:szCs w:val="22"/>
              </w:rPr>
              <w:t xml:space="preserve">txt</w:t>
            </w:r>
            <w:r>
              <w:rPr>
                <w:sz w:val="22"/>
                <w:szCs w:val="22"/>
              </w:rPr>
              <w:t xml:space="preserve">), (*.</w:t>
            </w:r>
            <w:r>
              <w:rPr>
                <w:sz w:val="22"/>
                <w:szCs w:val="22"/>
              </w:rPr>
              <w:t xml:space="preserve">pdf</w:t>
            </w:r>
            <w:r>
              <w:rPr>
                <w:sz w:val="22"/>
                <w:szCs w:val="22"/>
              </w:rPr>
              <w:t xml:space="preserve">), (*.</w:t>
            </w:r>
            <w:r>
              <w:rPr>
                <w:sz w:val="22"/>
                <w:szCs w:val="22"/>
              </w:rPr>
              <w:t xml:space="preserve">jpg</w:t>
            </w:r>
            <w:r>
              <w:rPr>
                <w:sz w:val="22"/>
                <w:szCs w:val="22"/>
              </w:rPr>
              <w:t xml:space="preserve">), либо</w:t>
            </w:r>
            <w:r>
              <w:rPr>
                <w:sz w:val="22"/>
                <w:szCs w:val="22"/>
              </w:rPr>
              <w:t xml:space="preserve"> иным обеспечивающим отсутствие необходимости применения пользователями ЕИС программного обеспечения, которое требует заключения лицензионного или иного соглашения с правообладателем такого программного обеспечения, если оно предусматривает взимание платы.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Документы, подписанные электронной подписью (далее – ЭП) участника аукциона в электронной форме, лица, имеюще</w:t>
            </w:r>
            <w:r>
              <w:rPr>
                <w:sz w:val="22"/>
                <w:szCs w:val="22"/>
              </w:rPr>
              <w:t xml:space="preserve">го право действовать от имени участника аукциона в электронной форме, признаются документами, подписанными собственноручной подписью участника аукциона в электронной форме, лица имеющего право действовать от имени участника, заверенные печатью организации.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Наличие ЭП участника аукциона в электронной форме подтверждает, что документ отправлен от имени участника аукциона в электронной форме и является точной цифровой копией документа-оригинала.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Файлы первой части заявки размещаются отдельно от файлов второй части заявки в соответствующих разделах на ЭТП.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Допускается размещение в составе заявки документов, сохраненных в архивах, при этом размещение в составе заявки архивов, разделенных на несколько частей, открытие каждой из которых по отдельности невозможно, не допускается.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 файлы не должны иметь защиты от их открытия, изменения, копирования их содержимого или их печати.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 документы, входящие в состав заявки должны быть подписаны электронной подписью лица, имеющего право действовать от имени участника аукциона в электронной форме.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Каждый потенциальный участник закупки вправе подать только одну заявку на участие.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ind w:firstLine="330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Заявка на участие в аукционе в электронной форме состоит из двух частей: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restart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  <w:lang w:val="en-US" w:eastAsia="en-US"/>
              </w:rPr>
            </w:r>
            <w:r>
              <w:rPr>
                <w:sz w:val="22"/>
                <w:szCs w:val="22"/>
                <w:lang w:val="en-US"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4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Первая часть ЗАЯВКИ на участие в аукционе </w:t>
            </w:r>
            <w:r>
              <w:rPr>
                <w:b/>
                <w:sz w:val="22"/>
                <w:szCs w:val="22"/>
              </w:rPr>
              <w:t xml:space="preserve">в электронной форме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с участием субъектов малого и среднего предпринимательства должна содержать предложение участника конкурентной закупки в отношении предмета такой закупки, в том числе следующую информацию: 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344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при осуществлении закупки на поставку товара: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8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) согласие участника процедуры закупки на поставку товара на условиях, предусмотренных документацией (извещением) о закупке, проектом договора, в том числе означающее: согласие с товарным(ми) знаком, указание на который содержится в документации о закупке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8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согласие участника процедуры закупки на поставку товара </w:t>
            </w:r>
            <w:r>
              <w:rPr>
                <w:sz w:val="22"/>
                <w:szCs w:val="22"/>
              </w:rPr>
              <w:t xml:space="preserve">на условиях, предусмотренных документацией (извещением) о закупке, проектом договора, в том числе: конкретные показатели, соответствующие значениям, установленным документацией о закупке, и товарный знак (при его наличии) предлагаемого для поставки товара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8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согласие участника процедуры закупки на выполнение работ, оказание услуг на условиях, предусмотренных документацией о закупке, при условии осуществления закупки на выполнение работ, оказание услуг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</w:t>
            </w: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4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3) при осуществлении закупки на выполнение работ, оказание услуг для выполнения, оказания которых используется товар: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8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согласие, предусмотренное пунктом 2 в том числе, означающее согласие на использование товара, указание на товарный знак которого, содержится в документации о закупке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8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согласие, предусмотренное пунктом 2, а также конкретные показатели, соответствующие значениям, установленным документацией о закупке, и товарный знак (при его наличии) предлагаемого для использования товара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36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4" w:type="pct"/>
            <w:vAlign w:val="center"/>
            <w:textDirection w:val="lrTb"/>
            <w:noWrap w:val="false"/>
          </w:tcPr>
          <w:p>
            <w:pPr>
              <w:ind w:firstLine="32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Первая часть заявки на участие в аукционе должна содержать предложение участника закупки в отношении предмета закупки.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324"/>
              <w:jc w:val="both"/>
              <w:widowControl w:val="off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содержания в первой части заявки на участие в </w:t>
            </w:r>
            <w:r>
              <w:rPr>
                <w:sz w:val="22"/>
                <w:szCs w:val="22"/>
              </w:rPr>
              <w:t xml:space="preserve">конкурсе</w:t>
            </w:r>
            <w:r>
              <w:rPr>
                <w:sz w:val="22"/>
                <w:szCs w:val="22"/>
              </w:rPr>
              <w:t xml:space="preserve"> в электронной форме, аукционе в электронной форме, запросе предложений в электронной форме сведений об участнике таких конкурса, аукциона или запроса предложений и (или) о ценовом предложении данная заявка подлежит отклонению.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ind w:firstLine="324"/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Заявка на участие в аукционе может содержать эскиз, рисунок, чертеж, фотографию, иное изображение товара, образец (пробу) товара, закупка которого осуществляется.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44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Вторая часть ЗАЯВКИ на участие в аукционе </w:t>
            </w:r>
            <w:r>
              <w:rPr>
                <w:b/>
                <w:sz w:val="22"/>
                <w:szCs w:val="22"/>
              </w:rPr>
              <w:t xml:space="preserve">в электронной форме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должна содержать следующую информацию:</w:t>
            </w: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45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1) наименование,</w:t>
            </w:r>
            <w:r>
              <w:rPr>
                <w:sz w:val="22"/>
                <w:szCs w:val="22"/>
              </w:rPr>
              <w:t xml:space="preserve"> фирменное наименование (при наличии), адрес юридического лица в пределах места нахождения юридического лица, учредительный документ, если участником конкурентной закупки с участием субъектов малого и среднего предпринимательства является юридическое лицо;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45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фамилия, имя, отчество (при наличии), пасп</w:t>
            </w:r>
            <w:r>
              <w:rPr>
                <w:sz w:val="22"/>
                <w:szCs w:val="22"/>
              </w:rPr>
              <w:t xml:space="preserve">ортные данные, адрес места жительства физического лица, зарегистрированного в качестве индивидуального предпринимателя, если участником конкурентной закупки с участием субъектов малого и среднего предпринимательства является индивидуальный предприниматель;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45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3) идентификационный номер налогопл</w:t>
            </w:r>
            <w:r>
              <w:rPr>
                <w:sz w:val="22"/>
                <w:szCs w:val="22"/>
              </w:rPr>
              <w:t xml:space="preserve">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45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4)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лица, если учас</w:t>
            </w:r>
            <w:r>
              <w:rPr>
                <w:sz w:val="22"/>
                <w:szCs w:val="22"/>
              </w:rPr>
              <w:t xml:space="preserve">тником конкурентной закупки с участием субъектов малого и среднего предпринимательства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45" w:type="pct"/>
            <w:vAlign w:val="center"/>
            <w:textDirection w:val="lrTb"/>
            <w:noWrap w:val="false"/>
          </w:tcPr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5) копия документа, подтверждающего полномочия лица действовать от имени участника конкурентной закупки с участием субъектов малого и среднего предпринимательства, за исключением случаев подписания заявки: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индивидуальным предпринимателем, если участником такой закупки является индивидуальный предприниматель;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317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лицом, указанным в едином государственном реестре юридических лиц в качестве лица, имеющего право без </w:t>
            </w:r>
            <w:r>
              <w:rPr>
                <w:sz w:val="22"/>
                <w:szCs w:val="22"/>
              </w:rPr>
              <w:t xml:space="preserve">доверенности действовать от имени юридического лица (далее в настоящей статье - руководитель), если участником такой закупки является юридическое лицо;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45" w:type="pct"/>
            <w:vAlign w:val="center"/>
            <w:textDirection w:val="lrTb"/>
            <w:noWrap w:val="false"/>
          </w:tcPr>
          <w:p>
            <w:pPr>
              <w:pStyle w:val="912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6) копии документов, подтверждающих соответствие участника конкурентной закупки с участием субъектов малого и среднего предпринимательства требованиям, установленным в соответствии с законодательством Российской Федерации к лицам, осуще</w:t>
            </w:r>
            <w:r>
              <w:rPr>
                <w:sz w:val="22"/>
                <w:lang w:eastAsia="ru-RU"/>
              </w:rPr>
              <w:t xml:space="preserve">ствляющим поставку товара, выполнение работы, оказание услуги, являющихся предметом закупки, за исключением случая если в соответствии с законодательством Российской Федерации информация и документы, подтверждающие такое соответствие, содержатся в открытых</w:t>
            </w:r>
            <w:r>
              <w:rPr>
                <w:sz w:val="22"/>
                <w:lang w:eastAsia="ru-RU"/>
              </w:rPr>
              <w:t xml:space="preserve">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  <w:r>
              <w:rPr>
                <w:sz w:val="22"/>
                <w:lang w:eastAsia="ru-RU"/>
              </w:rPr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</w:t>
            </w:r>
            <w:r>
              <w:rPr>
                <w:sz w:val="22"/>
                <w:szCs w:val="22"/>
              </w:rPr>
              <w:t xml:space="preserve">РИМЕНЯЕТСЯ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45" w:type="pct"/>
            <w:vAlign w:val="center"/>
            <w:textDirection w:val="lrTb"/>
            <w:noWrap w:val="false"/>
          </w:tcPr>
          <w:p>
            <w:pPr>
              <w:pStyle w:val="912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7) копия решения о согласии на совершение крупной сделки или о последующем одобрении этой сделки,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</w:t>
            </w:r>
            <w:r>
              <w:rPr>
                <w:sz w:val="22"/>
                <w:lang w:eastAsia="ru-RU"/>
              </w:rPr>
              <w:t xml:space="preserve">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такой заку</w:t>
            </w:r>
            <w:r>
              <w:rPr>
                <w:sz w:val="22"/>
                <w:lang w:eastAsia="ru-RU"/>
              </w:rPr>
              <w:t xml:space="preserve">пки, документации о конкурентной закупке), обеспечения исполнения договора (если требование об обеспечении исполнения договора установлено заказчиком в извещении об осуществлении такой закупки, документации о конкурентной закупке) является крупной сделкой;</w:t>
            </w:r>
            <w:r>
              <w:rPr>
                <w:sz w:val="22"/>
                <w:lang w:eastAsia="ru-RU"/>
              </w:rPr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45" w:type="pct"/>
            <w:vAlign w:val="center"/>
            <w:textDirection w:val="lrTb"/>
            <w:noWrap w:val="false"/>
          </w:tcPr>
          <w:p>
            <w:pPr>
              <w:pStyle w:val="912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8) информаци</w:t>
            </w:r>
            <w:r>
              <w:rPr>
                <w:sz w:val="22"/>
                <w:lang w:eastAsia="ru-RU"/>
              </w:rPr>
              <w:t xml:space="preserve">я и документы об обеспечении заявки на участие в конкурентной закупке с участием субъектов малого и среднего предпринимательства, если соответствующее требование предусмотрено извещением об осуществлении такой закупки, документацией о конкурентной закупке:</w:t>
            </w:r>
            <w:r>
              <w:rPr>
                <w:sz w:val="22"/>
                <w:lang w:eastAsia="ru-RU"/>
              </w:rPr>
            </w:r>
            <w:r>
              <w:rPr>
                <w:sz w:val="22"/>
                <w:lang w:eastAsia="ru-RU"/>
              </w:rPr>
            </w:r>
          </w:p>
          <w:p>
            <w:pPr>
              <w:pStyle w:val="912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а) </w:t>
            </w:r>
            <w:r>
              <w:rPr>
                <w:sz w:val="22"/>
                <w:lang w:eastAsia="ru-RU"/>
              </w:rPr>
              <w:t xml:space="preserve">реквизиты специального банковского счета участника конкурентной закупки с участием субъектов малого и среднего предпринимательства, если обеспечение заявки на участие в такой закупке предоставляется участником такой закупки путем внесения денежных средств;</w:t>
            </w:r>
            <w:r>
              <w:rPr>
                <w:sz w:val="22"/>
                <w:lang w:eastAsia="ru-RU"/>
              </w:rPr>
            </w:r>
            <w:r>
              <w:rPr>
                <w:sz w:val="22"/>
                <w:lang w:eastAsia="ru-RU"/>
              </w:rPr>
            </w:r>
          </w:p>
          <w:p>
            <w:pPr>
              <w:pStyle w:val="912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б) независимая гарантия или ее копия,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гарантия;</w:t>
            </w:r>
            <w:r>
              <w:rPr>
                <w:sz w:val="22"/>
                <w:lang w:eastAsia="ru-RU"/>
              </w:rPr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</w:t>
            </w: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45" w:type="pct"/>
            <w:vAlign w:val="center"/>
            <w:textDirection w:val="lrTb"/>
            <w:noWrap w:val="false"/>
          </w:tcPr>
          <w:p>
            <w:pPr>
              <w:pStyle w:val="912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9) декларация, подтверждающая на дату подачи заявки на участие в конкурентной закупке с участием субъектов малого и среднего предпринимательства:</w:t>
            </w:r>
            <w:r>
              <w:rPr>
                <w:sz w:val="22"/>
                <w:lang w:eastAsia="ru-RU"/>
              </w:rPr>
            </w:r>
            <w:r>
              <w:rPr>
                <w:sz w:val="22"/>
                <w:lang w:eastAsia="ru-RU"/>
              </w:rPr>
            </w:r>
          </w:p>
          <w:p>
            <w:pPr>
              <w:pStyle w:val="912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а) непроведение ликвидации участника кон</w:t>
            </w:r>
            <w:r>
              <w:rPr>
                <w:sz w:val="22"/>
                <w:lang w:eastAsia="ru-RU"/>
              </w:rPr>
              <w:t xml:space="preserve">курентной закупки с участием субъектов малого и среднего предпринимательства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</w:t>
            </w:r>
            <w:r>
              <w:rPr>
                <w:sz w:val="22"/>
                <w:lang w:eastAsia="ru-RU"/>
              </w:rPr>
            </w:r>
            <w:r>
              <w:rPr>
                <w:sz w:val="22"/>
                <w:lang w:eastAsia="ru-RU"/>
              </w:rPr>
            </w:r>
          </w:p>
          <w:p>
            <w:pPr>
              <w:pStyle w:val="912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б) </w:t>
            </w:r>
            <w:r>
              <w:rPr>
                <w:sz w:val="22"/>
                <w:lang w:eastAsia="ru-RU"/>
              </w:rPr>
              <w:t xml:space="preserve">неприостановление</w:t>
            </w:r>
            <w:r>
              <w:rPr>
                <w:sz w:val="22"/>
                <w:lang w:eastAsia="ru-RU"/>
              </w:rPr>
              <w:t xml:space="preserve"> деятельности участника конкурентной закупки с участием субъектов малого и среднего предпринимательства в порядке, установленном Кодексом Российской Федерации об административных правонарушениях;</w:t>
            </w:r>
            <w:r>
              <w:rPr>
                <w:sz w:val="22"/>
                <w:lang w:eastAsia="ru-RU"/>
              </w:rPr>
            </w:r>
            <w:r>
              <w:rPr>
                <w:sz w:val="22"/>
                <w:lang w:eastAsia="ru-RU"/>
              </w:rPr>
            </w:r>
          </w:p>
          <w:p>
            <w:pPr>
              <w:pStyle w:val="912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в) отсу</w:t>
            </w:r>
            <w:r>
              <w:rPr>
                <w:sz w:val="22"/>
                <w:lang w:eastAsia="ru-RU"/>
              </w:rPr>
              <w:t xml:space="preserve">тствие у участника конкурентной закупки с участием субъектов малого и среднего предпринимательства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</w:t>
            </w:r>
            <w:r>
              <w:rPr>
                <w:sz w:val="22"/>
                <w:lang w:eastAsia="ru-RU"/>
              </w:rPr>
              <w:t xml:space="preserve">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</w:t>
            </w:r>
            <w:r>
              <w:rPr>
                <w:sz w:val="22"/>
                <w:lang w:eastAsia="ru-RU"/>
              </w:rPr>
              <w:t xml:space="preserve">зако</w:t>
            </w:r>
            <w:r>
              <w:rPr>
                <w:sz w:val="22"/>
                <w:lang w:eastAsia="ru-RU"/>
              </w:rPr>
              <w:t xml:space="preserve">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</w:t>
            </w:r>
            <w:r>
              <w:rPr>
                <w:sz w:val="22"/>
                <w:lang w:eastAsia="ru-RU"/>
              </w:rPr>
              <w:t xml:space="preserve">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</w:t>
            </w:r>
            <w:r>
              <w:rPr>
                <w:sz w:val="22"/>
                <w:lang w:eastAsia="ru-RU"/>
              </w:rPr>
              <w:t xml:space="preserve">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принято;</w:t>
            </w:r>
            <w:r>
              <w:rPr>
                <w:sz w:val="22"/>
                <w:lang w:eastAsia="ru-RU"/>
              </w:rPr>
            </w:r>
            <w:r>
              <w:rPr>
                <w:sz w:val="22"/>
                <w:lang w:eastAsia="ru-RU"/>
              </w:rPr>
            </w:r>
          </w:p>
          <w:p>
            <w:pPr>
              <w:pStyle w:val="912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г) отсутствие у участника конкурентной закупки с участием субъектов малого и среднего предпринимательства - физического лица, зарегистрированного в качестве индивидуального предпринимателя, либо у руков</w:t>
            </w:r>
            <w:r>
              <w:rPr>
                <w:sz w:val="22"/>
                <w:lang w:eastAsia="ru-RU"/>
              </w:rPr>
              <w:t xml:space="preserve">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конкурентной закупки с участием субъектов малого и среднего предпринимательства неп</w:t>
            </w:r>
            <w:r>
              <w:rPr>
                <w:sz w:val="22"/>
                <w:lang w:eastAsia="ru-RU"/>
              </w:rPr>
              <w:t xml:space="preserve">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</w:t>
            </w:r>
            <w:r>
              <w:rPr>
                <w:sz w:val="22"/>
                <w:lang w:eastAsia="ru-RU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      </w:r>
            <w:r>
              <w:rPr>
                <w:sz w:val="22"/>
                <w:lang w:eastAsia="ru-RU"/>
              </w:rPr>
            </w:r>
            <w:r>
              <w:rPr>
                <w:sz w:val="22"/>
                <w:lang w:eastAsia="ru-RU"/>
              </w:rPr>
            </w:r>
          </w:p>
          <w:p>
            <w:pPr>
              <w:pStyle w:val="912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д) отсутствие фактов привлечения в течение двух лет до момента подачи заявки на участие в конкурентной закупке с участием субъектов малог</w:t>
            </w:r>
            <w:r>
              <w:rPr>
                <w:sz w:val="22"/>
                <w:lang w:eastAsia="ru-RU"/>
              </w:rPr>
              <w:t xml:space="preserve">о и среднего предпринимательства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  <w:r>
              <w:rPr>
                <w:sz w:val="22"/>
                <w:lang w:eastAsia="ru-RU"/>
              </w:rPr>
            </w:r>
            <w:r>
              <w:rPr>
                <w:sz w:val="22"/>
                <w:lang w:eastAsia="ru-RU"/>
              </w:rPr>
            </w:r>
          </w:p>
          <w:p>
            <w:pPr>
              <w:pStyle w:val="912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е)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</w:t>
            </w:r>
            <w:r>
              <w:rPr>
                <w:sz w:val="22"/>
                <w:lang w:eastAsia="ru-RU"/>
              </w:rPr>
              <w:t xml:space="preserve">дерации к лицам, осуществляющим поставку товара, выполнение работы, оказание услуги, являющихся предметом закупки, если в соответствии с законодательством Российской Федерации информация и документы, подтверждающие такое соответствие, содержатся в открытых</w:t>
            </w:r>
            <w:r>
              <w:rPr>
                <w:sz w:val="22"/>
                <w:lang w:eastAsia="ru-RU"/>
              </w:rPr>
              <w:t xml:space="preserve">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  <w:r>
              <w:rPr>
                <w:sz w:val="22"/>
                <w:lang w:eastAsia="ru-RU"/>
              </w:rPr>
            </w:r>
            <w:r>
              <w:rPr>
                <w:sz w:val="22"/>
                <w:lang w:eastAsia="ru-RU"/>
              </w:rPr>
            </w:r>
          </w:p>
          <w:p>
            <w:pPr>
              <w:pStyle w:val="912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ж)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  <w:r>
              <w:rPr>
                <w:sz w:val="22"/>
                <w:lang w:eastAsia="ru-RU"/>
              </w:rPr>
            </w:r>
            <w:r>
              <w:rPr>
                <w:sz w:val="22"/>
                <w:lang w:eastAsia="ru-RU"/>
              </w:rPr>
            </w:r>
          </w:p>
          <w:p>
            <w:pPr>
              <w:pStyle w:val="912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з)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договора;</w:t>
            </w:r>
            <w:r>
              <w:rPr>
                <w:sz w:val="22"/>
                <w:lang w:eastAsia="ru-RU"/>
              </w:rPr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ПРИМЕНЯЕТСЯ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both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both"/>
              <w:widowControl w:val="off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(В случае отсутствия возможности формирования декларации, подтверждающей соответстви</w:t>
            </w:r>
            <w:r>
              <w:rPr>
                <w:i/>
                <w:sz w:val="20"/>
                <w:szCs w:val="20"/>
              </w:rPr>
              <w:t xml:space="preserve">е требованиям, установленным пунктом 9 настоящей документации о конкурентной закупке (извещении об осуществлении конкурентной закупки) с применением аппаратно-программных средств электронной площадки, участник закупки включает в состав заявки на участие в </w:t>
            </w:r>
            <w:r>
              <w:rPr>
                <w:i/>
                <w:sz w:val="20"/>
                <w:szCs w:val="20"/>
              </w:rPr>
              <w:t xml:space="preserve">закупке данную декларацию. Форма такой декларации включена в состав рекомендуемых форм заявки на участие в закупке (прилагаются к документации о конкурентной закупке (извещению об осуществлении конкурентной закупки)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45" w:type="pct"/>
            <w:vAlign w:val="center"/>
            <w:textDirection w:val="lrTb"/>
            <w:noWrap w:val="false"/>
          </w:tcPr>
          <w:p>
            <w:pPr>
              <w:pStyle w:val="912"/>
              <w:ind w:firstLine="317"/>
              <w:jc w:val="both"/>
              <w:widowControl w:val="off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10) копии документов, подтверждающих соответствие товара, работы или услуги, являющихся предметом закупки, требованиям, установленным в соответствии с законодательством Российской Федерации, в случае, если требования к данным товару, работе или </w:t>
            </w:r>
            <w:r>
              <w:rPr>
                <w:sz w:val="22"/>
                <w:lang w:eastAsia="ru-RU"/>
              </w:rPr>
              <w:t xml:space="preserve">услуге установлены в соответствии с законодательством Российс</w:t>
            </w:r>
            <w:r>
              <w:rPr>
                <w:sz w:val="22"/>
                <w:lang w:eastAsia="ru-RU"/>
              </w:rPr>
              <w:t xml:space="preserve">кой Федерации и перечень таких документов предусмотрен документацией о конкурентной закупке. При этом не допускается требовать представление указанных документов, если в соответствии с законодательством Российской Федерации они передаются вместе с товаром.</w:t>
            </w:r>
            <w:r>
              <w:rPr>
                <w:sz w:val="22"/>
                <w:lang w:eastAsia="ru-RU"/>
              </w:rPr>
            </w:r>
            <w:r>
              <w:rPr>
                <w:sz w:val="22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45" w:type="pct"/>
            <w:vAlign w:val="center"/>
            <w:textDirection w:val="lrTb"/>
            <w:noWrap w:val="false"/>
          </w:tcPr>
          <w:p>
            <w:pPr>
              <w:pStyle w:val="914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11) </w:t>
            </w:r>
            <w:r>
              <w:rPr>
                <w:sz w:val="22"/>
                <w:szCs w:val="22"/>
                <w:lang w:val="ru-RU" w:eastAsia="ru-RU"/>
              </w:rPr>
              <w:t xml:space="preserve">наименование страны происхождения п</w:t>
            </w:r>
            <w:r>
              <w:rPr>
                <w:sz w:val="22"/>
                <w:szCs w:val="22"/>
                <w:lang w:val="ru-RU" w:eastAsia="ru-RU"/>
              </w:rPr>
              <w:t xml:space="preserve">оставляемого товара (при осуществлении закупки товара, в том числе поставляемого заказчику при выполнении закупаемых работ, оказании закупаемых услуг), информация и документы, определенные в соответствии с пунктом 2 части 2 статьи 3.1-4 Федерального закона</w:t>
            </w:r>
            <w:r>
              <w:rPr>
                <w:sz w:val="22"/>
                <w:szCs w:val="22"/>
                <w:lang w:val="ru-RU" w:eastAsia="ru-RU"/>
              </w:rPr>
              <w:t xml:space="preserve"> № 223-ФЗ</w:t>
            </w:r>
            <w:r>
              <w:rPr>
                <w:sz w:val="22"/>
                <w:szCs w:val="22"/>
                <w:lang w:val="ru-RU" w:eastAsia="ru-RU"/>
              </w:rPr>
            </w:r>
            <w:r>
              <w:rPr>
                <w:sz w:val="22"/>
                <w:szCs w:val="22"/>
                <w:lang w:val="ru-RU" w:eastAsia="ru-RU"/>
              </w:rPr>
            </w:r>
          </w:p>
          <w:p>
            <w:pPr>
              <w:pStyle w:val="914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</w:r>
            <w:r>
              <w:rPr>
                <w:sz w:val="22"/>
                <w:szCs w:val="22"/>
                <w:lang w:val="ru-RU" w:eastAsia="ru-RU"/>
              </w:rPr>
            </w:r>
            <w:r>
              <w:rPr>
                <w:sz w:val="22"/>
                <w:szCs w:val="22"/>
                <w:lang w:val="ru-RU" w:eastAsia="ru-RU"/>
              </w:rPr>
            </w:r>
          </w:p>
          <w:p>
            <w:pPr>
              <w:pStyle w:val="914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Информацией и документами, подтверждающими страну происхождения товара в части вышеприведенных мер, и в целях учета объема закупок товаров российского происхождения, является:</w:t>
            </w:r>
            <w:r>
              <w:rPr>
                <w:sz w:val="22"/>
                <w:szCs w:val="22"/>
                <w:lang w:val="ru-RU" w:eastAsia="ru-RU"/>
              </w:rPr>
            </w:r>
            <w:r>
              <w:rPr>
                <w:sz w:val="22"/>
                <w:szCs w:val="22"/>
                <w:lang w:val="ru-RU" w:eastAsia="ru-RU"/>
              </w:rPr>
            </w:r>
          </w:p>
          <w:tbl>
            <w:tblPr>
              <w:tblStyle w:val="943"/>
              <w:tblW w:w="680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3444"/>
              <w:gridCol w:w="3364"/>
            </w:tblGrid>
            <w:tr>
              <w:tblPrEx/>
              <w:trPr/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20960561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hint="eastAsia" w:ascii="MS Gothic" w:hAnsi="MS Gothic" w:eastAsia="MS Gothic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номер реестровой записи</w:t>
                  </w: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16658909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hint="eastAsia" w:ascii="MS Gothic" w:hAnsi="MS Gothic" w:eastAsia="MS Gothic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из российского (евразийского) реестра промышленной продукции</w:t>
                  </w: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-1054299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ascii="Segoe UI Symbol" w:hAnsi="Segoe UI Symbol" w:cs="Segoe UI Symbol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из реестра российского (евразийского) программного обеспечения</w:t>
                  </w: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-7244521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ascii="Segoe UI Symbol" w:hAnsi="Segoe UI Symbol" w:eastAsia="MS Gothic" w:cs="Segoe UI Symbol"/>
                          <w:bCs/>
                          <w:sz w:val="22"/>
                          <w:szCs w:val="22"/>
                        </w:rPr>
                        <w:t xml:space="preserve">☒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наименование страны происхождения</w:t>
                  </w: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  <w:tr>
              <w:tblPrEx/>
              <w:trPr/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-18823986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ascii="Segoe UI Symbol" w:hAnsi="Segoe UI Symbol" w:cs="Segoe UI Symbol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акт экспертизы ТПП РФ или аналогичный документ, выданный в ЕАЭС</w:t>
                  </w: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  <w:tr>
              <w:tblPrEx/>
              <w:trPr/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20147204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hint="eastAsia" w:ascii="MS Gothic" w:hAnsi="MS Gothic" w:eastAsia="MS Gothic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сертификат о происхождении товара (СТ-1)</w:t>
                  </w: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  <w:tr>
              <w:tblPrEx/>
              <w:trPr/>
              <w:tc>
                <w:tcPr>
                  <w:tcW w:w="344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/>
                  <w:sdt>
                    <w:sdtPr>
                      <w15:appearance w15:val="boundingBox"/>
                      <w:id w:val="21305064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  <w:rPr>
                        <w:bCs/>
                        <w:sz w:val="22"/>
                        <w:szCs w:val="22"/>
                      </w:rPr>
                    </w:sdtPr>
                    <w:sdtContent>
                      <w:r>
                        <w:rPr>
                          <w:rFonts w:ascii="Segoe UI Symbol" w:hAnsi="Segoe UI Symbol" w:cs="Segoe UI Symbol"/>
                          <w:bCs/>
                          <w:sz w:val="22"/>
                          <w:szCs w:val="22"/>
                        </w:rPr>
                        <w:t xml:space="preserve">☐</w:t>
                      </w:r>
                    </w:sdtContent>
                  </w:sdt>
                  <w:r>
                    <w:rPr>
                      <w:bCs/>
                      <w:sz w:val="22"/>
                      <w:szCs w:val="22"/>
                    </w:rPr>
                    <w:t xml:space="preserve"> реквизиты (дата и номер) документа о соответствии производства </w:t>
                  </w:r>
                  <w:r>
                    <w:rPr>
                      <w:bCs/>
                      <w:sz w:val="22"/>
                      <w:szCs w:val="22"/>
                    </w:rPr>
                    <w:t xml:space="preserve">медизделий</w:t>
                  </w:r>
                  <w:r>
                    <w:rPr>
                      <w:bCs/>
                      <w:sz w:val="22"/>
                      <w:szCs w:val="22"/>
                    </w:rPr>
                    <w:t xml:space="preserve"> требованиям ГОСТ ISO 13485-2017</w:t>
                  </w: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  <w:tc>
                <w:tcPr>
                  <w:tcW w:w="3364" w:type="dxa"/>
                  <w:textDirection w:val="lrTb"/>
                  <w:noWrap w:val="false"/>
                </w:tcPr>
                <w:p>
                  <w:pPr>
                    <w:jc w:val="both"/>
                    <w:tabs>
                      <w:tab w:val="left" w:pos="268" w:leader="none"/>
                    </w:tabs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  <w:r>
                    <w:rPr>
                      <w:bCs/>
                      <w:sz w:val="22"/>
                      <w:szCs w:val="22"/>
                    </w:rPr>
                  </w:r>
                </w:p>
              </w:tc>
            </w:tr>
          </w:tbl>
          <w:p>
            <w:pPr>
              <w:pStyle w:val="914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</w:r>
            <w:r>
              <w:rPr>
                <w:sz w:val="22"/>
                <w:szCs w:val="22"/>
                <w:lang w:val="ru-RU" w:eastAsia="ru-RU"/>
              </w:rPr>
            </w:r>
            <w:r>
              <w:rPr>
                <w:sz w:val="22"/>
                <w:szCs w:val="22"/>
                <w:lang w:val="ru-RU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</w:t>
            </w:r>
            <w:r>
              <w:rPr>
                <w:rStyle w:val="927"/>
                <w:szCs w:val="22"/>
              </w:rPr>
              <w:footnoteReference w:id="3"/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pct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45" w:type="pct"/>
            <w:vAlign w:val="center"/>
            <w:textDirection w:val="lrTb"/>
            <w:noWrap w:val="false"/>
          </w:tcPr>
          <w:p>
            <w:pPr>
              <w:pStyle w:val="914"/>
              <w:ind w:left="0" w:firstLine="317"/>
              <w:spacing w:after="0"/>
              <w:widowControl w:val="off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Предоставление в составе второй части заявки на участие в аукционе выписки из Единого реестра субъектов малого и среднего предпринимательства.</w:t>
            </w:r>
            <w:r>
              <w:rPr>
                <w:sz w:val="22"/>
                <w:szCs w:val="22"/>
                <w:lang w:val="ru-RU" w:eastAsia="ru-RU"/>
              </w:rPr>
            </w:r>
            <w:r>
              <w:rPr>
                <w:sz w:val="22"/>
                <w:szCs w:val="22"/>
                <w:lang w:val="ru-RU"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99" w:type="pct"/>
            <w:vAlign w:val="center"/>
            <w:textDirection w:val="lrTb"/>
            <w:noWrap w:val="false"/>
          </w:tcPr>
          <w:p>
            <w:pPr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РЕКОМЕНДУЕТСЯ (ДОПУСКАЕТСЯ)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ind w:firstLine="454"/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</w:t>
            </w:r>
            <w:r>
              <w:rPr>
                <w:b/>
                <w:sz w:val="22"/>
                <w:szCs w:val="22"/>
              </w:rPr>
              <w:t xml:space="preserve">. Порядок подачи заявок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Порядок подачи Заявок на электронной торговой площадке определяется правилами и инструкциями Электронной торговой площадки </w:t>
            </w:r>
            <w:r>
              <w:rPr>
                <w:sz w:val="22"/>
                <w:szCs w:val="22"/>
              </w:rPr>
              <w:t xml:space="preserve">Российский аукционный дом</w:t>
            </w:r>
            <w:r>
              <w:rPr>
                <w:sz w:val="22"/>
                <w:szCs w:val="22"/>
              </w:rPr>
              <w:t xml:space="preserve">, адрес электронной площадки в сети Интернет: </w:t>
            </w:r>
            <w:hyperlink r:id="rId14" w:tooltip="https://tender.lot-online.ru" w:history="1">
              <w:r>
                <w:rPr>
                  <w:rStyle w:val="913"/>
                  <w:sz w:val="22"/>
                  <w:szCs w:val="22"/>
                </w:rPr>
                <w:t xml:space="preserve">https://tender.lot-online.ru</w:t>
              </w:r>
            </w:hyperlink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Заявка на участие в закупке направляется участником оператору электронной площадки в форме электронных документов. Указанные электронные документы подаются одновременно.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Непредставление необходимых документов в составе заявки, наличие в таких документах недостоверных сведений об участнике и (или) предмет</w:t>
            </w:r>
            <w:r>
              <w:rPr>
                <w:sz w:val="22"/>
                <w:szCs w:val="22"/>
              </w:rPr>
              <w:t xml:space="preserve">е закупки, несоответствие предоставленных документов требованиям настоящей закупочной документации является риском участника закупки, подавшего такую заявку, и может являться основанием для отказа в допуске участника закупки к участию в процедуре закупки.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закупки не допускается Закупочной комиссией к дальнейшему участию в закупке в случаях: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-содержания в первой части заявки сведений о ценовом предложении участника;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-содержания в первой части заявки сведений об участнике закупки;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-непредставления соответствующих этапу закупки документов, или предоставления их с нарушением условий, указанных в настоящей закупочной документации;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-несоответств</w:t>
            </w:r>
            <w:r>
              <w:rPr>
                <w:sz w:val="22"/>
                <w:szCs w:val="22"/>
              </w:rPr>
              <w:t xml:space="preserve">ия Спецификации технической части, технического предложения (технических характеристик продукции, технических условий продукции, сроков поставки товара/выполнения работ/оказания услуг) требованиям настоящей закупочной документации (если данные технические </w:t>
            </w:r>
            <w:r>
              <w:rPr>
                <w:sz w:val="22"/>
                <w:szCs w:val="22"/>
              </w:rPr>
              <w:t xml:space="preserve">требования, условия, определены как обязательные);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54"/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несоответствие требованиям закупочной документации для данной закупки.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</w:t>
            </w:r>
            <w:r>
              <w:rPr>
                <w:b/>
                <w:sz w:val="22"/>
                <w:szCs w:val="22"/>
              </w:rPr>
              <w:t xml:space="preserve">. Внесение изменений в документацию о закупке.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Разъяснение положений закупочной документации.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Внесение изменений в извещение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ind w:firstLine="41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Заказчик до окончания срока подачи заявок вправе принять решение о внесении изменений в извещение о проведении аукциона в электронной форме, документацию о закупке. При этом может быть продлен срок окончания подачи заявок.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1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Изменения, вносимые в извещение об осуществлении конкурентной закупки, документацию о конкурентной закупке, разъяснения положений документации о конкурен</w:t>
            </w:r>
            <w:r>
              <w:rPr>
                <w:sz w:val="22"/>
                <w:szCs w:val="22"/>
              </w:rPr>
              <w:t xml:space="preserve">тной закупке размещаются заказчиком в единой информационной системе, на официальном сайте, за исключением случаев, предусмотренных Федеральным законом № 223-ФЗ, не позднее чем в течение трех дней со дня принятия решения о внесении указанных изменений, пред</w:t>
            </w:r>
            <w:r>
              <w:rPr>
                <w:sz w:val="22"/>
                <w:szCs w:val="22"/>
              </w:rPr>
              <w:t xml:space="preserve">оставления указанных разъяснений. В случае внесения изменений в извещение об осуществлении конкурентной закупки, документацию о конкурентной закупке срок подачи заявок на участие в такой закупке должен быть продлен таким образом, чтобы с даты размещения в </w:t>
            </w:r>
            <w:r>
              <w:rPr>
                <w:sz w:val="22"/>
                <w:szCs w:val="22"/>
              </w:rPr>
              <w:t xml:space="preserve">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закупке, установленного положением о закупке для данного способа закупки.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6</w:t>
            </w:r>
            <w:r>
              <w:rPr>
                <w:b/>
                <w:sz w:val="22"/>
                <w:szCs w:val="22"/>
              </w:rPr>
              <w:t xml:space="preserve">. Обеспечение исполнения обязательств в связи с подачей заявок на участие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Обеспечение заявки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ind w:firstLine="414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Не установлено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t xml:space="preserve">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Обеспечение исполнения договора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ind w:firstLine="414"/>
              <w:jc w:val="both"/>
              <w:widowControl w:val="off"/>
              <w:rPr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 xml:space="preserve">Не установлено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</w:t>
            </w:r>
            <w:r>
              <w:rPr>
                <w:b/>
                <w:sz w:val="22"/>
                <w:szCs w:val="22"/>
              </w:rPr>
              <w:t xml:space="preserve">. Порядок рассмотрения, критерии оценки и сопоставления заявок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.1. Заявки участников принимаются в течение срока подачи заявок, установленного закупочной документацией.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.2. Участник вправе подать только одну заявку на участие в аукционе в электронной форме. В случае установления факта подачи одним участником закупки двух </w:t>
            </w:r>
            <w:r>
              <w:rPr>
                <w:sz w:val="22"/>
                <w:szCs w:val="22"/>
              </w:rPr>
              <w:t xml:space="preserve">и более заявок на участие в аукционе в электронной форме, при условии, что поданные ранее этим участником заявки на участие в аукционе в электронной форме не отозваны, все заявки на участие в аукционе в электронной форме этого участника не рассматриваются.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.3. Участники, подавшие заявки, обязаны обеспечить конфиденциальность сведений, содержащихся в таких заявках.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.4. Участник, подавший заявку, вправе изменить ее до окончания срока подачи заявок. Изменения, внесенные в заявку, считаются неотъемлемой ее частью. Изменения в заявку подаются в</w:t>
            </w:r>
            <w:r>
              <w:rPr>
                <w:sz w:val="22"/>
                <w:szCs w:val="22"/>
              </w:rPr>
              <w:t xml:space="preserve"> срок и в порядке, предусмотренные для подачи заявок. Внесение изменений в заявку после окончания срока подачи заявок не допускается. При этом при подаче участником закупки (новой) измененной заявки, предыдущая заявка такого участника должна быть отозвана.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.5. Участник, подавший заявку, вправе отозвать ее до окончания срока подачи заявок. Отзыв заявок после окончания срока подачи заявок не допускается.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.6. Заявка на участие в закупочной процедуре действует в течение </w:t>
            </w:r>
            <w:r>
              <w:rPr>
                <w:sz w:val="22"/>
                <w:szCs w:val="22"/>
              </w:rPr>
              <w:t xml:space="preserve">срока, указанного в заявке участника (при этом, срок, указанный в заявке участника, не должен оканчиваться ранее срока окончания подачи заявок участниками, установленного закупочной документацией по закупке, в отношении которой подается заявка участником).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.7. Аукцион в электронной форме включает в себя порядок подачи его участниками предложений о цене договора с учетом следующих требований: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«шаг аукциона» составляет от 0,5 процента до 5 процентов начальной (максимальной) цены договора;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снижение текущего минимального предложения о цене договора осуществляется на величину в пределах «шага аукциона»;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3) участник аукциона в электронной форме не вправе подать предложение о цене договора, равное ранее поданному этим участником предложению о цене договора или большее, чем оно, а также предложение о цене договора, равное нулю;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4) участник аукциона в электронной форме не вправе подать предложение о цене договора, которое </w:t>
            </w:r>
            <w:r>
              <w:rPr>
                <w:sz w:val="22"/>
                <w:szCs w:val="22"/>
              </w:rPr>
              <w:t xml:space="preserve">ниже, чем текущее минимальное предложение о цене договора, сниженное в пределах «шага аукциона»;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5) участник аукциона в электронной форме не вправе подать предложение о цене договора, которое ниже, чем текущее минимальное предложение о цене </w:t>
            </w:r>
            <w:r>
              <w:rPr>
                <w:sz w:val="22"/>
                <w:szCs w:val="22"/>
              </w:rPr>
              <w:t xml:space="preserve">договора, в случае, если</w:t>
            </w:r>
            <w:r>
              <w:rPr>
                <w:sz w:val="22"/>
                <w:szCs w:val="22"/>
              </w:rPr>
              <w:t xml:space="preserve"> оно подано этим участником аукциона в электронной форме.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.8. В течение часа после размещения в ЕИС протокола сопоставления ценовых предложений</w:t>
            </w:r>
            <w:r>
              <w:rPr>
                <w:sz w:val="22"/>
                <w:szCs w:val="22"/>
              </w:rPr>
              <w:t xml:space="preserve"> оператор электронной площадки направляет Заказчику результаты осуществленного сопоставления ценовых предложений, информацию о ценовых предложениях каждого участника аукциона в электронной форме, вторые части заявок участников аукциона в электронной форме.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7</w:t>
            </w:r>
            <w:r>
              <w:rPr>
                <w:sz w:val="22"/>
                <w:szCs w:val="22"/>
                <w:lang w:eastAsia="en-US"/>
              </w:rPr>
              <w:t xml:space="preserve">.9. </w:t>
            </w:r>
            <w:r>
              <w:rPr>
                <w:sz w:val="22"/>
                <w:szCs w:val="22"/>
              </w:rPr>
              <w:t xml:space="preserve">Заявки на участие в аукционе в электронной форме и участники закупки, подавшие такие заявки, рассматриваются </w:t>
            </w:r>
            <w:r>
              <w:rPr>
                <w:sz w:val="22"/>
                <w:szCs w:val="22"/>
                <w:lang w:eastAsia="en-US"/>
              </w:rPr>
              <w:t xml:space="preserve">Закупочной комиссией </w:t>
            </w:r>
            <w:r>
              <w:rPr>
                <w:sz w:val="22"/>
                <w:szCs w:val="22"/>
              </w:rPr>
              <w:t xml:space="preserve">на соответствие требованиям, установленным закупочной документацией</w:t>
            </w:r>
            <w:r>
              <w:rPr>
                <w:sz w:val="22"/>
                <w:szCs w:val="22"/>
                <w:lang w:eastAsia="en-US"/>
              </w:rPr>
              <w:t xml:space="preserve">: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участника общим требованиям к участникам закупки;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участника специальным требованиям к участникам закупки (если такие требования установлены закупочной документацией);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товаров, работ, услуг, договорных условий, предлагаемых участником закупки, требованиям, установленным закупочной документацией;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соответствие заявки участника требованиям закупочной документации;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участником всех документов и сведений, предусмотренных закупочной документацией;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7"/>
              </w:numPr>
              <w:ind w:left="0"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достоверность документов и сведений, предоставленных в составе заявки участника.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tabs>
                <w:tab w:val="left" w:pos="851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закупочной документации может устанавливаться требование об антидемпинговых мерах, если такие требования предусмотрены Положением о закупке товаров, работ, услуг.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596"/>
              <w:jc w:val="both"/>
              <w:widowControl w:val="off"/>
              <w:tabs>
                <w:tab w:val="left" w:pos="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.12. На основании результатов рассмотрения заявок на участие в аукционе в электронной форме Закупочной комиссией принимается решение о соответствии заявки требованиям закупочной документации или об отклонении такой заявки.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8</w:t>
            </w:r>
            <w:r>
              <w:rPr>
                <w:b/>
                <w:sz w:val="22"/>
                <w:szCs w:val="22"/>
                <w:lang w:eastAsia="en-US"/>
              </w:rPr>
              <w:t xml:space="preserve">. Завершение процедуры закупки</w:t>
            </w: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Рассмотрение заявок (первых, вторых частей), подведение итогов </w:t>
            </w:r>
            <w:r>
              <w:rPr>
                <w:b/>
                <w:sz w:val="22"/>
                <w:szCs w:val="22"/>
              </w:rPr>
              <w:t xml:space="preserve">аукциона в электронной форме 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 итогам рассмотрения первых частей заявок на участие в аукционе в элек</w:t>
            </w:r>
            <w:r>
              <w:rPr>
                <w:sz w:val="22"/>
                <w:szCs w:val="22"/>
                <w:lang w:eastAsia="en-US"/>
              </w:rPr>
              <w:t xml:space="preserve">тронной форме заказчик направляет оператору электронной площадки протокол, указанный в части 13 статьи 3.2 Закона № 223-ФЗ. В течение часа с момента получения указанного протокола оператор электронной площадки размещает его в единой информационной системе.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Оператор электронной площадки в следующем порядке направляет заказчику вторые части заявок на участие в аукционе в электронной форме сроки, установленные документацией о закупке.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59"/>
              <w:jc w:val="both"/>
              <w:widowControl w:val="off"/>
              <w:tabs>
                <w:tab w:val="left" w:pos="29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Комиссия по осуществлению закупок на основании результатов рассмотрения заявок на участие в аукционе в электронной форме присваивает каждой заявке порядковый номер в порядке уменьшения степени выгодности содержащихся в них условий исп</w:t>
            </w:r>
            <w:r>
              <w:rPr>
                <w:sz w:val="22"/>
                <w:szCs w:val="22"/>
              </w:rPr>
              <w:t xml:space="preserve">олнения договора, наименьшему ценовому предложению, присваивается первый номер. В случае, если в нескольких таких заявках содержатся одинаковые ценовые предложения, меньший порядковый номер присваивается заявке, которая поступила ранее других таких заявок.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Срок отказа от проведения закупочной процедуры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ind w:firstLine="459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Заказчик вправе отменить аукцион в электронной форме до наступления даты и времени окончания срока подачи заявок на участие в аукционе в электронной форме. Решение об отмене аукциона в электронной форме размещается в ЕИС в день принятия этого решения.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Условия заключения договора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ind w:firstLine="459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Договор составляется путем включения условий исполнения договора, предложенных победителем аукциона в электронной форме в составе заявки, а также предложенной в ходе проведения </w:t>
            </w:r>
            <w:r>
              <w:rPr>
                <w:sz w:val="22"/>
                <w:szCs w:val="22"/>
              </w:rPr>
              <w:t xml:space="preserve">аукциона в электронной форме цены договора / начальной (максимальной) цены договора или иной согласованной с единственным участником аукциона в электронной форме цены, не превышающей начальную (максимальную) цену договора, в проект договора, прилагаемый к </w:t>
            </w:r>
            <w:r>
              <w:rPr>
                <w:sz w:val="22"/>
                <w:szCs w:val="22"/>
              </w:rPr>
              <w:t xml:space="preserve">документации о закупке.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59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если при проведении аукциона в электронной форме цена договора снижена до нуля и аукцион в электронной форме проводился на право заключить договор.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Срок заключения договора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ind w:firstLine="492"/>
              <w:jc w:val="both"/>
              <w:widowControl w:val="off"/>
              <w:rPr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Договор по результатам аукциона в электронной форме заключается не ранее чем через 10 (десять) дней и не позднее чем через 20 (двадцать) дней с даты</w:t>
            </w:r>
            <w:r>
              <w:rPr>
                <w:bCs/>
                <w:sz w:val="22"/>
                <w:szCs w:val="22"/>
                <w:lang w:eastAsia="en-US"/>
              </w:rPr>
              <w:t xml:space="preserve"> размещения в ЕИС итогового протокола, составленного по результатам аукциона в электронной форме. </w:t>
            </w:r>
            <w:r>
              <w:rPr>
                <w:bCs/>
                <w:sz w:val="22"/>
                <w:szCs w:val="22"/>
                <w:lang w:eastAsia="en-US"/>
              </w:rPr>
            </w:r>
            <w:r>
              <w:rPr>
                <w:bCs/>
                <w:sz w:val="22"/>
                <w:szCs w:val="22"/>
                <w:lang w:eastAsia="en-US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Договор по </w:t>
            </w:r>
            <w:r>
              <w:rPr>
                <w:bCs/>
                <w:sz w:val="22"/>
                <w:szCs w:val="22"/>
                <w:lang w:eastAsia="en-US"/>
              </w:rPr>
              <w:t xml:space="preserve">результатам конкурентной закупки с участием субъектов малого и среднего предпринимательства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</w:t>
            </w:r>
            <w:r>
              <w:rPr>
                <w:bCs/>
                <w:sz w:val="22"/>
                <w:szCs w:val="22"/>
                <w:lang w:eastAsia="en-US"/>
              </w:rPr>
              <w:t xml:space="preserve">и соответственно участника такой конкурентной закупки, заказчика. В случае наличия разногласий по проекту договора, направленному заказчиком, участник такой закупки составляет протокол разногласий с указанием замечаний к положениям проекта договора, не соо</w:t>
            </w:r>
            <w:r>
              <w:rPr>
                <w:bCs/>
                <w:sz w:val="22"/>
                <w:szCs w:val="22"/>
                <w:lang w:eastAsia="en-US"/>
              </w:rPr>
              <w:t xml:space="preserve">тветствующим документации о конкурентной закупке и своей заявке, с указанием соответствующих положений данных документов. Протокол разногласий направляется заказчику с использованием программно-аппаратных средств электронной площадки. Заказчик рассматривае</w:t>
            </w:r>
            <w:r>
              <w:rPr>
                <w:bCs/>
                <w:sz w:val="22"/>
                <w:szCs w:val="22"/>
                <w:lang w:eastAsia="en-US"/>
              </w:rPr>
              <w:t xml:space="preserve">т протокол разногласий и направляет участнику такой закупки,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Обязанность участника отслеживать информацию о закупке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ind w:firstLine="580"/>
              <w:jc w:val="both"/>
              <w:widowControl w:val="off"/>
              <w:tabs>
                <w:tab w:val="num" w:pos="198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Участники должны самостоятельно отслеживать опубликованные на официальном сайте разъяснения и изменения документации, информацию о принятых в ходе закупки решениях, сформированных в формате протоколов.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Возможность заказчика изменить условия договора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ПРЕДУСМОТРЕНО:</w:t>
            </w:r>
            <w:r>
              <w:rPr>
                <w:sz w:val="22"/>
                <w:szCs w:val="22"/>
              </w:rPr>
              <w:t xml:space="preserve"> в соответствии с условиями договора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1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656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1521" w:type="pct"/>
            <w:vAlign w:val="center"/>
            <w:textDirection w:val="lrTb"/>
            <w:noWrap w:val="false"/>
          </w:tcPr>
          <w:p>
            <w:pPr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Последствия уклонения участника от заключения договора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2823" w:type="pct"/>
            <w:vAlign w:val="center"/>
            <w:textDirection w:val="lrTb"/>
            <w:noWrap w:val="false"/>
          </w:tcPr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Победитель закупки признан уклонившимся от заключения договора в следующих случаях: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Не представил подписанный договор (отказался от заключения договора) в редакции Заказчика в срок, установленный документацией (извещением) о закупке.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Не предоставил обеспечение исполнения договора в срок, установленный документацией (извещением) о </w:t>
            </w:r>
            <w:r>
              <w:rPr>
                <w:sz w:val="22"/>
                <w:szCs w:val="22"/>
              </w:rPr>
              <w:t xml:space="preserve">закупке, или предоставил с нарушением условий, указанных в документации (извещении) о закупке, – если требование о предоставлении такого обеспечения было предусмотрено документацией о закупке, извещением об аукционе в электронной форме и проектом договора.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Не внес денежные средства в размере предложенной участником закупки цены за право заключения договора (если при проведении аукциона в электронной форме цена договора снижена до нуля и аукцион в электронной форме проводился на право заключить договор).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признания Участника закупки уклонившимся от заключения договора, внесенное обеспечение заявки такому участнику закупки не возвращается.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случае, когда победитель закупки, признан уклонившимся от заключения договора или отказался от заключения договора, Заказчик вправе предложить заключить договор с участником аукциона в электронной </w:t>
            </w:r>
            <w:r>
              <w:rPr>
                <w:sz w:val="22"/>
                <w:szCs w:val="22"/>
              </w:rPr>
              <w:t xml:space="preserve">форме, заявке которого присвоен второй номер.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492"/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966"/>
        <w:ind w:left="1134"/>
        <w:pageBreakBefore/>
        <w:rPr>
          <w:rFonts w:ascii="Times New Roman" w:hAnsi="Times New Roman"/>
          <w:sz w:val="22"/>
          <w:szCs w:val="22"/>
        </w:rPr>
      </w:pPr>
      <w:r/>
      <w:bookmarkStart w:id="1" w:name="_Toc536454773"/>
      <w:r/>
      <w:bookmarkStart w:id="2" w:name="_Ref314161369"/>
      <w:r/>
      <w:bookmarkStart w:id="3" w:name="_Toc415874697"/>
      <w:r/>
      <w:bookmarkStart w:id="4" w:name="_Ref414291069"/>
      <w:r/>
      <w:bookmarkStart w:id="5" w:name="_Ref414276712"/>
      <w:r/>
      <w:bookmarkStart w:id="6" w:name="_Hlk128567428"/>
      <w:r>
        <w:rPr>
          <w:rFonts w:ascii="Times New Roman" w:hAnsi="Times New Roman"/>
          <w:sz w:val="22"/>
          <w:szCs w:val="22"/>
        </w:rPr>
        <w:t xml:space="preserve">ОБРАЗЦЫ ФОРМ ДОКУМЕНТОВ, ВКЛЮЧАЕМЫХ В ЗАЯВКУ</w:t>
      </w:r>
      <w:bookmarkEnd w:id="1"/>
      <w:r/>
      <w:bookmarkEnd w:id="2"/>
      <w:r/>
      <w:bookmarkEnd w:id="3"/>
      <w:r/>
      <w:bookmarkEnd w:id="4"/>
      <w:r/>
      <w:bookmarkEnd w:id="5"/>
      <w:r>
        <w:rPr>
          <w:rFonts w:ascii="Times New Roman" w:hAnsi="Times New Roman"/>
          <w:sz w:val="22"/>
          <w:szCs w:val="22"/>
        </w:rPr>
      </w:r>
      <w:r>
        <w:rPr>
          <w:rFonts w:ascii="Times New Roman" w:hAnsi="Times New Roman"/>
          <w:sz w:val="22"/>
          <w:szCs w:val="22"/>
        </w:rPr>
      </w:r>
    </w:p>
    <w:p>
      <w:pPr>
        <w:ind w:firstLine="567"/>
        <w:jc w:val="both"/>
        <w:rPr>
          <w:i/>
          <w:sz w:val="22"/>
          <w:szCs w:val="22"/>
          <w:shd w:val="clear" w:color="auto" w:fill="ffff99"/>
        </w:rPr>
      </w:pPr>
      <w:r>
        <w:rPr>
          <w:i/>
          <w:sz w:val="22"/>
          <w:szCs w:val="22"/>
          <w:shd w:val="clear" w:color="auto" w:fill="ffff99"/>
        </w:rPr>
      </w:r>
      <w:r>
        <w:rPr>
          <w:i/>
          <w:sz w:val="22"/>
          <w:szCs w:val="22"/>
          <w:shd w:val="clear" w:color="auto" w:fill="ffff99"/>
        </w:rPr>
      </w:r>
      <w:r>
        <w:rPr>
          <w:i/>
          <w:sz w:val="22"/>
          <w:szCs w:val="22"/>
          <w:shd w:val="clear" w:color="auto" w:fill="ffff99"/>
        </w:rPr>
      </w:r>
    </w:p>
    <w:p>
      <w:pPr>
        <w:jc w:val="center"/>
        <w:spacing w:before="120"/>
        <w:tabs>
          <w:tab w:val="left" w:pos="9355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ВНИМАНИЮ УЧАСТНИКОВ ЗАКУПКИ!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before="120"/>
        <w:tabs>
          <w:tab w:val="left" w:pos="9355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ind w:firstLine="567"/>
        <w:jc w:val="both"/>
        <w:rPr>
          <w:i/>
          <w:sz w:val="22"/>
          <w:szCs w:val="22"/>
          <w:shd w:val="clear" w:color="auto" w:fill="ffff99"/>
        </w:rPr>
      </w:pPr>
      <w:r>
        <w:rPr>
          <w:bCs/>
          <w:sz w:val="22"/>
          <w:szCs w:val="22"/>
        </w:rPr>
        <w:t xml:space="preserve">Документы, заполняемые участниками закупки и включаемые в состав заявки, рекомендуется формировать в соответствии с образцами форм документов, приведенных в документации о закупке.</w:t>
      </w:r>
      <w:r>
        <w:rPr>
          <w:i/>
          <w:sz w:val="22"/>
          <w:szCs w:val="22"/>
          <w:shd w:val="clear" w:color="auto" w:fill="ffff99"/>
        </w:rPr>
      </w:r>
      <w:r>
        <w:rPr>
          <w:i/>
          <w:sz w:val="22"/>
          <w:szCs w:val="22"/>
          <w:shd w:val="clear" w:color="auto" w:fill="ffff99"/>
        </w:rPr>
      </w:r>
    </w:p>
    <w:p>
      <w:pPr>
        <w:jc w:val="center"/>
        <w:spacing w:before="120"/>
        <w:tabs>
          <w:tab w:val="left" w:pos="9355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Образцы форм документов, включаемых в первую часть заявки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before="120"/>
        <w:tabs>
          <w:tab w:val="left" w:pos="9355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firstLine="567"/>
        <w:jc w:val="center"/>
        <w:rPr>
          <w:b/>
          <w:sz w:val="22"/>
          <w:szCs w:val="22"/>
          <w:shd w:val="clear" w:color="auto" w:fill="ffff99"/>
        </w:rPr>
      </w:pPr>
      <w:r>
        <w:rPr>
          <w:b/>
          <w:sz w:val="22"/>
          <w:szCs w:val="22"/>
          <w:shd w:val="clear" w:color="auto" w:fill="ffff99"/>
        </w:rPr>
        <w:t xml:space="preserve">В первой части заявки на участие в аукционе в электронной форме не допускается указание сведений об участнике аукциона (организационно-правовую форму, адрес, печати, подписи, и пр.), а также сведений о ценовом предложении!</w:t>
      </w:r>
      <w:r>
        <w:rPr>
          <w:b/>
          <w:sz w:val="22"/>
          <w:szCs w:val="22"/>
          <w:shd w:val="clear" w:color="auto" w:fill="ffff99"/>
        </w:rPr>
      </w:r>
      <w:r>
        <w:rPr>
          <w:b/>
          <w:sz w:val="22"/>
          <w:szCs w:val="22"/>
          <w:shd w:val="clear" w:color="auto" w:fill="ffff99"/>
        </w:rPr>
      </w:r>
    </w:p>
    <w:p>
      <w:pPr>
        <w:ind w:firstLine="567"/>
        <w:jc w:val="center"/>
        <w:rPr>
          <w:b/>
          <w:sz w:val="22"/>
          <w:szCs w:val="22"/>
          <w:shd w:val="clear" w:color="auto" w:fill="ffff99"/>
        </w:rPr>
      </w:pPr>
      <w:r>
        <w:rPr>
          <w:b/>
          <w:sz w:val="22"/>
          <w:szCs w:val="22"/>
          <w:shd w:val="clear" w:color="auto" w:fill="ffff99"/>
        </w:rPr>
      </w:r>
      <w:r>
        <w:rPr>
          <w:b/>
          <w:sz w:val="22"/>
          <w:szCs w:val="22"/>
          <w:shd w:val="clear" w:color="auto" w:fill="ffff99"/>
        </w:rPr>
      </w:r>
      <w:r>
        <w:rPr>
          <w:b/>
          <w:sz w:val="22"/>
          <w:szCs w:val="22"/>
          <w:shd w:val="clear" w:color="auto" w:fill="ffff99"/>
        </w:rPr>
      </w:r>
    </w:p>
    <w:p>
      <w:pPr>
        <w:ind w:firstLine="567"/>
        <w:jc w:val="center"/>
        <w:rPr>
          <w:b/>
          <w:sz w:val="22"/>
          <w:szCs w:val="22"/>
          <w:shd w:val="clear" w:color="auto" w:fill="ffff99"/>
        </w:rPr>
      </w:pPr>
      <w:r>
        <w:rPr>
          <w:b/>
          <w:sz w:val="22"/>
          <w:szCs w:val="22"/>
          <w:shd w:val="clear" w:color="auto" w:fill="ffff99"/>
        </w:rPr>
      </w:r>
      <w:r>
        <w:rPr>
          <w:b/>
          <w:sz w:val="22"/>
          <w:szCs w:val="22"/>
          <w:shd w:val="clear" w:color="auto" w:fill="ffff99"/>
        </w:rPr>
      </w:r>
      <w:r>
        <w:rPr>
          <w:b/>
          <w:sz w:val="22"/>
          <w:szCs w:val="22"/>
          <w:shd w:val="clear" w:color="auto" w:fill="ffff99"/>
        </w:rPr>
      </w:r>
    </w:p>
    <w:p>
      <w:pPr>
        <w:ind w:firstLine="567"/>
        <w:jc w:val="center"/>
        <w:rPr>
          <w:b/>
          <w:sz w:val="22"/>
          <w:szCs w:val="22"/>
          <w:shd w:val="clear" w:color="auto" w:fill="ffff99"/>
        </w:rPr>
      </w:pPr>
      <w:r>
        <w:rPr>
          <w:b/>
          <w:iCs/>
          <w:sz w:val="22"/>
          <w:szCs w:val="22"/>
        </w:rPr>
        <w:t xml:space="preserve">ПЕРВАЯ ЧАСТЬ ЗАЯВКИ</w:t>
      </w:r>
      <w:r>
        <w:rPr>
          <w:b/>
          <w:sz w:val="22"/>
          <w:szCs w:val="22"/>
          <w:shd w:val="clear" w:color="auto" w:fill="ffff99"/>
        </w:rPr>
      </w:r>
      <w:r>
        <w:rPr>
          <w:b/>
          <w:sz w:val="22"/>
          <w:szCs w:val="22"/>
          <w:shd w:val="clear" w:color="auto" w:fill="ffff99"/>
        </w:rPr>
      </w:r>
    </w:p>
    <w:p>
      <w:pPr>
        <w:jc w:val="both"/>
        <w:spacing w:before="120"/>
        <w:rPr>
          <w:sz w:val="22"/>
          <w:szCs w:val="22"/>
        </w:rPr>
        <w:outlineLvl w:val="3"/>
      </w:pPr>
      <w:r/>
      <w:bookmarkStart w:id="7" w:name="_Toc311975354"/>
      <w:r>
        <w:rPr>
          <w:sz w:val="22"/>
          <w:szCs w:val="22"/>
        </w:rPr>
        <w:t xml:space="preserve">Форма 1 </w:t>
      </w:r>
      <w:bookmarkEnd w:id="7"/>
      <w:r>
        <w:rPr>
          <w:sz w:val="22"/>
          <w:szCs w:val="22"/>
        </w:rPr>
        <w:t xml:space="preserve">первой части Заявки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-1"/>
        <w:jc w:val="both"/>
        <w:tabs>
          <w:tab w:val="left" w:pos="9355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«____</w:t>
      </w:r>
      <w:r>
        <w:rPr>
          <w:sz w:val="22"/>
          <w:szCs w:val="22"/>
        </w:rPr>
        <w:t xml:space="preserve">_»_</w:t>
      </w:r>
      <w:r>
        <w:rPr>
          <w:sz w:val="22"/>
          <w:szCs w:val="22"/>
        </w:rPr>
        <w:t xml:space="preserve">__________ 202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 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-1"/>
        <w:jc w:val="both"/>
        <w:tabs>
          <w:tab w:val="left" w:pos="9355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№__________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right="-1"/>
        <w:jc w:val="both"/>
        <w:tabs>
          <w:tab w:val="left" w:pos="9355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-54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ЗАЯВКА НА УЧАСТИЕ В АУКЦИОНЕ В ЭЛЕКТРОННОЙ ФОРМЕ УЧАСТНИКАМИ КОТОРОГО МОГУТ ЯВЛЯТЬСЯ ТОЛЬКО СУБЪЕКТЫ МАЛОГО И СРЕДНЕГО ПРЕДПРИНИМАТЕЛЬСТВА</w:t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ind w:left="-54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ind w:left="36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Кому</w:t>
      </w:r>
      <w:r>
        <w:rPr>
          <w:color w:val="000000"/>
          <w:sz w:val="22"/>
          <w:szCs w:val="22"/>
        </w:rPr>
        <w:t xml:space="preserve">:</w:t>
      </w:r>
      <w:r>
        <w:rPr>
          <w:b/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ind w:left="36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ind w:firstLine="567"/>
        <w:jc w:val="both"/>
        <w:spacing w:before="120" w:after="200" w:line="276" w:lineRule="auto"/>
        <w:rPr>
          <w:iCs/>
          <w:sz w:val="22"/>
          <w:szCs w:val="22"/>
          <w:lang w:eastAsia="en-US"/>
        </w:rPr>
      </w:pPr>
      <w:r>
        <w:rPr>
          <w:iCs/>
          <w:sz w:val="22"/>
          <w:szCs w:val="22"/>
          <w:lang w:eastAsia="en-US"/>
        </w:rPr>
        <w:t xml:space="preserve">Изучив извещение и документацию о закупке </w:t>
      </w:r>
      <w:r>
        <w:rPr>
          <w:sz w:val="22"/>
          <w:szCs w:val="22"/>
          <w:lang w:eastAsia="en-US"/>
        </w:rPr>
        <w:t xml:space="preserve">(включая все изменения и разъяснения к ней)</w:t>
      </w:r>
      <w:r>
        <w:rPr>
          <w:iCs/>
          <w:sz w:val="22"/>
          <w:szCs w:val="22"/>
          <w:lang w:eastAsia="en-US"/>
        </w:rPr>
        <w:t xml:space="preserve">, размещенные _________[</w:t>
      </w:r>
      <w:r>
        <w:rPr>
          <w:bCs/>
          <w:iCs/>
          <w:sz w:val="22"/>
          <w:szCs w:val="22"/>
          <w:shd w:val="clear" w:color="auto" w:fill="d9d9d9"/>
          <w:lang w:eastAsia="en-US"/>
        </w:rPr>
        <w:t xml:space="preserve">указывается дата официального размещения извещения, а также его номер</w:t>
      </w:r>
      <w:r>
        <w:rPr>
          <w:iCs/>
          <w:sz w:val="22"/>
          <w:szCs w:val="22"/>
          <w:lang w:eastAsia="en-US"/>
        </w:rPr>
        <w:t xml:space="preserve">], и </w:t>
      </w:r>
      <w:r>
        <w:rPr>
          <w:sz w:val="22"/>
          <w:szCs w:val="22"/>
          <w:lang w:eastAsia="en-US"/>
        </w:rPr>
        <w:t xml:space="preserve">безоговорочно </w:t>
      </w:r>
      <w:r>
        <w:rPr>
          <w:iCs/>
          <w:sz w:val="22"/>
          <w:szCs w:val="22"/>
          <w:lang w:eastAsia="en-US"/>
        </w:rPr>
        <w:t xml:space="preserve">принимая установленные в них требования </w:t>
      </w:r>
      <w:r>
        <w:rPr>
          <w:iCs/>
          <w:sz w:val="22"/>
          <w:szCs w:val="22"/>
          <w:lang w:eastAsia="en-US"/>
        </w:rPr>
        <w:t xml:space="preserve">и условия участия в закупке, в том числе в отношении проекта договора, заключаемого по итогам закупки____________________________, мы, являясь участником процедуры закупки, предлагаем заключить Договор на: _________________________________________________ </w:t>
      </w:r>
      <w:r>
        <w:rPr>
          <w:iCs/>
          <w:sz w:val="22"/>
          <w:szCs w:val="22"/>
          <w:lang w:eastAsia="en-US"/>
        </w:rPr>
      </w:r>
      <w:r>
        <w:rPr>
          <w:iCs/>
          <w:sz w:val="22"/>
          <w:szCs w:val="22"/>
          <w:lang w:eastAsia="en-US"/>
        </w:rPr>
      </w:r>
    </w:p>
    <w:p>
      <w:pPr>
        <w:ind w:firstLine="567"/>
        <w:jc w:val="both"/>
        <w:spacing w:before="120"/>
        <w:rPr>
          <w:iCs/>
          <w:sz w:val="22"/>
          <w:szCs w:val="22"/>
          <w:lang w:eastAsia="en-US"/>
        </w:rPr>
      </w:pPr>
      <w:r>
        <w:rPr>
          <w:iCs/>
          <w:sz w:val="22"/>
          <w:szCs w:val="22"/>
          <w:lang w:eastAsia="en-US"/>
        </w:rPr>
        <w:t xml:space="preserve">Мы подтверждаем свое согласие участвовать в вышеуказанной закупке на условиях, уста</w:t>
      </w:r>
      <w:r>
        <w:rPr>
          <w:iCs/>
          <w:sz w:val="22"/>
          <w:szCs w:val="22"/>
          <w:lang w:eastAsia="en-US"/>
        </w:rPr>
        <w:t xml:space="preserve">новленных извещением, документацией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документации о закупке, со всеми приложениями к нему.</w:t>
      </w:r>
      <w:r>
        <w:rPr>
          <w:iCs/>
          <w:sz w:val="22"/>
          <w:szCs w:val="22"/>
          <w:lang w:eastAsia="en-US"/>
        </w:rPr>
      </w:r>
      <w:r>
        <w:rPr>
          <w:iCs/>
          <w:sz w:val="22"/>
          <w:szCs w:val="22"/>
          <w:lang w:eastAsia="en-US"/>
        </w:rPr>
      </w:r>
    </w:p>
    <w:p>
      <w:pPr>
        <w:ind w:firstLine="567"/>
        <w:jc w:val="both"/>
        <w:spacing w:before="120"/>
        <w:rPr>
          <w:sz w:val="22"/>
          <w:szCs w:val="22"/>
          <w:lang w:eastAsia="en-US"/>
        </w:rPr>
      </w:pPr>
      <w:r>
        <w:rPr>
          <w:iCs/>
          <w:sz w:val="22"/>
          <w:szCs w:val="22"/>
          <w:lang w:eastAsia="en-US"/>
        </w:rPr>
        <w:t xml:space="preserve">В случае признания нас победителем закупки, а также в случае принятия заказчиком решения о заключении с нами договора как </w:t>
      </w:r>
      <w:r>
        <w:rPr>
          <w:sz w:val="22"/>
          <w:szCs w:val="22"/>
          <w:lang w:eastAsia="en-US"/>
        </w:rPr>
        <w:t xml:space="preserve">с единственным участником конкурентной закупки </w:t>
      </w:r>
      <w:r>
        <w:rPr>
          <w:iCs/>
          <w:sz w:val="22"/>
          <w:szCs w:val="22"/>
          <w:lang w:eastAsia="en-US"/>
        </w:rPr>
        <w:t xml:space="preserve">мы берем на себя обязательства подписать со своей стороны договор в соответствии с требованиями документации о закупке и условиями нашей заявки.</w:t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ind w:firstLine="567"/>
        <w:jc w:val="both"/>
        <w:spacing w:before="12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В соответствии с обязательными требованиями к участникам закупки подтверждаем наличие у нас специальных допусков, разрешений, лицензий и прочих разрешительных документов в соответствии с законодательством для исполнения обязательств по предмету договора.</w:t>
      </w:r>
      <w:r>
        <w:rPr>
          <w:sz w:val="22"/>
          <w:szCs w:val="22"/>
          <w:vertAlign w:val="superscript"/>
          <w:lang w:eastAsia="en-US"/>
        </w:rPr>
        <w:footnoteReference w:id="4"/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jc w:val="right"/>
        <w:spacing w:before="120"/>
        <w:rPr>
          <w:sz w:val="22"/>
          <w:szCs w:val="22"/>
        </w:rPr>
      </w:pPr>
      <w:r>
        <w:rPr>
          <w:sz w:val="22"/>
          <w:szCs w:val="22"/>
        </w:rPr>
        <w:br w:type="page" w:clear="all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right"/>
        <w:spacing w:before="12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  <w:t xml:space="preserve">Приложение </w:t>
      </w:r>
      <w:r>
        <w:rPr>
          <w:rFonts w:cs="Times New Roman"/>
          <w:sz w:val="20"/>
          <w:szCs w:val="20"/>
          <w:lang w:eastAsia="zh-CN"/>
        </w:rPr>
        <w:fldChar w:fldCharType="begin"/>
      </w:r>
      <w:r>
        <w:rPr>
          <w:rFonts w:cs="Times New Roman"/>
          <w:sz w:val="20"/>
          <w:szCs w:val="20"/>
          <w:lang w:eastAsia="zh-CN"/>
        </w:rPr>
        <w:instrText xml:space="preserve"> SEQ Приложение \* ARABIC </w:instrText>
      </w:r>
      <w:r>
        <w:rPr>
          <w:rFonts w:cs="Times New Roman"/>
          <w:sz w:val="20"/>
          <w:szCs w:val="20"/>
          <w:lang w:eastAsia="zh-CN"/>
        </w:rPr>
        <w:fldChar w:fldCharType="separate"/>
      </w:r>
      <w:r>
        <w:rPr>
          <w:rFonts w:cs="Times New Roman"/>
          <w:sz w:val="20"/>
          <w:szCs w:val="20"/>
          <w:lang w:eastAsia="zh-CN"/>
        </w:rPr>
        <w:t xml:space="preserve">1</w:t>
      </w:r>
      <w:r>
        <w:rPr>
          <w:rFonts w:cs="Times New Roman"/>
          <w:sz w:val="20"/>
          <w:szCs w:val="20"/>
          <w:lang w:eastAsia="zh-CN"/>
        </w:rPr>
        <w:fldChar w:fldCharType="end"/>
      </w:r>
      <w:r>
        <w:rPr>
          <w:rFonts w:cs="Times New Roman"/>
          <w:sz w:val="20"/>
          <w:szCs w:val="20"/>
          <w:lang w:eastAsia="zh-CN"/>
        </w:rPr>
        <w:t xml:space="preserve">к Форме Заявки</w:t>
      </w:r>
      <w:r>
        <w:rPr>
          <w:rFonts w:cs="Times New Roman"/>
          <w:sz w:val="20"/>
          <w:szCs w:val="20"/>
          <w:lang w:eastAsia="zh-CN"/>
        </w:rPr>
        <w:br/>
        <w:t xml:space="preserve">от «___</w:t>
      </w:r>
      <w:r>
        <w:rPr>
          <w:rFonts w:cs="Times New Roman"/>
          <w:sz w:val="20"/>
          <w:szCs w:val="20"/>
          <w:lang w:eastAsia="zh-CN"/>
        </w:rPr>
        <w:t xml:space="preserve">_»_</w:t>
      </w:r>
      <w:r>
        <w:rPr>
          <w:rFonts w:cs="Times New Roman"/>
          <w:sz w:val="20"/>
          <w:szCs w:val="20"/>
          <w:lang w:eastAsia="zh-CN"/>
        </w:rPr>
        <w:t xml:space="preserve">____________ 20_ г. №__________</w:t>
      </w: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jc w:val="right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jc w:val="center"/>
        <w:widowControl w:val="off"/>
        <w:rPr>
          <w:rFonts w:cs="Times New Roman"/>
          <w:b/>
          <w:iCs/>
          <w:sz w:val="20"/>
          <w:szCs w:val="20"/>
          <w:lang w:eastAsia="zh-CN"/>
        </w:rPr>
      </w:pPr>
      <w:r>
        <w:rPr>
          <w:rFonts w:cs="Times New Roman"/>
          <w:b/>
          <w:iCs/>
          <w:sz w:val="20"/>
          <w:szCs w:val="20"/>
          <w:lang w:eastAsia="zh-CN"/>
        </w:rPr>
        <w:t xml:space="preserve">ТЕХНИЧЕСКОЕ ПРЕДЛОЖЕНИЕ</w:t>
      </w:r>
      <w:r>
        <w:rPr>
          <w:rFonts w:cs="Times New Roman"/>
          <w:b/>
          <w:iCs/>
          <w:sz w:val="20"/>
          <w:szCs w:val="20"/>
          <w:lang w:eastAsia="zh-CN"/>
        </w:rPr>
      </w:r>
      <w:r>
        <w:rPr>
          <w:rFonts w:cs="Times New Roman"/>
          <w:b/>
          <w:iCs/>
          <w:sz w:val="20"/>
          <w:szCs w:val="20"/>
          <w:lang w:eastAsia="zh-CN"/>
        </w:rPr>
      </w:r>
    </w:p>
    <w:p>
      <w:pPr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ind w:firstLine="360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  <w:t xml:space="preserve">«СВЕДЕНИЯ О ФУНКЦИОНАЛЬНЫХ, ТЕХНИЧЕСКИХ И КАЧЕСТВЕННЫХ ХАРАКТЕРИСТИКАХ ТОВАРА (РА</w:t>
      </w:r>
      <w:r>
        <w:rPr>
          <w:rFonts w:cs="Times New Roman"/>
          <w:sz w:val="20"/>
          <w:szCs w:val="20"/>
          <w:lang w:eastAsia="zh-CN"/>
        </w:rPr>
        <w:t xml:space="preserve">БОТЫ, ОКАЗЫВАЕМЫХ УСЛУГ), ЭКСПЛУАТАЦИОННЫХ ХАРАКТЕРИСТИКАХ ТОВАРА (РАБОТЫ, ОКАЗЫВАЕМЫХ УСЛУГ) (ПРИ НЕОБХОДИМОСТИ), И ИНЫЕ СВЕДЕНИЯ О ТОВАРЕ (РАБОТЕ, ОКАЗЫВАЕМЫХ УСЛУГ), ПРЕДСТАВЛЕНИЕ КОТОРЫХ ПРЕДУСМОТРЕНО ИЗВЕЩЕНИЕМ О ЗАПРОСЕ КОТИРОВОК В ЭЛЕКТРОННОЙ ФОРМЕ»</w:t>
      </w: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ind w:firstLine="851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481"/>
        <w:gridCol w:w="1465"/>
        <w:gridCol w:w="3081"/>
        <w:gridCol w:w="579"/>
        <w:gridCol w:w="654"/>
        <w:gridCol w:w="1554"/>
        <w:gridCol w:w="1220"/>
        <w:gridCol w:w="1216"/>
      </w:tblGrid>
      <w:tr>
        <w:tblPrEx/>
        <w:trPr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35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№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  <w:p>
            <w:pPr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пп</w:t>
            </w:r>
            <w:r>
              <w:rPr>
                <w:rFonts w:cs="Times New Roman"/>
                <w:sz w:val="20"/>
                <w:szCs w:val="20"/>
                <w:lang w:eastAsia="zh-CN"/>
              </w:rPr>
              <w:t xml:space="preserve">.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715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Наименование товаров (работ, услуг)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503" w:type="pct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Конкретные показатели, соответствующие значениям, установленным извещен</w:t>
            </w:r>
            <w:r>
              <w:rPr>
                <w:rFonts w:cs="Times New Roman"/>
                <w:sz w:val="20"/>
                <w:szCs w:val="20"/>
                <w:lang w:eastAsia="zh-CN"/>
              </w:rPr>
              <w:t xml:space="preserve">ием о запросе котировок,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Ед. изм.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Кол-во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Наименование страны происхождения товара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Цена за ед. в руб. с НДС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pct"/>
            <w:vAlign w:val="center"/>
            <w:textDirection w:val="lrTb"/>
            <w:noWrap w:val="false"/>
          </w:tcPr>
          <w:p>
            <w:pPr>
              <w:ind w:right="-92"/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Сумма в руб. с НДС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35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 xml:space="preserve">1.</w:t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715" w:type="pct"/>
            <w:vAlign w:val="center"/>
            <w:textDirection w:val="lrTb"/>
            <w:noWrap w:val="false"/>
          </w:tcPr>
          <w:p>
            <w:pPr>
              <w:ind w:firstLine="33"/>
              <w:jc w:val="both"/>
              <w:widowControl w:val="off"/>
              <w:rPr>
                <w:rFonts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  <w:r>
              <w:rPr>
                <w:rFonts w:cs="Times New Roman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503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9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8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pct"/>
            <w:textDirection w:val="lrTb"/>
            <w:noWrap w:val="false"/>
          </w:tcPr>
          <w:p>
            <w:pPr>
              <w:jc w:val="center"/>
              <w:widowControl w:val="off"/>
              <w:rPr>
                <w:rFonts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  <w:r>
              <w:rPr>
                <w:rFonts w:cs="Times New Roman"/>
                <w:color w:val="000000"/>
                <w:sz w:val="20"/>
                <w:szCs w:val="20"/>
                <w:lang w:eastAsia="zh-CN"/>
              </w:rPr>
            </w:r>
          </w:p>
        </w:tc>
      </w:tr>
    </w:tbl>
    <w:p>
      <w:pPr>
        <w:ind w:firstLine="567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ind w:firstLine="567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ind w:firstLine="567"/>
        <w:jc w:val="both"/>
        <w:widowControl w:val="off"/>
        <w:rPr>
          <w:rFonts w:cs="Times New Roman"/>
          <w:sz w:val="20"/>
          <w:szCs w:val="20"/>
          <w:lang w:eastAsia="zh-CN"/>
        </w:rPr>
      </w:pP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  <w:r>
        <w:rPr>
          <w:rFonts w:cs="Times New Roman"/>
          <w:sz w:val="20"/>
          <w:szCs w:val="20"/>
          <w:lang w:eastAsia="zh-CN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jc w:val="center"/>
        <w:widowControl w:val="off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</w:r>
      <w:r>
        <w:rPr>
          <w:rFonts w:cs="Times New Roman"/>
          <w:b/>
          <w:bCs/>
          <w:sz w:val="22"/>
          <w:szCs w:val="22"/>
        </w:rPr>
      </w:r>
      <w:r>
        <w:rPr>
          <w:rFonts w:cs="Times New Roman"/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after="24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</w:r>
      <w:r>
        <w:rPr>
          <w:b/>
          <w:bCs/>
          <w:sz w:val="18"/>
          <w:szCs w:val="18"/>
        </w:rPr>
      </w:r>
      <w:r>
        <w:rPr>
          <w:b/>
          <w:bCs/>
          <w:sz w:val="18"/>
          <w:szCs w:val="18"/>
        </w:rPr>
      </w:r>
    </w:p>
    <w:p>
      <w:pPr>
        <w:jc w:val="center"/>
        <w:spacing w:after="24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ВНИМАНИЮ УЧАСТНИКОВ ЗАКУПКИ: РЕКОМЕНДУЕТСЯ ВКЛЮЧАТЬ ВО ВТОРУЮ ЧАСТЬ ЗАЯВКИ!</w:t>
      </w:r>
      <w:r>
        <w:rPr>
          <w:b/>
          <w:bCs/>
          <w:sz w:val="18"/>
          <w:szCs w:val="18"/>
        </w:rPr>
      </w:r>
      <w:r>
        <w:rPr>
          <w:b/>
          <w:bCs/>
          <w:sz w:val="18"/>
          <w:szCs w:val="18"/>
        </w:rPr>
      </w:r>
    </w:p>
    <w:p>
      <w:pPr>
        <w:jc w:val="center"/>
        <w:spacing w:before="120"/>
        <w:tabs>
          <w:tab w:val="left" w:pos="9355" w:leader="none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Образцы форм документов, включаемых во вторую часть заявки</w:t>
      </w:r>
      <w:r>
        <w:rPr>
          <w:b/>
          <w:bCs/>
          <w:sz w:val="18"/>
          <w:szCs w:val="18"/>
        </w:rPr>
      </w:r>
      <w:r>
        <w:rPr>
          <w:b/>
          <w:bCs/>
          <w:sz w:val="18"/>
          <w:szCs w:val="18"/>
        </w:rPr>
      </w:r>
    </w:p>
    <w:p>
      <w:pPr>
        <w:jc w:val="both"/>
        <w:spacing w:before="120"/>
        <w:rPr>
          <w:sz w:val="18"/>
          <w:szCs w:val="18"/>
        </w:rPr>
        <w:outlineLvl w:val="3"/>
      </w:pPr>
      <w:r>
        <w:rPr>
          <w:sz w:val="18"/>
          <w:szCs w:val="18"/>
        </w:rPr>
        <w:t xml:space="preserve">Форма 1 второй части Заявки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spacing w:after="120"/>
        <w:rPr>
          <w:b/>
          <w:iCs/>
          <w:sz w:val="18"/>
          <w:szCs w:val="18"/>
        </w:rPr>
      </w:pPr>
      <w:r>
        <w:rPr>
          <w:sz w:val="18"/>
          <w:szCs w:val="18"/>
        </w:rPr>
        <w:t xml:space="preserve">«____» _____________ 202</w:t>
      </w:r>
      <w:r>
        <w:rPr>
          <w:sz w:val="18"/>
          <w:szCs w:val="18"/>
        </w:rPr>
        <w:t xml:space="preserve">6</w:t>
      </w:r>
      <w:r>
        <w:rPr>
          <w:sz w:val="18"/>
          <w:szCs w:val="18"/>
        </w:rPr>
        <w:t xml:space="preserve"> г. </w:t>
      </w:r>
      <w:r>
        <w:rPr>
          <w:b/>
          <w:iCs/>
          <w:sz w:val="18"/>
          <w:szCs w:val="18"/>
        </w:rPr>
      </w:r>
      <w:r>
        <w:rPr>
          <w:b/>
          <w:iCs/>
          <w:sz w:val="18"/>
          <w:szCs w:val="18"/>
        </w:rPr>
      </w:r>
    </w:p>
    <w:p>
      <w:pPr>
        <w:jc w:val="center"/>
        <w:spacing w:after="240"/>
        <w:rPr>
          <w:iCs/>
          <w:sz w:val="18"/>
          <w:szCs w:val="18"/>
        </w:rPr>
      </w:pPr>
      <w:r>
        <w:rPr>
          <w:b/>
          <w:iCs/>
          <w:sz w:val="18"/>
          <w:szCs w:val="18"/>
        </w:rPr>
        <w:t xml:space="preserve">ВТОРАЯ ЧАСТЬ ЗАЯВКИ </w:t>
      </w:r>
      <w:r>
        <w:rPr>
          <w:iCs/>
          <w:sz w:val="18"/>
          <w:szCs w:val="18"/>
        </w:rPr>
        <w:t xml:space="preserve">(формируется в соответствии с пунктом 3.1 Информационной карты «Вторая часть ЗАЯВКИ»)</w:t>
      </w:r>
      <w:r>
        <w:rPr>
          <w:iCs/>
          <w:sz w:val="18"/>
          <w:szCs w:val="18"/>
        </w:rPr>
      </w:r>
      <w:r>
        <w:rPr>
          <w:iCs/>
          <w:sz w:val="18"/>
          <w:szCs w:val="18"/>
        </w:rPr>
      </w:r>
    </w:p>
    <w:p>
      <w:pPr>
        <w:jc w:val="center"/>
        <w:spacing w:after="160" w:line="254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Рекомендуемая форма декларации о соответствии участника аукциона в электронной форме требованиям, установленными в п. 2.1 документации о закупке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tbl>
      <w:tblPr>
        <w:tblW w:w="100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0031"/>
      </w:tblGrid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709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Настоящим организация/физическое лицо/юридическое лицо______________________________________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во второй части заявки на участие в аукционе в электронной форме на _______________________________________________________________________________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(указывается наименование аукциона в электронной форме)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jc w:val="both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(реестровый номер закупки ___________________), сообщает о своем соответствии требованиям, установленным</w:t>
            </w:r>
            <w:r>
              <w:rPr>
                <w:sz w:val="20"/>
                <w:szCs w:val="20"/>
              </w:rPr>
              <w:t xml:space="preserve"> в пункте 2.1</w:t>
            </w:r>
            <w:r>
              <w:rPr>
                <w:color w:val="000000"/>
                <w:sz w:val="20"/>
                <w:szCs w:val="20"/>
              </w:rPr>
              <w:t xml:space="preserve"> Информационной карты, а именно:</w:t>
            </w: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</w: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а) непроведение ликвидации участника кон</w:t>
            </w:r>
            <w:r>
              <w:rPr>
                <w:bCs/>
                <w:iCs/>
                <w:color w:val="000000"/>
                <w:sz w:val="20"/>
                <w:szCs w:val="20"/>
              </w:rPr>
              <w:t xml:space="preserve">курентной закупки с участием субъектов малого и среднего предпринимательства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</w:t>
            </w: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</w: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б)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неприостановление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деятельности участника конкурентной закупки с участием субъектов малого и среднего предпринимательства в порядке, установленном Кодексом Российской Федерации об административных правонарушениях;</w:t>
            </w:r>
            <w:r>
              <w:rPr>
                <w:color w:val="000000"/>
                <w:sz w:val="20"/>
                <w:szCs w:val="20"/>
                <w:lang w:eastAsia="en-US"/>
              </w:rPr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в) отсутств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ие у участника конкурентной закупки с участием субъектов малого и среднего предпринимательства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принято;</w:t>
            </w:r>
            <w:r>
              <w:rPr>
                <w:color w:val="000000"/>
                <w:sz w:val="20"/>
                <w:szCs w:val="20"/>
                <w:lang w:eastAsia="en-US"/>
              </w:rPr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г) отсутствие у участника конкурентной закупки с участием субъектов малого и среднего предпринимательства - физического лица, зарегистрированного в качестве индивидуального предпринимателя, либо у руков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конкурентной закупки с участием субъектов малого и среднего предпринимательства неп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      </w:r>
            <w:r>
              <w:rPr>
                <w:color w:val="000000"/>
                <w:sz w:val="20"/>
                <w:szCs w:val="20"/>
                <w:lang w:eastAsia="en-US"/>
              </w:rPr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д) отсутствие фактов привлечения в течение двух лет до момента подачи заявки на участие в конкурентной закупке с участием субъектов малог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о и среднего предпринимательства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  <w:r>
              <w:rPr>
                <w:color w:val="000000"/>
                <w:sz w:val="20"/>
                <w:szCs w:val="20"/>
                <w:lang w:eastAsia="en-US"/>
              </w:rPr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е)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дерации к лицам, осуществляющим поставку товара, выполнение работы, оказание услуги, являющихся предметом закупки, если в соответствии с законодательством Российской Федерации информация и документы, подтверждающие такое соответствие, содержатся в открытых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  <w:r>
              <w:rPr>
                <w:color w:val="000000"/>
                <w:sz w:val="20"/>
                <w:szCs w:val="20"/>
                <w:lang w:eastAsia="en-US"/>
              </w:rPr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ж)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  <w:r>
              <w:rPr>
                <w:color w:val="000000"/>
                <w:sz w:val="20"/>
                <w:szCs w:val="20"/>
                <w:lang w:eastAsia="en-US"/>
              </w:rPr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з)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договора.</w:t>
            </w:r>
            <w:r>
              <w:rPr>
                <w:color w:val="000000"/>
                <w:sz w:val="20"/>
                <w:szCs w:val="20"/>
                <w:lang w:eastAsia="en-US"/>
              </w:rPr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/>
        <w:tc>
          <w:tcPr>
            <w:tcW w:w="10031" w:type="dxa"/>
            <w:textDirection w:val="lrTb"/>
            <w:noWrap w:val="false"/>
          </w:tcPr>
          <w:p>
            <w:pPr>
              <w:ind w:firstLine="54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А также отсутствие сведений об участниках закупки в реестре недобросовестных поставщиков, предусмотренном статьей 5 Федерального закона от 18 июля 2011 года № 223-ФЗ «О закупках товаров, работ, услуг отдельными видами юридических лиц».</w:t>
            </w:r>
            <w:r>
              <w:rPr>
                <w:color w:val="000000"/>
                <w:sz w:val="20"/>
                <w:szCs w:val="20"/>
                <w:lang w:eastAsia="en-US"/>
              </w:rPr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</w:tbl>
    <w:p>
      <w:pPr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А</w:t>
      </w:r>
      <w:r>
        <w:rPr>
          <w:b/>
          <w:sz w:val="20"/>
          <w:szCs w:val="20"/>
        </w:rPr>
        <w:t xml:space="preserve">нкета участника </w:t>
      </w:r>
      <w:r>
        <w:rPr>
          <w:sz w:val="20"/>
          <w:szCs w:val="20"/>
        </w:rPr>
        <w:t xml:space="preserve">(рекомендуемая форма)</w:t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09"/>
        <w:gridCol w:w="5508"/>
        <w:gridCol w:w="4133"/>
      </w:tblGrid>
      <w:tr>
        <w:tblPrEx/>
        <w:trPr>
          <w:trHeight w:val="6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п/п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0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Сведения об участнике закупки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Полное наименование организации и ее организационно-правовая форма</w:t>
            </w:r>
            <w:r>
              <w:rPr>
                <w:sz w:val="20"/>
                <w:szCs w:val="20"/>
              </w:rPr>
              <w:t xml:space="preserve"> (для юридического лица</w:t>
            </w:r>
            <w:r>
              <w:rPr>
                <w:i/>
                <w:sz w:val="20"/>
                <w:szCs w:val="20"/>
              </w:rPr>
              <w:t xml:space="preserve">)</w:t>
            </w:r>
            <w:r>
              <w:rPr>
                <w:b/>
                <w:sz w:val="20"/>
                <w:szCs w:val="20"/>
              </w:rPr>
              <w:t xml:space="preserve">/ Ф.И.О. участника закупки </w:t>
            </w:r>
            <w:r>
              <w:rPr>
                <w:sz w:val="20"/>
                <w:szCs w:val="20"/>
              </w:rPr>
              <w:t xml:space="preserve">(для физического лица)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Сокращенное наименование организации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Предыдущие полные и сокращенные наименования организации с указанием даты переименования и подтверждением правопреемственности.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Регистрационные данные: дата, место и орган регистрации физического лица в качестве индивидуального предпринимателя </w:t>
            </w:r>
            <w:r>
              <w:rPr>
                <w:i/>
                <w:sz w:val="20"/>
                <w:szCs w:val="20"/>
              </w:rPr>
              <w:t xml:space="preserve">(на основании Свидетельства о государственной регистрации)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Учредители </w:t>
            </w:r>
            <w:r>
              <w:rPr>
                <w:sz w:val="20"/>
                <w:szCs w:val="20"/>
              </w:rPr>
              <w:t xml:space="preserve">(перечислить наименования и организационно-правовую форму всех учредителей, чья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доля в уставном капитале превышает 10%) и доля их участия (для акционерных обществ – выписка из реестра акционеров отдельным документом)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(на основании Учредительных документов установленной формы (устав, положение, учредительный договор) </w:t>
            </w:r>
            <w:r>
              <w:rPr>
                <w:sz w:val="20"/>
                <w:szCs w:val="20"/>
              </w:rPr>
              <w:t xml:space="preserve">(для юридических лиц)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Срок деятельности 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Размер уставного капитала </w:t>
            </w:r>
            <w:r>
              <w:rPr>
                <w:sz w:val="20"/>
                <w:szCs w:val="20"/>
              </w:rPr>
              <w:t xml:space="preserve">( для</w:t>
            </w:r>
            <w:r>
              <w:rPr>
                <w:sz w:val="20"/>
                <w:szCs w:val="20"/>
              </w:rPr>
              <w:t xml:space="preserve"> юридических лиц)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  <w:trHeight w:val="4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FFFFFF" w:sz="255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ИНН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FFFFFF" w:sz="255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КПП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ОГРН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ОКПО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ОКТМО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none" w:color="FFFFFF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ОКДП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ОКВЭД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Местонахождение </w:t>
            </w:r>
            <w:r>
              <w:rPr>
                <w:i/>
                <w:sz w:val="20"/>
                <w:szCs w:val="20"/>
              </w:rPr>
              <w:t xml:space="preserve">(для юридического лица)</w:t>
            </w:r>
            <w:r>
              <w:rPr>
                <w:b/>
                <w:sz w:val="20"/>
                <w:szCs w:val="20"/>
              </w:rPr>
              <w:t xml:space="preserve">/сведения о месте жительства </w:t>
            </w:r>
            <w:r>
              <w:rPr>
                <w:i/>
                <w:sz w:val="20"/>
                <w:szCs w:val="20"/>
              </w:rPr>
              <w:t xml:space="preserve">(для физического лица)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Почтовый адрес участника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Номер телефона с кодом Участника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Номер факса с кодом Участника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 электронной почты Участника </w:t>
            </w:r>
            <w:r>
              <w:rPr>
                <w:b/>
                <w:sz w:val="20"/>
                <w:szCs w:val="20"/>
              </w:rPr>
              <w:t xml:space="preserve">( для</w:t>
            </w:r>
            <w:r>
              <w:rPr>
                <w:b/>
                <w:sz w:val="20"/>
                <w:szCs w:val="20"/>
              </w:rPr>
              <w:t xml:space="preserve"> приема заявок и иной документации)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 страницы в Интернете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7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Руководитель </w:t>
            </w:r>
            <w:r>
              <w:rPr>
                <w:sz w:val="20"/>
                <w:szCs w:val="20"/>
              </w:rPr>
              <w:t xml:space="preserve">(должность, фамилия, имя, отчество, телефон)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8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Главный бухгалтер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(фамилия, имя, отчество, телефон)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9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Контактное лицо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(фамилия, имя, отчество, телефон)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Система налогообложения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Реквизиты уведомления о постановке на учет в ИФНС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Применение ставки НДС 10% </w:t>
            </w:r>
            <w:r>
              <w:rPr>
                <w:sz w:val="20"/>
                <w:szCs w:val="20"/>
              </w:rPr>
              <w:t xml:space="preserve">(с приложением документов, подтверждающих право на применение пониженной ставки НДС)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Применение освобождения от НДС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Основные виды деятельности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Лицензируемые виды деятельности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Номера лицензий, сроки их действия, наименование территорий на которых действуют лицензии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Merge w:val="restar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11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Банковские реквизиты </w:t>
            </w:r>
            <w:r>
              <w:rPr>
                <w:sz w:val="20"/>
                <w:szCs w:val="20"/>
              </w:rPr>
              <w:t xml:space="preserve">(может быть несколько)</w:t>
            </w:r>
            <w:r>
              <w:rPr>
                <w:b/>
                <w:sz w:val="20"/>
                <w:szCs w:val="20"/>
              </w:rPr>
              <w:t xml:space="preserve">: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Наименование обслуживающего банка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 обслуживаемого банка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Расчетный счет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Корреспондентский счет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Код БИК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12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Перечень должностных лиц, уполномоченных подписывать счет-фактуры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9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13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FFFFFF" w:sz="255" w:space="0"/>
            </w:tcBorders>
            <w:tcW w:w="2687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Согласие участника закупки исполнить условия договора, указанные в документации о закупке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6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  <w:t xml:space="preserve">Мы, нижеподписавшееся, заверяем достоверность всех данных, указанных в анкете.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Главный бухгалтер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________________________ _________________________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( Ф.И.О.</w:t>
      </w:r>
      <w:r>
        <w:rPr>
          <w:sz w:val="20"/>
          <w:szCs w:val="20"/>
        </w:rPr>
        <w:t xml:space="preserve">) (подпись) М.П.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предприятия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________________________ _________________________</w:t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( Ф.И.О.</w:t>
      </w:r>
      <w:r>
        <w:rPr>
          <w:sz w:val="20"/>
          <w:szCs w:val="20"/>
        </w:rPr>
        <w:t xml:space="preserve">) (подпись) М.П. </w:t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подпись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bottom w:val="single" w:color="000000" w:sz="12" w:space="1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center"/>
        <w:spacing w:before="120" w:after="60"/>
        <w:tabs>
          <w:tab w:val="left" w:pos="1418" w:leader="none"/>
        </w:tabs>
        <w:rPr>
          <w:bCs/>
          <w:sz w:val="20"/>
          <w:szCs w:val="20"/>
        </w:rPr>
        <w:outlineLvl w:val="3"/>
      </w:pPr>
      <w:r>
        <w:rPr>
          <w:bCs/>
          <w:sz w:val="20"/>
          <w:szCs w:val="20"/>
        </w:rPr>
        <w:t xml:space="preserve">КОНЕЦ ФОРМЫ</w:t>
      </w:r>
      <w:r>
        <w:rPr>
          <w:bCs/>
          <w:sz w:val="20"/>
          <w:szCs w:val="20"/>
        </w:rPr>
      </w:r>
      <w:r>
        <w:rPr>
          <w:bCs/>
          <w:sz w:val="20"/>
          <w:szCs w:val="20"/>
        </w:rPr>
      </w:r>
    </w:p>
    <w:p>
      <w:pPr>
        <w:ind w:firstLine="567"/>
        <w:jc w:val="center"/>
        <w:spacing w:before="120" w:after="60"/>
        <w:tabs>
          <w:tab w:val="left" w:pos="1418" w:leader="none"/>
        </w:tabs>
        <w:rPr>
          <w:bCs/>
          <w:sz w:val="22"/>
          <w:szCs w:val="22"/>
        </w:rPr>
        <w:outlineLvl w:val="3"/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center"/>
        <w:spacing w:before="480"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 w:clear="all"/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before="480"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center"/>
        <w:spacing w:before="480" w:after="240"/>
        <w:rPr>
          <w:b/>
          <w:bCs/>
          <w:sz w:val="22"/>
          <w:szCs w:val="22"/>
        </w:rPr>
      </w:pPr>
      <w:r/>
      <w:bookmarkStart w:id="8" w:name="_GoBack"/>
      <w:r/>
      <w:bookmarkEnd w:id="8"/>
      <w:r>
        <w:rPr>
          <w:b/>
          <w:bCs/>
          <w:sz w:val="22"/>
          <w:szCs w:val="22"/>
        </w:rPr>
        <w:t xml:space="preserve">ВНИМАНИЮ УЧАСТНИКОВ ЗАКУПКИ: ДОКУМЕНТ РЕКОМЕНДУЕТСЯ ВКЛЮЧАТЬ ВО ВТОРУЮ ЧАСТЬ ЗАЯВКИ!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jc w:val="center"/>
        <w:rPr>
          <w:b/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Согласие на обработку персональных данных (представленных участниками):</w:t>
      </w:r>
      <w:r>
        <w:rPr>
          <w:b/>
          <w:sz w:val="22"/>
          <w:szCs w:val="22"/>
          <w:u w:val="single"/>
        </w:rPr>
      </w:r>
      <w:r>
        <w:rPr>
          <w:b/>
          <w:sz w:val="22"/>
          <w:szCs w:val="22"/>
          <w:u w:val="single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Начало формы</w:t>
      </w:r>
      <w:r>
        <w:rPr>
          <w:i/>
          <w:sz w:val="22"/>
          <w:szCs w:val="22"/>
        </w:rPr>
      </w:r>
      <w:r>
        <w:rPr>
          <w:i/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3540"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before="120"/>
        <w:rPr>
          <w:sz w:val="22"/>
          <w:szCs w:val="22"/>
        </w:rPr>
        <w:outlineLvl w:val="3"/>
      </w:pPr>
      <w:r>
        <w:rPr>
          <w:sz w:val="22"/>
          <w:szCs w:val="22"/>
        </w:rPr>
        <w:t xml:space="preserve">Форма 2 второй части Заявки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«____» _____________ 202</w:t>
      </w:r>
      <w:r>
        <w:rPr>
          <w:sz w:val="22"/>
          <w:szCs w:val="22"/>
        </w:rPr>
        <w:t xml:space="preserve">6 </w:t>
      </w:r>
      <w:r>
        <w:rPr>
          <w:sz w:val="22"/>
          <w:szCs w:val="22"/>
        </w:rPr>
        <w:t xml:space="preserve">г.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b/>
          <w:color w:val="1e1e1e"/>
          <w:sz w:val="22"/>
          <w:szCs w:val="22"/>
        </w:rPr>
      </w:pPr>
      <w:r>
        <w:rPr>
          <w:b/>
          <w:sz w:val="22"/>
          <w:szCs w:val="22"/>
        </w:rPr>
        <w:t xml:space="preserve">СОГЛАСИЕ</w:t>
      </w:r>
      <w:r>
        <w:rPr>
          <w:b/>
          <w:sz w:val="22"/>
          <w:szCs w:val="22"/>
        </w:rPr>
        <w:br w:type="textWrapping" w:clear="all"/>
        <w:t xml:space="preserve">на обработку персональных данных</w:t>
      </w:r>
      <w:r>
        <w:rPr>
          <w:b/>
          <w:color w:val="1e1e1e"/>
          <w:sz w:val="22"/>
          <w:szCs w:val="22"/>
        </w:rPr>
      </w:r>
      <w:r>
        <w:rPr>
          <w:b/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Я, нижеподписавшийся </w:t>
      </w: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_________________________________________________________________________</w:t>
      </w: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jc w:val="center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 </w:t>
      </w:r>
      <w:r>
        <w:rPr>
          <w:color w:val="1e1e1e"/>
          <w:sz w:val="22"/>
          <w:szCs w:val="22"/>
          <w:vertAlign w:val="superscript"/>
        </w:rPr>
        <w:t xml:space="preserve">(фамилия, имя, отчество)</w:t>
      </w: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паспорт_____________№__________________ дата выдачи______________________</w:t>
      </w: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название выдавшего органа _________________________________________________, </w:t>
      </w: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в соответствии с требованиями ст. 9 Федерального закона от 27.07.06</w:t>
      </w:r>
      <w:r>
        <w:rPr>
          <w:rFonts w:ascii="MS Gothic" w:hAnsi="MS Gothic" w:eastAsia="MS Gothic"/>
          <w:color w:val="1e1e1e"/>
          <w:sz w:val="22"/>
          <w:szCs w:val="22"/>
        </w:rPr>
        <w:t xml:space="preserve"> </w:t>
      </w:r>
      <w:r>
        <w:rPr>
          <w:color w:val="1e1e1e"/>
          <w:sz w:val="22"/>
          <w:szCs w:val="22"/>
        </w:rPr>
        <w:t xml:space="preserve">г. «О персональных данных» № 152-ФЗ, подтверждаю своё согласие на обработку </w:t>
      </w:r>
      <w:r>
        <w:rPr>
          <w:color w:val="000000"/>
          <w:sz w:val="22"/>
          <w:szCs w:val="22"/>
        </w:rPr>
        <w:t xml:space="preserve">________________</w:t>
      </w:r>
      <w:r>
        <w:rPr>
          <w:color w:val="1e1e1e"/>
          <w:sz w:val="22"/>
          <w:szCs w:val="22"/>
        </w:rPr>
        <w:t xml:space="preserve"> (далее - Организатор) моих персональных данных включающих фамилию, имя, отчество, дату рождения, паспортные данные, данные о судимости при условии, что их обработка осуществляется лицом, профессионально занимающимся закупочной деятельностью в </w:t>
      </w:r>
      <w:r>
        <w:rPr>
          <w:color w:val="000000"/>
          <w:sz w:val="22"/>
          <w:szCs w:val="22"/>
        </w:rPr>
        <w:t xml:space="preserve">_______________</w:t>
      </w:r>
      <w:r>
        <w:rPr>
          <w:color w:val="1e1e1e"/>
          <w:sz w:val="22"/>
          <w:szCs w:val="22"/>
        </w:rPr>
        <w:t xml:space="preserve">. В процессе осуществления Организатором закупочной деятельности я пр</w:t>
      </w:r>
      <w:r>
        <w:rPr>
          <w:color w:val="1e1e1e"/>
          <w:sz w:val="22"/>
          <w:szCs w:val="22"/>
        </w:rPr>
        <w:t xml:space="preserve">едоставляю право работникам Организатора передавать мои персональные данные, содержащие сведения, составляющие персональные данные и данные о судимости, другим должностным лицам Организатор, в интересах осуществления Организатором закупочной деятельности. </w:t>
      </w: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Предоставляю Организатору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Организатор вправе обрабатывать мои персональные данные посредством внесения их в электронную базу данных, включения в списки (реестры).</w:t>
      </w: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Срок хранения моих персональных данных соответствует сроку хранения документов, связанных с осуществлением </w:t>
      </w:r>
      <w:r>
        <w:rPr>
          <w:color w:val="1e1e1e"/>
          <w:sz w:val="22"/>
          <w:szCs w:val="22"/>
        </w:rPr>
        <w:t xml:space="preserve">Организатором закупочной деятельности</w:t>
      </w:r>
      <w:r>
        <w:rPr>
          <w:color w:val="1e1e1e"/>
          <w:sz w:val="22"/>
          <w:szCs w:val="22"/>
        </w:rPr>
        <w:t xml:space="preserve"> и составляет три года.</w:t>
      </w: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Передача моих персональных данных иным лицам или иное их разглашение может осуществляться только с моего письменного согласия.</w:t>
      </w: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Настоящее согласие дано мной и действует с «_____</w:t>
      </w:r>
      <w:r>
        <w:rPr>
          <w:color w:val="1e1e1e"/>
          <w:sz w:val="22"/>
          <w:szCs w:val="22"/>
        </w:rPr>
        <w:t xml:space="preserve">_»_</w:t>
      </w:r>
      <w:r>
        <w:rPr>
          <w:color w:val="1e1e1e"/>
          <w:sz w:val="22"/>
          <w:szCs w:val="22"/>
        </w:rPr>
        <w:t xml:space="preserve">________________ 20____г. бессрочно.</w:t>
      </w: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ind w:firstLine="426"/>
        <w:jc w:val="both"/>
        <w:widowControl w:val="off"/>
        <w:rPr>
          <w:color w:val="1e1e1e"/>
          <w:sz w:val="22"/>
          <w:szCs w:val="22"/>
        </w:rPr>
      </w:pPr>
      <w:r>
        <w:rPr>
          <w:color w:val="1e1e1e"/>
          <w:sz w:val="22"/>
          <w:szCs w:val="22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Организатора по почте </w:t>
      </w:r>
      <w:r>
        <w:rPr>
          <w:color w:val="1e1e1e"/>
          <w:sz w:val="22"/>
          <w:szCs w:val="22"/>
        </w:rPr>
        <w:t xml:space="preserve">заказным письмом с уведомлением о вручении либо вручен лично под расписку представителю Организатора.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обработку. </w:t>
      </w:r>
      <w:r>
        <w:rPr>
          <w:color w:val="1e1e1e"/>
          <w:sz w:val="22"/>
          <w:szCs w:val="22"/>
        </w:rPr>
      </w:r>
      <w:r>
        <w:rPr>
          <w:color w:val="1e1e1e"/>
          <w:sz w:val="22"/>
          <w:szCs w:val="22"/>
        </w:rPr>
      </w:r>
    </w:p>
    <w:p>
      <w:pPr>
        <w:jc w:val="right"/>
        <w:widowControl w:val="off"/>
        <w:rPr>
          <w:sz w:val="22"/>
          <w:szCs w:val="22"/>
        </w:rPr>
      </w:pPr>
      <w:r>
        <w:rPr>
          <w:color w:val="1e1e1e"/>
          <w:sz w:val="22"/>
          <w:szCs w:val="22"/>
        </w:rPr>
        <w:t xml:space="preserve">__________________________________________________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right"/>
        <w:widowControl w:val="off"/>
        <w:rPr>
          <w:color w:val="1e1e1e"/>
          <w:sz w:val="22"/>
          <w:szCs w:val="22"/>
          <w:vertAlign w:val="superscript"/>
        </w:rPr>
      </w:pPr>
      <w:r>
        <w:rPr>
          <w:color w:val="1e1e1e"/>
          <w:sz w:val="22"/>
          <w:szCs w:val="22"/>
          <w:vertAlign w:val="superscript"/>
        </w:rPr>
        <w:t xml:space="preserve">(подпись субъекта персональных данных)</w:t>
      </w:r>
      <w:bookmarkEnd w:id="6"/>
      <w:r>
        <w:rPr>
          <w:color w:val="1e1e1e"/>
          <w:sz w:val="22"/>
          <w:szCs w:val="22"/>
          <w:vertAlign w:val="superscript"/>
        </w:rPr>
      </w:r>
      <w:r>
        <w:rPr>
          <w:color w:val="1e1e1e"/>
          <w:sz w:val="22"/>
          <w:szCs w:val="22"/>
          <w:vertAlign w:val="superscript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before="120" w:after="60"/>
        <w:tabs>
          <w:tab w:val="left" w:pos="1418" w:leader="none"/>
        </w:tabs>
        <w:rPr>
          <w:b/>
          <w:sz w:val="22"/>
          <w:szCs w:val="22"/>
        </w:rPr>
        <w:outlineLvl w:val="3"/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spacing w:line="200" w:lineRule="atLeast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r/>
      <w:r/>
    </w:p>
    <w:sectPr>
      <w:footnotePr/>
      <w:endnotePr/>
      <w:type w:val="nextPage"/>
      <w:pgSz w:w="11906" w:h="16838" w:orient="portrait"/>
      <w:pgMar w:top="284" w:right="566" w:bottom="284" w:left="108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Proxima Nova ExCn Rg">
    <w:panose1 w:val="02000603000000000000"/>
  </w:font>
  <w:font w:name="Cambria">
    <w:panose1 w:val="02040503050406030204"/>
  </w:font>
  <w:font w:name="Segoe UI">
    <w:panose1 w:val="020B0502040204020203"/>
  </w:font>
  <w:font w:name="Courier New">
    <w:panose1 w:val="02070309020205020404"/>
  </w:font>
  <w:font w:name="Segoe UI Symbol">
    <w:panose1 w:val="020B0502040204020203"/>
  </w:font>
  <w:font w:name="MS Gothic">
    <w:panose1 w:val="020B0609070205080204"/>
  </w:font>
  <w:font w:name="Liberation Serif">
    <w:panose1 w:val="02020603050405020304"/>
  </w:font>
  <w:font w:name="Calibri Light">
    <w:panose1 w:val="020F0302020204030204"/>
  </w:font>
  <w:font w:name="Arial">
    <w:panose1 w:val="020B0604020202020204"/>
  </w:font>
  <w:font w:name="Wingdings">
    <w:panose1 w:val="05000000000000000000"/>
  </w:font>
  <w:font w:name="Liberation Sans">
    <w:panose1 w:val="020B0604020202020204"/>
  </w:font>
  <w:font w:name="Arial Narrow">
    <w:panose1 w:val="020B060602020203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925"/>
        <w:rPr>
          <w:lang w:val="ru-RU"/>
        </w:rPr>
      </w:pPr>
      <w:r>
        <w:rPr>
          <w:rStyle w:val="927"/>
        </w:rPr>
        <w:footnoteRef/>
      </w:r>
      <w:r>
        <w:rPr>
          <w:lang w:val="ru-RU"/>
        </w:rPr>
        <w:t xml:space="preserve"> </w:t>
      </w:r>
      <w:r>
        <w:rPr>
          <w:rFonts w:cs="Times New Roman"/>
          <w:sz w:val="16"/>
          <w:szCs w:val="16"/>
          <w:lang w:val="ru-RU"/>
        </w:rPr>
        <w:t xml:space="preserve">в описание предмета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требования к товарам, информации, работам, услу</w:t>
      </w:r>
      <w:r>
        <w:rPr>
          <w:rFonts w:cs="Times New Roman"/>
          <w:sz w:val="16"/>
          <w:szCs w:val="16"/>
          <w:lang w:val="ru-RU"/>
        </w:rPr>
        <w:t xml:space="preserve">гам при условии, что такие требования влекут за собой необоснованное ограничение количества участников закупки, за исключением случаев, если не имеется другого способа, обеспечивающего более точное и четкое описание указанных характеристик предмета закупки</w:t>
      </w: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</w:footnote>
  <w:footnote w:id="3">
    <w:p>
      <w:pPr>
        <w:pStyle w:val="925"/>
        <w:rPr>
          <w:lang w:val="ru-RU"/>
        </w:rPr>
      </w:pPr>
      <w:r>
        <w:rPr>
          <w:rStyle w:val="927"/>
        </w:rPr>
        <w:footnoteRef/>
      </w:r>
      <w:r>
        <w:rPr>
          <w:lang w:val="ru-RU"/>
        </w:rPr>
        <w:t xml:space="preserve"> </w:t>
      </w:r>
      <w:r>
        <w:rPr>
          <w:lang w:val="ru-RU"/>
        </w:rPr>
        <w:t xml:space="preserve">В настоящем пункте определяется перечень документов, подтверждающих страну происхождения товара.</w:t>
      </w:r>
      <w:r>
        <w:rPr>
          <w:lang w:val="ru-RU"/>
        </w:rPr>
      </w:r>
      <w:r>
        <w:rPr>
          <w:lang w:val="ru-RU"/>
        </w:rPr>
      </w:r>
    </w:p>
  </w:footnote>
  <w:footnote w:id="4">
    <w:p>
      <w:pPr>
        <w:pStyle w:val="925"/>
        <w:rPr>
          <w:lang w:val="ru-RU"/>
        </w:rPr>
      </w:pPr>
      <w:r>
        <w:rPr>
          <w:rStyle w:val="927"/>
        </w:rPr>
        <w:footnoteRef/>
      </w:r>
      <w:r>
        <w:rPr>
          <w:lang w:val="ru-RU"/>
        </w:rPr>
        <w:t xml:space="preserve">При отсутствии соответствующего обязательного требования в п. </w:t>
      </w:r>
      <w:r>
        <w:rPr>
          <w:lang w:val="ru-RU"/>
        </w:rPr>
        <w:t xml:space="preserve">2</w:t>
      </w:r>
      <w:r>
        <w:rPr>
          <w:lang w:val="ru-RU"/>
        </w:rPr>
        <w:t xml:space="preserve">.</w:t>
      </w:r>
      <w:r>
        <w:rPr>
          <w:lang w:val="ru-RU"/>
        </w:rPr>
        <w:t xml:space="preserve">1</w:t>
      </w:r>
      <w:r>
        <w:rPr>
          <w:lang w:val="ru-RU"/>
        </w:rPr>
        <w:t xml:space="preserve"> информационной карт</w:t>
      </w:r>
      <w:r>
        <w:rPr>
          <w:lang w:val="ru-RU"/>
        </w:rPr>
        <w:t xml:space="preserve">ы</w:t>
      </w:r>
      <w:r>
        <w:rPr>
          <w:lang w:val="ru-RU"/>
        </w:rPr>
        <w:t xml:space="preserve"> – данный абзац следует исключить из текста заявки.</w:t>
      </w:r>
      <w:r>
        <w:rPr>
          <w:lang w:val="ru-RU"/>
        </w:rPr>
      </w:r>
      <w:r>
        <w:rPr>
          <w:lang w:val="ru-RU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63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2" w:hanging="360"/>
        <w:tabs>
          <w:tab w:val="num" w:pos="1572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932" w:hanging="360"/>
        <w:tabs>
          <w:tab w:val="num" w:pos="1932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292" w:hanging="360"/>
        <w:tabs>
          <w:tab w:val="num" w:pos="2292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652" w:hanging="360"/>
        <w:tabs>
          <w:tab w:val="num" w:pos="2652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012" w:hanging="360"/>
        <w:tabs>
          <w:tab w:val="num" w:pos="3012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372" w:hanging="360"/>
        <w:tabs>
          <w:tab w:val="num" w:pos="3372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3732" w:hanging="360"/>
        <w:tabs>
          <w:tab w:val="num" w:pos="3732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4092" w:hanging="360"/>
        <w:tabs>
          <w:tab w:val="num" w:pos="4092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4452" w:hanging="360"/>
        <w:tabs>
          <w:tab w:val="num" w:pos="4452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1">
      <w:start w:val="1"/>
      <w:numFmt w:val="bullet"/>
      <w:isLgl w:val="false"/>
      <w:suff w:val="tab"/>
      <w:lvlText w:val=""/>
      <w:lvlJc w:val="left"/>
      <w:pPr>
        <w:ind w:left="1080" w:hanging="360"/>
        <w:tabs>
          <w:tab w:val="num" w:pos="108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2">
      <w:start w:val="1"/>
      <w:numFmt w:val="bullet"/>
      <w:isLgl w:val="false"/>
      <w:suff w:val="tab"/>
      <w:lvlText w:val="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3">
      <w:start w:val="1"/>
      <w:numFmt w:val="bullet"/>
      <w:isLgl w:val="false"/>
      <w:suff w:val="tab"/>
      <w:lvlText w:val=""/>
      <w:lvlJc w:val="left"/>
      <w:pPr>
        <w:ind w:left="1800" w:hanging="360"/>
        <w:tabs>
          <w:tab w:val="num" w:pos="180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4">
      <w:start w:val="1"/>
      <w:numFmt w:val="bullet"/>
      <w:isLgl w:val="false"/>
      <w:suff w:val="tab"/>
      <w:lvlText w:val="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5">
      <w:start w:val="1"/>
      <w:numFmt w:val="bullet"/>
      <w:isLgl w:val="false"/>
      <w:suff w:val="tab"/>
      <w:lvlText w:val=""/>
      <w:lvlJc w:val="left"/>
      <w:pPr>
        <w:ind w:left="2520" w:hanging="360"/>
        <w:tabs>
          <w:tab w:val="num" w:pos="252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6">
      <w:start w:val="1"/>
      <w:numFmt w:val="bullet"/>
      <w:isLgl w:val="false"/>
      <w:suff w:val="tab"/>
      <w:lvlText w:val="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7">
      <w:start w:val="1"/>
      <w:numFmt w:val="bullet"/>
      <w:isLgl w:val="false"/>
      <w:suff w:val="tab"/>
      <w:lvlText w:val=""/>
      <w:lvlJc w:val="left"/>
      <w:pPr>
        <w:ind w:left="3240" w:hanging="360"/>
        <w:tabs>
          <w:tab w:val="num" w:pos="324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8">
      <w:start w:val="1"/>
      <w:numFmt w:val="bullet"/>
      <w:isLgl w:val="false"/>
      <w:suff w:val="tab"/>
      <w:lvlText w:val="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b/>
        <w:bCs/>
        <w:caps w:val="0"/>
        <w:smallCaps w:val="0"/>
        <w:sz w:val="22"/>
        <w:szCs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b w:val="0"/>
        <w:bCs w:val="0"/>
        <w:caps w:val="0"/>
        <w:smallCaps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4" w:hanging="1134"/>
      </w:pPr>
    </w:lvl>
    <w:lvl w:ilvl="1">
      <w:start w:val="1"/>
      <w:numFmt w:val="decimal"/>
      <w:isLgl w:val="false"/>
      <w:suff w:val="tab"/>
      <w:lvlText w:val="%1.%2"/>
      <w:lvlJc w:val="left"/>
      <w:pPr>
        <w:ind w:left="2269" w:hanging="1134"/>
      </w:pPr>
    </w:lvl>
    <w:lvl w:ilvl="2">
      <w:start w:val="1"/>
      <w:numFmt w:val="decimal"/>
      <w:isLgl w:val="false"/>
      <w:suff w:val="tab"/>
      <w:lvlText w:val="%1.%2.%3"/>
      <w:lvlJc w:val="left"/>
      <w:pPr>
        <w:ind w:left="1134" w:hanging="1134"/>
      </w:pPr>
      <w:rPr>
        <w:b w:val="0"/>
      </w:rPr>
    </w:lvl>
    <w:lvl w:ilvl="3">
      <w:start w:val="1"/>
      <w:numFmt w:val="decimal"/>
      <w:isLgl w:val="false"/>
      <w:suff w:val="tab"/>
      <w:lvlText w:val="(%4)"/>
      <w:lvlJc w:val="left"/>
      <w:pPr>
        <w:ind w:left="1985" w:hanging="851"/>
      </w:pPr>
      <w:rPr>
        <w:b w:val="0"/>
        <w:i w:val="0"/>
      </w:rPr>
    </w:lvl>
    <w:lvl w:ilvl="4">
      <w:start w:val="1"/>
      <w:numFmt w:val="thaiNumbers"/>
      <w:isLgl w:val="false"/>
      <w:suff w:val="tab"/>
      <w:lvlText w:val="(%5)"/>
      <w:lvlJc w:val="left"/>
      <w:pPr>
        <w:ind w:left="2977" w:hanging="850"/>
      </w:pPr>
    </w:lvl>
    <w:lvl w:ilvl="5">
      <w:start w:val="1"/>
      <w:numFmt w:val="decimal"/>
      <w:isLgl w:val="false"/>
      <w:suff w:val="tab"/>
      <w:lvlText w:val=""/>
      <w:lvlJc w:val="left"/>
      <w:pPr>
        <w:ind w:left="1134" w:hanging="1134"/>
      </w:pPr>
      <w:rPr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6">
      <w:start w:val="1"/>
      <w:numFmt w:val="decimal"/>
      <w:isLgl w:val="false"/>
      <w:suff w:val="tab"/>
      <w:lvlText w:val=""/>
      <w:lvlJc w:val="left"/>
      <w:pPr>
        <w:ind w:left="1134" w:hanging="1134"/>
      </w:pPr>
    </w:lvl>
    <w:lvl w:ilvl="7">
      <w:start w:val="1"/>
      <w:numFmt w:val="decimal"/>
      <w:isLgl w:val="false"/>
      <w:suff w:val="tab"/>
      <w:lvlText w:val=""/>
      <w:lvlJc w:val="left"/>
      <w:pPr>
        <w:ind w:left="1134" w:hanging="1134"/>
      </w:pPr>
    </w:lvl>
    <w:lvl w:ilvl="8">
      <w:start w:val="1"/>
      <w:numFmt w:val="decimal"/>
      <w:isLgl w:val="false"/>
      <w:suff w:val="tab"/>
      <w:lvlText w:val=""/>
      <w:lvlJc w:val="left"/>
      <w:pPr>
        <w:ind w:left="1134" w:hanging="1134"/>
      </w:pPr>
    </w:lvl>
  </w:abstractNum>
  <w:abstractNum w:abstractNumId="5">
    <w:multiLevelType w:val="hybridMultilevel"/>
    <w:lvl w:ilvl="0">
      <w:start w:val="1"/>
      <w:numFmt w:val="decimal"/>
      <w:pStyle w:val="899"/>
      <w:isLgl w:val="false"/>
      <w:suff w:val="tab"/>
      <w:lvlText w:val="%1."/>
      <w:lvlJc w:val="left"/>
      <w:pPr>
        <w:tabs>
          <w:tab w:val="num" w:pos="1134" w:leader="none"/>
        </w:tabs>
      </w:pPr>
      <w:rPr>
        <w: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900"/>
      <w:isLgl w:val="false"/>
      <w:suff w:val="tab"/>
      <w:lvlText w:val="%1.%2."/>
      <w:lvlJc w:val="left"/>
      <w:pPr>
        <w:ind w:left="568"/>
        <w:tabs>
          <w:tab w:val="num" w:pos="2269" w:leader="none"/>
        </w:tabs>
      </w:pPr>
      <w:rPr>
        <w:i w:val="0"/>
        <w:iCs w:val="0"/>
        <w:caps w:val="0"/>
        <w:strike w:val="0"/>
        <w:vanish w:val="0"/>
        <w:color w:val="000000"/>
        <w:spacing w:val="0"/>
        <w:position w:val="0"/>
        <w:sz w:val="36"/>
        <w:szCs w:val="3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910"/>
      <w:isLgl w:val="false"/>
      <w:suff w:val="tab"/>
      <w:lvlText w:val="%1.%2.%3."/>
      <w:lvlJc w:val="left"/>
      <w:pPr>
        <w:tabs>
          <w:tab w:val="num" w:pos="1701" w:leader="none"/>
        </w:tabs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915"/>
      <w:isLgl w:val="false"/>
      <w:suff w:val="tab"/>
      <w:lvlText w:val="%1.%2.%3.%4."/>
      <w:lvlJc w:val="left"/>
      <w:pPr>
        <w:tabs>
          <w:tab w:val="num" w:pos="1701" w:leader="none"/>
        </w:tabs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917"/>
      <w:isLgl w:val="false"/>
      <w:suff w:val="tab"/>
      <w:lvlText w:val="%1.%2.%3.%4.%5."/>
      <w:lvlJc w:val="left"/>
      <w:pPr>
        <w:tabs>
          <w:tab w:val="num" w:pos="1701" w:leader="none"/>
        </w:tabs>
      </w:pPr>
      <w:rPr>
        <w:b w:val="0"/>
        <w:bCs w:val="0"/>
        <w:i w:val="0"/>
        <w:iCs w:val="0"/>
      </w:rPr>
    </w:lvl>
    <w:lvl w:ilvl="5">
      <w:start w:val="1"/>
      <w:numFmt w:val="thaiNumbers"/>
      <w:pStyle w:val="916"/>
      <w:isLgl w:val="false"/>
      <w:suff w:val="tab"/>
      <w:lvlText w:val="%6)"/>
      <w:lvlJc w:val="left"/>
      <w:pPr>
        <w:tabs>
          <w:tab w:val="num" w:pos="1701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firstLine="709"/>
        <w:tabs>
          <w:tab w:val="num" w:pos="1069" w:leader="none"/>
        </w:tabs>
      </w:pPr>
    </w:lvl>
    <w:lvl w:ilvl="1">
      <w:start w:val="1"/>
      <w:numFmt w:val="decimal"/>
      <w:pStyle w:val="936"/>
      <w:isLgl w:val="false"/>
      <w:suff w:val="tab"/>
      <w:lvlText w:val="%1.%2."/>
      <w:lvlJc w:val="left"/>
      <w:pPr>
        <w:ind w:firstLine="709"/>
        <w:tabs>
          <w:tab w:val="num" w:pos="1429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8">
    <w:multiLevelType w:val="hybridMultilevel"/>
    <w:lvl w:ilvl="0">
      <w:start w:val="1"/>
      <w:numFmt w:val="upperRoman"/>
      <w:pStyle w:val="928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pStyle w:val="929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pStyle w:val="930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pStyle w:val="969"/>
      <w:isLgl w:val="false"/>
      <w:suff w:val="tab"/>
      <w:lvlText w:val="%1."/>
      <w:lvlJc w:val="left"/>
      <w:pPr>
        <w:ind w:left="1277" w:hanging="284"/>
        <w:tabs>
          <w:tab w:val="num" w:pos="1353" w:leader="none"/>
        </w:tabs>
      </w:pPr>
      <w:rPr>
        <w:rFonts w:ascii="Times New Roman" w:hAnsi="Times New Roman" w:eastAsia="Times New Roman"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728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232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736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2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744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320" w:leader="none"/>
        </w:tabs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2">
    <w:multiLevelType w:val="hybridMultilevel"/>
    <w:lvl w:ilvl="0">
      <w:start w:val="1"/>
      <w:numFmt w:val="decimal"/>
      <w:pStyle w:val="911"/>
      <w:isLgl w:val="false"/>
      <w:suff w:val="tab"/>
      <w:lvlText w:val="%1."/>
      <w:lvlJc w:val="left"/>
      <w:pPr>
        <w:ind w:left="78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5" w:hanging="180"/>
      </w:pPr>
    </w:lvl>
  </w:abstractNum>
  <w:abstractNum w:abstractNumId="13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14">
    <w:multiLevelType w:val="hybridMultilevel"/>
    <w:lvl w:ilvl="0">
      <w:start w:val="1"/>
      <w:numFmt w:val="decimal"/>
      <w:pStyle w:val="918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pStyle w:val="919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pStyle w:val="920"/>
      <w:isLgl w:val="false"/>
      <w:suff w:val="tab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7"/>
  </w:num>
  <w:num w:numId="7">
    <w:abstractNumId w:val="10"/>
  </w:num>
  <w:num w:numId="8">
    <w:abstractNumId w:val="4"/>
  </w:num>
  <w:num w:numId="9">
    <w:abstractNumId w:val="9"/>
  </w:num>
  <w:num w:numId="10">
    <w:abstractNumId w:val="16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5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4">
    <w:name w:val="Heading 1 Char"/>
    <w:basedOn w:val="903"/>
    <w:link w:val="89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35">
    <w:name w:val="Heading 2 Char"/>
    <w:basedOn w:val="903"/>
    <w:link w:val="900"/>
    <w:uiPriority w:val="9"/>
    <w:rPr>
      <w:rFonts w:ascii="Liberation Sans" w:hAnsi="Liberation Sans" w:eastAsia="Liberation Sans" w:cs="Liberation Sans"/>
      <w:sz w:val="34"/>
    </w:rPr>
  </w:style>
  <w:style w:type="character" w:styleId="736">
    <w:name w:val="Heading 3 Char"/>
    <w:basedOn w:val="903"/>
    <w:link w:val="90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37">
    <w:name w:val="Heading 4 Char"/>
    <w:basedOn w:val="903"/>
    <w:link w:val="90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38">
    <w:name w:val="Heading 5"/>
    <w:basedOn w:val="898"/>
    <w:next w:val="898"/>
    <w:link w:val="73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9">
    <w:name w:val="Heading 5 Char"/>
    <w:basedOn w:val="903"/>
    <w:link w:val="73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40">
    <w:name w:val="Heading 6"/>
    <w:basedOn w:val="898"/>
    <w:next w:val="898"/>
    <w:link w:val="74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41">
    <w:name w:val="Heading 6 Char"/>
    <w:basedOn w:val="903"/>
    <w:link w:val="74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42">
    <w:name w:val="Heading 7"/>
    <w:basedOn w:val="898"/>
    <w:next w:val="898"/>
    <w:link w:val="74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43">
    <w:name w:val="Heading 7 Char"/>
    <w:basedOn w:val="903"/>
    <w:link w:val="74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44">
    <w:name w:val="Heading 8"/>
    <w:basedOn w:val="898"/>
    <w:next w:val="898"/>
    <w:link w:val="74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45">
    <w:name w:val="Heading 8 Char"/>
    <w:basedOn w:val="903"/>
    <w:link w:val="74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46">
    <w:name w:val="Heading 9"/>
    <w:basedOn w:val="898"/>
    <w:next w:val="898"/>
    <w:link w:val="74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7">
    <w:name w:val="Heading 9 Char"/>
    <w:basedOn w:val="903"/>
    <w:link w:val="74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48">
    <w:name w:val="List Paragraph"/>
    <w:basedOn w:val="898"/>
    <w:uiPriority w:val="34"/>
    <w:qFormat/>
    <w:pPr>
      <w:contextualSpacing/>
      <w:ind w:left="720"/>
    </w:pPr>
  </w:style>
  <w:style w:type="character" w:styleId="749">
    <w:name w:val="Title Char"/>
    <w:basedOn w:val="903"/>
    <w:link w:val="955"/>
    <w:uiPriority w:val="10"/>
    <w:rPr>
      <w:sz w:val="48"/>
      <w:szCs w:val="48"/>
    </w:rPr>
  </w:style>
  <w:style w:type="paragraph" w:styleId="750">
    <w:name w:val="Subtitle"/>
    <w:basedOn w:val="898"/>
    <w:next w:val="898"/>
    <w:link w:val="751"/>
    <w:uiPriority w:val="11"/>
    <w:qFormat/>
    <w:pPr>
      <w:spacing w:before="200" w:after="200"/>
    </w:pPr>
    <w:rPr>
      <w:sz w:val="24"/>
      <w:szCs w:val="24"/>
    </w:rPr>
  </w:style>
  <w:style w:type="character" w:styleId="751">
    <w:name w:val="Subtitle Char"/>
    <w:basedOn w:val="903"/>
    <w:link w:val="750"/>
    <w:uiPriority w:val="11"/>
    <w:rPr>
      <w:sz w:val="24"/>
      <w:szCs w:val="24"/>
    </w:rPr>
  </w:style>
  <w:style w:type="paragraph" w:styleId="752">
    <w:name w:val="Quote"/>
    <w:basedOn w:val="898"/>
    <w:next w:val="898"/>
    <w:link w:val="753"/>
    <w:uiPriority w:val="29"/>
    <w:qFormat/>
    <w:pPr>
      <w:ind w:left="720" w:right="720"/>
    </w:pPr>
    <w:rPr>
      <w:i/>
    </w:rPr>
  </w:style>
  <w:style w:type="character" w:styleId="753">
    <w:name w:val="Quote Char"/>
    <w:link w:val="752"/>
    <w:uiPriority w:val="29"/>
    <w:rPr>
      <w:i/>
    </w:rPr>
  </w:style>
  <w:style w:type="paragraph" w:styleId="754">
    <w:name w:val="Intense Quote"/>
    <w:basedOn w:val="898"/>
    <w:next w:val="898"/>
    <w:link w:val="75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5">
    <w:name w:val="Intense Quote Char"/>
    <w:link w:val="754"/>
    <w:uiPriority w:val="30"/>
    <w:rPr>
      <w:i/>
    </w:rPr>
  </w:style>
  <w:style w:type="character" w:styleId="756">
    <w:name w:val="Header Char"/>
    <w:basedOn w:val="903"/>
    <w:link w:val="992"/>
    <w:uiPriority w:val="99"/>
  </w:style>
  <w:style w:type="character" w:styleId="757">
    <w:name w:val="Footer Char"/>
    <w:basedOn w:val="903"/>
    <w:link w:val="994"/>
    <w:uiPriority w:val="99"/>
  </w:style>
  <w:style w:type="paragraph" w:styleId="758">
    <w:name w:val="Caption"/>
    <w:basedOn w:val="898"/>
    <w:next w:val="898"/>
    <w:link w:val="75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9">
    <w:name w:val="Caption Char"/>
    <w:basedOn w:val="903"/>
    <w:link w:val="758"/>
    <w:uiPriority w:val="35"/>
    <w:rPr>
      <w:b/>
      <w:bCs/>
      <w:color w:val="4f81bd" w:themeColor="accent1"/>
      <w:sz w:val="18"/>
      <w:szCs w:val="18"/>
    </w:rPr>
  </w:style>
  <w:style w:type="table" w:styleId="760">
    <w:name w:val="Table Grid Light"/>
    <w:basedOn w:val="9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1">
    <w:name w:val="Plain Table 1"/>
    <w:basedOn w:val="9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2">
    <w:name w:val="Plain Table 2"/>
    <w:basedOn w:val="90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3">
    <w:name w:val="Plain Table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4">
    <w:name w:val="Plain Table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Plain Table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6">
    <w:name w:val="Grid Table 1 Light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1 Light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2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4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8">
    <w:name w:val="Grid Table 4 - Accent 1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9">
    <w:name w:val="Grid Table 4 - Accent 2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Grid Table 4 - Accent 3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1">
    <w:name w:val="Grid Table 4 - Accent 4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Grid Table 4 - Accent 5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3">
    <w:name w:val="Grid Table 4 - Accent 6"/>
    <w:basedOn w:val="9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4">
    <w:name w:val="Grid Table 5 Dark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5">
    <w:name w:val="Grid Table 5 Dark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7">
    <w:name w:val="Grid Table 5 Dark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8">
    <w:name w:val="Grid Table 5 Dark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9">
    <w:name w:val="Grid Table 5 Dark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00">
    <w:name w:val="Grid Table 5 Dark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01">
    <w:name w:val="Grid Table 6 Colorful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02">
    <w:name w:val="Grid Table 6 Colorful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03">
    <w:name w:val="Grid Table 6 Colorful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04">
    <w:name w:val="Grid Table 6 Colorful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05">
    <w:name w:val="Grid Table 6 Colorful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06">
    <w:name w:val="Grid Table 6 Colorful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7">
    <w:name w:val="Grid Table 6 Colorful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8">
    <w:name w:val="Grid Table 7 Colorful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7 Colorful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3">
    <w:name w:val="List Table 2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4">
    <w:name w:val="List Table 2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5">
    <w:name w:val="List Table 2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6">
    <w:name w:val="List Table 2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7">
    <w:name w:val="List Table 2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8">
    <w:name w:val="List Table 2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9">
    <w:name w:val="List Table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3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5 Dark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4">
    <w:name w:val="List Table 5 Dark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5">
    <w:name w:val="List Table 5 Dark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6">
    <w:name w:val="List Table 5 Dark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7">
    <w:name w:val="List Table 5 Dark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8">
    <w:name w:val="List Table 5 Dark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9">
    <w:name w:val="List Table 5 Dark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0">
    <w:name w:val="List Table 6 Colorful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1">
    <w:name w:val="List Table 6 Colorful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2">
    <w:name w:val="List Table 6 Colorful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3">
    <w:name w:val="List Table 6 Colorful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4">
    <w:name w:val="List Table 6 Colorful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5">
    <w:name w:val="List Table 6 Colorful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6">
    <w:name w:val="List Table 6 Colorful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7">
    <w:name w:val="List Table 7 Colorful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58">
    <w:name w:val="List Table 7 Colorful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859">
    <w:name w:val="List Table 7 Colorful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60">
    <w:name w:val="List Table 7 Colorful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61">
    <w:name w:val="List Table 7 Colorful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62">
    <w:name w:val="List Table 7 Colorful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863">
    <w:name w:val="List Table 7 Colorful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64">
    <w:name w:val="Lined - Accent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5">
    <w:name w:val="Lined - Accent 1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66">
    <w:name w:val="Lined - Accent 2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7">
    <w:name w:val="Lined - Accent 3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8">
    <w:name w:val="Lined - Accent 4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9">
    <w:name w:val="Lined - Accent 5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70">
    <w:name w:val="Lined - Accent 6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1">
    <w:name w:val="Bordered &amp; Lined - Accent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2">
    <w:name w:val="Bordered &amp; Lined - Accent 1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73">
    <w:name w:val="Bordered &amp; Lined - Accent 2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4">
    <w:name w:val="Bordered &amp; Lined - Accent 3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5">
    <w:name w:val="Bordered &amp; Lined - Accent 4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6">
    <w:name w:val="Bordered &amp; Lined - Accent 5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77">
    <w:name w:val="Bordered &amp; Lined - Accent 6"/>
    <w:basedOn w:val="9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8">
    <w:name w:val="Bordered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9">
    <w:name w:val="Bordered - Accent 1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0">
    <w:name w:val="Bordered - Accent 2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1">
    <w:name w:val="Bordered - Accent 3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2">
    <w:name w:val="Bordered - Accent 4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3">
    <w:name w:val="Bordered - Accent 5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4">
    <w:name w:val="Bordered - Accent 6"/>
    <w:basedOn w:val="9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5">
    <w:name w:val="Footnote Text Char"/>
    <w:link w:val="925"/>
    <w:uiPriority w:val="99"/>
    <w:rPr>
      <w:sz w:val="18"/>
    </w:rPr>
  </w:style>
  <w:style w:type="character" w:styleId="886">
    <w:name w:val="Endnote Text Char"/>
    <w:link w:val="948"/>
    <w:uiPriority w:val="99"/>
    <w:rPr>
      <w:sz w:val="20"/>
    </w:rPr>
  </w:style>
  <w:style w:type="paragraph" w:styleId="887">
    <w:name w:val="toc 1"/>
    <w:basedOn w:val="898"/>
    <w:next w:val="898"/>
    <w:uiPriority w:val="39"/>
    <w:unhideWhenUsed/>
    <w:pPr>
      <w:ind w:left="0" w:right="0" w:firstLine="0"/>
      <w:spacing w:after="57"/>
    </w:pPr>
  </w:style>
  <w:style w:type="paragraph" w:styleId="888">
    <w:name w:val="toc 2"/>
    <w:basedOn w:val="898"/>
    <w:next w:val="898"/>
    <w:uiPriority w:val="39"/>
    <w:unhideWhenUsed/>
    <w:pPr>
      <w:ind w:left="283" w:right="0" w:firstLine="0"/>
      <w:spacing w:after="57"/>
    </w:pPr>
  </w:style>
  <w:style w:type="paragraph" w:styleId="889">
    <w:name w:val="toc 3"/>
    <w:basedOn w:val="898"/>
    <w:next w:val="898"/>
    <w:uiPriority w:val="39"/>
    <w:unhideWhenUsed/>
    <w:pPr>
      <w:ind w:left="567" w:right="0" w:firstLine="0"/>
      <w:spacing w:after="57"/>
    </w:pPr>
  </w:style>
  <w:style w:type="paragraph" w:styleId="890">
    <w:name w:val="toc 4"/>
    <w:basedOn w:val="898"/>
    <w:next w:val="898"/>
    <w:uiPriority w:val="39"/>
    <w:unhideWhenUsed/>
    <w:pPr>
      <w:ind w:left="850" w:right="0" w:firstLine="0"/>
      <w:spacing w:after="57"/>
    </w:pPr>
  </w:style>
  <w:style w:type="paragraph" w:styleId="891">
    <w:name w:val="toc 5"/>
    <w:basedOn w:val="898"/>
    <w:next w:val="898"/>
    <w:uiPriority w:val="39"/>
    <w:unhideWhenUsed/>
    <w:pPr>
      <w:ind w:left="1134" w:right="0" w:firstLine="0"/>
      <w:spacing w:after="57"/>
    </w:pPr>
  </w:style>
  <w:style w:type="paragraph" w:styleId="892">
    <w:name w:val="toc 6"/>
    <w:basedOn w:val="898"/>
    <w:next w:val="898"/>
    <w:uiPriority w:val="39"/>
    <w:unhideWhenUsed/>
    <w:pPr>
      <w:ind w:left="1417" w:right="0" w:firstLine="0"/>
      <w:spacing w:after="57"/>
    </w:pPr>
  </w:style>
  <w:style w:type="paragraph" w:styleId="893">
    <w:name w:val="toc 7"/>
    <w:basedOn w:val="898"/>
    <w:next w:val="898"/>
    <w:uiPriority w:val="39"/>
    <w:unhideWhenUsed/>
    <w:pPr>
      <w:ind w:left="1701" w:right="0" w:firstLine="0"/>
      <w:spacing w:after="57"/>
    </w:pPr>
  </w:style>
  <w:style w:type="paragraph" w:styleId="894">
    <w:name w:val="toc 8"/>
    <w:basedOn w:val="898"/>
    <w:next w:val="898"/>
    <w:uiPriority w:val="39"/>
    <w:unhideWhenUsed/>
    <w:pPr>
      <w:ind w:left="1984" w:right="0" w:firstLine="0"/>
      <w:spacing w:after="57"/>
    </w:pPr>
  </w:style>
  <w:style w:type="paragraph" w:styleId="895">
    <w:name w:val="toc 9"/>
    <w:basedOn w:val="898"/>
    <w:next w:val="898"/>
    <w:uiPriority w:val="39"/>
    <w:unhideWhenUsed/>
    <w:pPr>
      <w:ind w:left="2268" w:right="0" w:firstLine="0"/>
      <w:spacing w:after="57"/>
    </w:pPr>
  </w:style>
  <w:style w:type="paragraph" w:styleId="896">
    <w:name w:val="TOC Heading"/>
    <w:uiPriority w:val="39"/>
    <w:unhideWhenUsed/>
  </w:style>
  <w:style w:type="paragraph" w:styleId="897">
    <w:name w:val="table of figures"/>
    <w:basedOn w:val="898"/>
    <w:next w:val="898"/>
    <w:uiPriority w:val="99"/>
    <w:unhideWhenUsed/>
    <w:pPr>
      <w:spacing w:after="0" w:afterAutospacing="0"/>
    </w:pPr>
  </w:style>
  <w:style w:type="paragraph" w:styleId="898" w:default="1">
    <w:name w:val="Normal"/>
    <w:qFormat/>
    <w:rPr>
      <w:rFonts w:ascii="Times New Roman" w:hAnsi="Times New Roman"/>
      <w:sz w:val="24"/>
      <w:szCs w:val="24"/>
    </w:rPr>
  </w:style>
  <w:style w:type="paragraph" w:styleId="899">
    <w:name w:val="Heading 1"/>
    <w:basedOn w:val="898"/>
    <w:next w:val="898"/>
    <w:link w:val="906"/>
    <w:uiPriority w:val="9"/>
    <w:qFormat/>
    <w:pPr>
      <w:numPr>
        <w:ilvl w:val="0"/>
        <w:numId w:val="2"/>
      </w:numPr>
      <w:jc w:val="center"/>
      <w:keepLines/>
      <w:keepNext/>
      <w:pageBreakBefore/>
      <w:spacing w:before="600" w:after="360"/>
      <w:outlineLvl w:val="0"/>
    </w:pPr>
    <w:rPr>
      <w:rFonts w:ascii="Arial" w:hAnsi="Arial"/>
      <w:b/>
      <w:bCs/>
      <w:sz w:val="48"/>
      <w:szCs w:val="40"/>
      <w:lang w:val="en-US" w:eastAsia="en-US"/>
    </w:rPr>
  </w:style>
  <w:style w:type="paragraph" w:styleId="900">
    <w:name w:val="Heading 2"/>
    <w:basedOn w:val="898"/>
    <w:next w:val="898"/>
    <w:link w:val="907"/>
    <w:uiPriority w:val="9"/>
    <w:semiHidden/>
    <w:unhideWhenUsed/>
    <w:qFormat/>
    <w:pPr>
      <w:numPr>
        <w:ilvl w:val="1"/>
        <w:numId w:val="2"/>
      </w:numPr>
      <w:ind w:firstLine="567"/>
      <w:keepNext/>
      <w:spacing w:before="480" w:after="120"/>
      <w:tabs>
        <w:tab w:val="left" w:pos="1701" w:leader="none"/>
      </w:tabs>
      <w:outlineLvl w:val="1"/>
    </w:pPr>
    <w:rPr>
      <w:b/>
      <w:bCs/>
      <w:sz w:val="36"/>
      <w:szCs w:val="32"/>
      <w:lang w:val="en-US" w:eastAsia="en-US"/>
    </w:rPr>
  </w:style>
  <w:style w:type="paragraph" w:styleId="901">
    <w:name w:val="Heading 3"/>
    <w:basedOn w:val="898"/>
    <w:next w:val="898"/>
    <w:link w:val="908"/>
    <w:uiPriority w:val="9"/>
    <w:semiHidden/>
    <w:unhideWhenUsed/>
    <w:qFormat/>
    <w:pPr>
      <w:jc w:val="both"/>
      <w:keepNext/>
      <w:spacing w:before="240" w:after="60"/>
      <w:outlineLvl w:val="2"/>
    </w:pPr>
    <w:rPr>
      <w:rFonts w:ascii="Calibri Light" w:hAnsi="Calibri Light"/>
      <w:b/>
      <w:sz w:val="26"/>
      <w:szCs w:val="20"/>
      <w:lang w:val="en-US" w:eastAsia="en-US"/>
    </w:rPr>
  </w:style>
  <w:style w:type="paragraph" w:styleId="902">
    <w:name w:val="Heading 4"/>
    <w:basedOn w:val="898"/>
    <w:next w:val="898"/>
    <w:link w:val="909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sz w:val="28"/>
      <w:szCs w:val="20"/>
      <w:lang w:val="en-US" w:eastAsia="en-US"/>
    </w:rPr>
  </w:style>
  <w:style w:type="character" w:styleId="903" w:default="1">
    <w:name w:val="Default Paragraph Font"/>
    <w:uiPriority w:val="1"/>
    <w:semiHidden/>
    <w:unhideWhenUsed/>
  </w:style>
  <w:style w:type="table" w:styleId="9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5" w:default="1">
    <w:name w:val="No List"/>
    <w:uiPriority w:val="99"/>
    <w:semiHidden/>
    <w:unhideWhenUsed/>
  </w:style>
  <w:style w:type="character" w:styleId="906" w:customStyle="1">
    <w:name w:val="Заголовок 1 Знак"/>
    <w:link w:val="899"/>
    <w:rPr>
      <w:rFonts w:ascii="Arial" w:hAnsi="Arial"/>
      <w:b/>
      <w:bCs/>
      <w:sz w:val="48"/>
      <w:szCs w:val="40"/>
    </w:rPr>
  </w:style>
  <w:style w:type="character" w:styleId="907" w:customStyle="1">
    <w:name w:val="Заголовок 2 Знак"/>
    <w:link w:val="900"/>
    <w:rPr>
      <w:rFonts w:ascii="Times New Roman" w:hAnsi="Times New Roman"/>
      <w:b/>
      <w:bCs/>
      <w:sz w:val="36"/>
      <w:szCs w:val="32"/>
    </w:rPr>
  </w:style>
  <w:style w:type="character" w:styleId="908" w:customStyle="1">
    <w:name w:val="Заголовок 3 Знак"/>
    <w:link w:val="901"/>
    <w:rPr>
      <w:rFonts w:ascii="Calibri Light" w:hAnsi="Calibri Light"/>
      <w:b/>
      <w:sz w:val="26"/>
      <w:lang w:val="en-US" w:eastAsia="en-US"/>
    </w:rPr>
  </w:style>
  <w:style w:type="character" w:styleId="909" w:customStyle="1">
    <w:name w:val="Заголовок 4 Знак"/>
    <w:link w:val="902"/>
    <w:semiHidden/>
    <w:rPr>
      <w:rFonts w:ascii="Calibri" w:hAnsi="Calibri"/>
      <w:b/>
      <w:sz w:val="28"/>
    </w:rPr>
  </w:style>
  <w:style w:type="paragraph" w:styleId="910" w:customStyle="1">
    <w:name w:val="Пункт-3"/>
    <w:basedOn w:val="898"/>
    <w:pPr>
      <w:numPr>
        <w:ilvl w:val="2"/>
        <w:numId w:val="2"/>
      </w:numPr>
      <w:jc w:val="both"/>
      <w:spacing w:line="288" w:lineRule="auto"/>
      <w:tabs>
        <w:tab w:val="left" w:pos="1701" w:leader="none"/>
      </w:tabs>
    </w:pPr>
    <w:rPr>
      <w:sz w:val="28"/>
      <w:szCs w:val="28"/>
    </w:rPr>
  </w:style>
  <w:style w:type="paragraph" w:styleId="911">
    <w:name w:val="List Number 2"/>
    <w:basedOn w:val="898"/>
    <w:semiHidden/>
    <w:pPr>
      <w:numPr>
        <w:ilvl w:val="0"/>
        <w:numId w:val="4"/>
      </w:numPr>
      <w:contextualSpacing/>
      <w:spacing w:after="200" w:line="276" w:lineRule="auto"/>
    </w:pPr>
    <w:rPr>
      <w:rFonts w:ascii="Calibri" w:hAnsi="Calibri"/>
      <w:sz w:val="22"/>
      <w:szCs w:val="22"/>
    </w:rPr>
  </w:style>
  <w:style w:type="paragraph" w:styleId="912">
    <w:name w:val="No Spacing"/>
    <w:uiPriority w:val="1"/>
    <w:pPr>
      <w:jc w:val="right"/>
    </w:pPr>
    <w:rPr>
      <w:rFonts w:ascii="Times New Roman" w:hAnsi="Times New Roman"/>
      <w:sz w:val="24"/>
      <w:szCs w:val="22"/>
      <w:lang w:eastAsia="en-US"/>
    </w:rPr>
  </w:style>
  <w:style w:type="character" w:styleId="913">
    <w:name w:val="Hyperlink"/>
    <w:uiPriority w:val="99"/>
    <w:rPr>
      <w:color w:val="0000ff"/>
      <w:u w:val="single"/>
    </w:rPr>
  </w:style>
  <w:style w:type="paragraph" w:styleId="914" w:customStyle="1">
    <w:name w:val="Абзац списка;Bullet List;FooterText;numbered;Список дефисный;Table-Normal;RSHB_Table-Normal;Заговок Марина;Use Case List Paragraph;Paragraphe de liste1;lp1"/>
    <w:basedOn w:val="898"/>
    <w:link w:val="973"/>
    <w:pPr>
      <w:ind w:left="708"/>
      <w:jc w:val="both"/>
      <w:spacing w:after="160"/>
    </w:pPr>
    <w:rPr>
      <w:szCs w:val="20"/>
      <w:lang w:val="en-US" w:eastAsia="en-US"/>
    </w:rPr>
  </w:style>
  <w:style w:type="paragraph" w:styleId="915" w:customStyle="1">
    <w:name w:val="Пункт-4"/>
    <w:basedOn w:val="898"/>
    <w:pPr>
      <w:numPr>
        <w:ilvl w:val="3"/>
        <w:numId w:val="2"/>
      </w:numPr>
      <w:jc w:val="both"/>
      <w:spacing w:line="288" w:lineRule="auto"/>
    </w:pPr>
    <w:rPr>
      <w:sz w:val="28"/>
      <w:szCs w:val="20"/>
    </w:rPr>
  </w:style>
  <w:style w:type="paragraph" w:styleId="916" w:customStyle="1">
    <w:name w:val="Пункт-6"/>
    <w:basedOn w:val="898"/>
    <w:pPr>
      <w:numPr>
        <w:ilvl w:val="5"/>
        <w:numId w:val="2"/>
      </w:numPr>
      <w:ind w:firstLine="567"/>
      <w:jc w:val="both"/>
      <w:spacing w:line="288" w:lineRule="auto"/>
    </w:pPr>
    <w:rPr>
      <w:sz w:val="28"/>
      <w:szCs w:val="20"/>
    </w:rPr>
  </w:style>
  <w:style w:type="paragraph" w:styleId="917" w:customStyle="1">
    <w:name w:val="Пункт-5"/>
    <w:basedOn w:val="898"/>
    <w:pPr>
      <w:numPr>
        <w:ilvl w:val="4"/>
        <w:numId w:val="2"/>
      </w:numPr>
      <w:jc w:val="both"/>
      <w:spacing w:line="288" w:lineRule="auto"/>
    </w:pPr>
    <w:rPr>
      <w:sz w:val="28"/>
      <w:szCs w:val="20"/>
    </w:rPr>
  </w:style>
  <w:style w:type="paragraph" w:styleId="918" w:customStyle="1">
    <w:name w:val="Заголовок ЗД"/>
    <w:basedOn w:val="899"/>
    <w:pPr>
      <w:numPr>
        <w:ilvl w:val="0"/>
        <w:numId w:val="3"/>
      </w:numPr>
      <w:ind w:left="643"/>
      <w:jc w:val="left"/>
      <w:spacing w:before="0" w:after="0"/>
      <w:tabs>
        <w:tab w:val="left" w:pos="142" w:leader="none"/>
        <w:tab w:val="left" w:pos="426" w:leader="none"/>
        <w:tab w:val="num" w:pos="643" w:leader="none"/>
      </w:tabs>
    </w:pPr>
    <w:rPr>
      <w:rFonts w:ascii="Times New Roman" w:hAnsi="Times New Roman"/>
      <w:bCs w:val="0"/>
      <w:sz w:val="24"/>
      <w:szCs w:val="24"/>
    </w:rPr>
  </w:style>
  <w:style w:type="paragraph" w:styleId="919" w:customStyle="1">
    <w:name w:val="Заголовок ЗД 1"/>
    <w:basedOn w:val="900"/>
    <w:pPr>
      <w:numPr>
        <w:ilvl w:val="0"/>
        <w:numId w:val="3"/>
      </w:numPr>
      <w:ind w:left="0" w:firstLine="0"/>
      <w:jc w:val="both"/>
      <w:spacing w:before="0" w:after="0"/>
      <w:tabs>
        <w:tab w:val="left" w:pos="142" w:leader="none"/>
        <w:tab w:val="left" w:pos="426" w:leader="none"/>
        <w:tab w:val="num" w:pos="643" w:leader="none"/>
      </w:tabs>
    </w:pPr>
    <w:rPr>
      <w:bCs w:val="0"/>
      <w:sz w:val="24"/>
      <w:szCs w:val="24"/>
    </w:rPr>
  </w:style>
  <w:style w:type="paragraph" w:styleId="920" w:customStyle="1">
    <w:name w:val="Подзаголовок ЗД"/>
    <w:basedOn w:val="898"/>
    <w:pPr>
      <w:numPr>
        <w:ilvl w:val="2"/>
        <w:numId w:val="3"/>
      </w:numPr>
    </w:pPr>
    <w:rPr>
      <w:b/>
    </w:rPr>
  </w:style>
  <w:style w:type="paragraph" w:styleId="921" w:customStyle="1">
    <w:name w:val="Абзац"/>
    <w:basedOn w:val="898"/>
    <w:link w:val="922"/>
    <w:pPr>
      <w:ind w:firstLine="567"/>
      <w:jc w:val="both"/>
      <w:spacing w:before="120" w:after="60"/>
    </w:pPr>
    <w:rPr>
      <w:szCs w:val="20"/>
      <w:lang w:val="en-US" w:eastAsia="en-US"/>
    </w:rPr>
  </w:style>
  <w:style w:type="character" w:styleId="922" w:customStyle="1">
    <w:name w:val="Абзац Знак"/>
    <w:link w:val="921"/>
    <w:rPr>
      <w:rFonts w:ascii="Times New Roman" w:hAnsi="Times New Roman"/>
      <w:sz w:val="24"/>
    </w:rPr>
  </w:style>
  <w:style w:type="paragraph" w:styleId="923" w:customStyle="1">
    <w:name w:val="Пункт 4"/>
    <w:basedOn w:val="902"/>
    <w:pPr>
      <w:ind w:firstLine="567"/>
      <w:jc w:val="both"/>
      <w:keepNext w:val="0"/>
      <w:spacing w:before="120"/>
      <w:tabs>
        <w:tab w:val="left" w:pos="1418" w:leader="none"/>
      </w:tabs>
    </w:pPr>
    <w:rPr>
      <w:rFonts w:ascii="Times New Roman" w:hAnsi="Times New Roman"/>
      <w:b w:val="0"/>
      <w:sz w:val="24"/>
      <w:szCs w:val="24"/>
    </w:rPr>
  </w:style>
  <w:style w:type="paragraph" w:styleId="924" w:customStyle="1">
    <w:name w:val="Пункт 2"/>
    <w:basedOn w:val="900"/>
    <w:pPr>
      <w:numPr>
        <w:ilvl w:val="0"/>
        <w:numId w:val="0"/>
      </w:numPr>
      <w:ind w:firstLine="567"/>
      <w:jc w:val="both"/>
      <w:keepNext w:val="0"/>
      <w:spacing w:before="120" w:after="60"/>
      <w:tabs>
        <w:tab w:val="left" w:pos="1134" w:leader="none"/>
        <w:tab w:val="clear" w:pos="1701" w:leader="none"/>
      </w:tabs>
    </w:pPr>
    <w:rPr>
      <w:b w:val="0"/>
      <w:iCs/>
      <w:sz w:val="24"/>
      <w:szCs w:val="24"/>
    </w:rPr>
  </w:style>
  <w:style w:type="paragraph" w:styleId="925">
    <w:name w:val="footnote text"/>
    <w:basedOn w:val="898"/>
    <w:link w:val="926"/>
    <w:uiPriority w:val="99"/>
    <w:semiHidden/>
    <w:pPr>
      <w:jc w:val="both"/>
      <w:spacing w:after="160"/>
    </w:pPr>
    <w:rPr>
      <w:sz w:val="20"/>
      <w:szCs w:val="20"/>
      <w:lang w:val="en-US" w:eastAsia="en-US"/>
    </w:rPr>
  </w:style>
  <w:style w:type="character" w:styleId="926" w:customStyle="1">
    <w:name w:val="Текст сноски Знак"/>
    <w:link w:val="925"/>
    <w:semiHidden/>
    <w:rPr>
      <w:rFonts w:ascii="Times New Roman" w:hAnsi="Times New Roman"/>
      <w:lang w:val="en-US" w:eastAsia="en-US"/>
    </w:rPr>
  </w:style>
  <w:style w:type="character" w:styleId="927">
    <w:name w:val="footnote reference"/>
    <w:uiPriority w:val="99"/>
    <w:rPr>
      <w:sz w:val="20"/>
      <w:vertAlign w:val="superscript"/>
    </w:rPr>
  </w:style>
  <w:style w:type="paragraph" w:styleId="928" w:customStyle="1">
    <w:name w:val="Главы"/>
    <w:basedOn w:val="898"/>
    <w:next w:val="898"/>
    <w:pPr>
      <w:numPr>
        <w:ilvl w:val="0"/>
        <w:numId w:val="5"/>
      </w:numPr>
      <w:ind w:left="0" w:firstLine="0"/>
      <w:jc w:val="center"/>
      <w:pageBreakBefore/>
      <w:spacing w:before="1440" w:after="720" w:line="360" w:lineRule="auto"/>
      <w:tabs>
        <w:tab w:val="clear" w:pos="567" w:leader="none"/>
        <w:tab w:val="left" w:pos="851" w:leader="none"/>
      </w:tabs>
      <w:outlineLvl w:val="0"/>
    </w:pPr>
    <w:rPr>
      <w:rFonts w:ascii="Arial" w:hAnsi="Arial"/>
      <w:b/>
      <w:caps/>
      <w:spacing w:val="40"/>
      <w:sz w:val="44"/>
      <w:szCs w:val="44"/>
    </w:rPr>
  </w:style>
  <w:style w:type="paragraph" w:styleId="929" w:customStyle="1">
    <w:name w:val="Подпункт"/>
    <w:basedOn w:val="898"/>
    <w:pPr>
      <w:numPr>
        <w:ilvl w:val="3"/>
        <w:numId w:val="5"/>
      </w:numPr>
      <w:jc w:val="both"/>
      <w:spacing w:line="360" w:lineRule="auto"/>
    </w:pPr>
    <w:rPr>
      <w:sz w:val="28"/>
      <w:szCs w:val="28"/>
    </w:rPr>
  </w:style>
  <w:style w:type="paragraph" w:styleId="930" w:customStyle="1">
    <w:name w:val="Подподпункт"/>
    <w:basedOn w:val="929"/>
    <w:pPr>
      <w:numPr>
        <w:ilvl w:val="4"/>
      </w:numPr>
      <w:ind w:hanging="792"/>
    </w:pPr>
  </w:style>
  <w:style w:type="paragraph" w:styleId="931" w:customStyle="1">
    <w:name w:val="Таблица текст"/>
    <w:basedOn w:val="898"/>
    <w:pPr>
      <w:ind w:left="57" w:right="57"/>
      <w:spacing w:before="40" w:after="40"/>
    </w:pPr>
  </w:style>
  <w:style w:type="paragraph" w:styleId="932" w:customStyle="1">
    <w:name w:val="Текст таблицы"/>
    <w:basedOn w:val="898"/>
    <w:semiHidden/>
    <w:pPr>
      <w:ind w:left="57" w:right="57"/>
      <w:spacing w:before="40" w:after="40"/>
    </w:pPr>
  </w:style>
  <w:style w:type="paragraph" w:styleId="933" w:customStyle="1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898"/>
    <w:link w:val="934"/>
    <w:pPr>
      <w:jc w:val="both"/>
    </w:pPr>
    <w:rPr>
      <w:rFonts w:ascii="Arial" w:hAnsi="Arial"/>
      <w:szCs w:val="20"/>
      <w:lang w:val="en-US" w:eastAsia="en-US"/>
    </w:rPr>
  </w:style>
  <w:style w:type="character" w:styleId="934" w:customStyle="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933"/>
    <w:rPr>
      <w:rFonts w:ascii="Arial" w:hAnsi="Arial"/>
      <w:sz w:val="24"/>
      <w:lang w:val="en-US" w:eastAsia="en-US"/>
    </w:rPr>
  </w:style>
  <w:style w:type="paragraph" w:styleId="935" w:customStyle="1">
    <w:name w:val="Обычный2"/>
    <w:pPr>
      <w:ind w:firstLine="720"/>
      <w:jc w:val="both"/>
    </w:pPr>
    <w:rPr>
      <w:rFonts w:ascii="Times New Roman" w:hAnsi="Times New Roman"/>
      <w:sz w:val="28"/>
    </w:rPr>
  </w:style>
  <w:style w:type="paragraph" w:styleId="936" w:customStyle="1">
    <w:name w:val="ConsNormal"/>
    <w:link w:val="977"/>
    <w:pPr>
      <w:numPr>
        <w:ilvl w:val="1"/>
        <w:numId w:val="6"/>
      </w:numPr>
      <w:jc w:val="both"/>
      <w:widowControl w:val="off"/>
    </w:pPr>
    <w:rPr>
      <w:rFonts w:ascii="Times New Roman" w:hAnsi="Times New Roman"/>
      <w:sz w:val="28"/>
    </w:rPr>
  </w:style>
  <w:style w:type="paragraph" w:styleId="937">
    <w:name w:val="Body Text 3"/>
    <w:basedOn w:val="898"/>
    <w:link w:val="938"/>
    <w:pPr>
      <w:spacing w:after="120"/>
    </w:pPr>
    <w:rPr>
      <w:sz w:val="16"/>
      <w:szCs w:val="20"/>
      <w:lang w:val="en-US" w:eastAsia="en-US"/>
    </w:rPr>
  </w:style>
  <w:style w:type="character" w:styleId="938" w:customStyle="1">
    <w:name w:val="Основной текст 3 Знак"/>
    <w:link w:val="937"/>
    <w:rPr>
      <w:rFonts w:ascii="Times New Roman" w:hAnsi="Times New Roman"/>
      <w:sz w:val="16"/>
    </w:rPr>
  </w:style>
  <w:style w:type="paragraph" w:styleId="939">
    <w:name w:val="Body Text Indent"/>
    <w:basedOn w:val="898"/>
    <w:link w:val="940"/>
    <w:pPr>
      <w:ind w:left="283"/>
      <w:spacing w:after="120" w:line="276" w:lineRule="auto"/>
    </w:pPr>
    <w:rPr>
      <w:rFonts w:ascii="Calibri" w:hAnsi="Calibri"/>
      <w:sz w:val="22"/>
      <w:szCs w:val="20"/>
      <w:lang w:val="en-US" w:eastAsia="en-US"/>
    </w:rPr>
  </w:style>
  <w:style w:type="character" w:styleId="940" w:customStyle="1">
    <w:name w:val="Основной текст с отступом Знак"/>
    <w:link w:val="939"/>
    <w:rPr>
      <w:rFonts w:eastAsia="Times New Roman"/>
      <w:sz w:val="22"/>
    </w:rPr>
  </w:style>
  <w:style w:type="paragraph" w:styleId="941" w:customStyle="1">
    <w:name w:val="Обычный1"/>
    <w:link w:val="942"/>
    <w:pPr>
      <w:ind w:firstLine="720"/>
      <w:jc w:val="both"/>
    </w:pPr>
    <w:rPr>
      <w:rFonts w:ascii="Times New Roman" w:hAnsi="Times New Roman"/>
      <w:sz w:val="28"/>
    </w:rPr>
  </w:style>
  <w:style w:type="character" w:styleId="942" w:customStyle="1">
    <w:name w:val="Normal Знак"/>
    <w:link w:val="941"/>
    <w:rPr>
      <w:rFonts w:ascii="Times New Roman" w:hAnsi="Times New Roman"/>
      <w:sz w:val="28"/>
      <w:lang w:bidi="ar-SA"/>
    </w:rPr>
  </w:style>
  <w:style w:type="table" w:styleId="943">
    <w:name w:val="Table Grid"/>
    <w:basedOn w:val="904"/>
    <w:uiPriority w:val="59"/>
    <w:rPr>
      <w:lang w:eastAsia="en-US"/>
    </w:rPr>
    <w:tblPr/>
  </w:style>
  <w:style w:type="paragraph" w:styleId="944" w:customStyle="1">
    <w:name w:val="ConsPlusNormal"/>
    <w:link w:val="976"/>
    <w:pPr>
      <w:ind w:firstLine="720"/>
      <w:widowControl w:val="off"/>
    </w:pPr>
    <w:rPr>
      <w:rFonts w:ascii="Arial" w:hAnsi="Arial"/>
    </w:rPr>
  </w:style>
  <w:style w:type="paragraph" w:styleId="945" w:customStyle="1">
    <w:name w:val="ConsPlusNonformat"/>
    <w:rPr>
      <w:rFonts w:ascii="Courier New" w:hAnsi="Courier New"/>
    </w:rPr>
  </w:style>
  <w:style w:type="paragraph" w:styleId="946">
    <w:name w:val="Balloon Text"/>
    <w:basedOn w:val="898"/>
    <w:link w:val="947"/>
    <w:semiHidden/>
    <w:rPr>
      <w:rFonts w:ascii="Segoe UI" w:hAnsi="Segoe UI"/>
      <w:sz w:val="18"/>
      <w:szCs w:val="20"/>
      <w:lang w:val="en-US" w:eastAsia="en-US"/>
    </w:rPr>
  </w:style>
  <w:style w:type="character" w:styleId="947" w:customStyle="1">
    <w:name w:val="Текст выноски Знак"/>
    <w:link w:val="946"/>
    <w:semiHidden/>
    <w:rPr>
      <w:rFonts w:ascii="Segoe UI" w:hAnsi="Segoe UI"/>
      <w:sz w:val="18"/>
    </w:rPr>
  </w:style>
  <w:style w:type="paragraph" w:styleId="948">
    <w:name w:val="endnote text"/>
    <w:basedOn w:val="898"/>
    <w:link w:val="949"/>
    <w:uiPriority w:val="99"/>
    <w:rPr>
      <w:sz w:val="20"/>
      <w:szCs w:val="20"/>
      <w:lang w:val="en-US" w:eastAsia="en-US"/>
    </w:rPr>
  </w:style>
  <w:style w:type="character" w:styleId="949" w:customStyle="1">
    <w:name w:val="Текст концевой сноски Знак"/>
    <w:link w:val="948"/>
    <w:rPr>
      <w:rFonts w:ascii="Times New Roman" w:hAnsi="Times New Roman"/>
    </w:rPr>
  </w:style>
  <w:style w:type="character" w:styleId="950">
    <w:name w:val="endnote reference"/>
    <w:uiPriority w:val="99"/>
    <w:rPr>
      <w:vertAlign w:val="superscript"/>
    </w:rPr>
  </w:style>
  <w:style w:type="paragraph" w:styleId="951">
    <w:name w:val="Body Text Indent 3"/>
    <w:basedOn w:val="898"/>
    <w:link w:val="952"/>
    <w:semiHidden/>
    <w:pPr>
      <w:ind w:left="283"/>
      <w:spacing w:after="120"/>
    </w:pPr>
    <w:rPr>
      <w:sz w:val="16"/>
      <w:szCs w:val="20"/>
      <w:lang w:val="en-US" w:eastAsia="en-US"/>
    </w:rPr>
  </w:style>
  <w:style w:type="character" w:styleId="952" w:customStyle="1">
    <w:name w:val="Основной текст с отступом 3 Знак"/>
    <w:link w:val="951"/>
    <w:semiHidden/>
    <w:rPr>
      <w:rFonts w:ascii="Times New Roman" w:hAnsi="Times New Roman"/>
      <w:sz w:val="16"/>
    </w:rPr>
  </w:style>
  <w:style w:type="character" w:styleId="953" w:customStyle="1">
    <w:name w:val="Сноска_"/>
    <w:link w:val="954"/>
    <w:rPr>
      <w:rFonts w:ascii="Times New Roman" w:hAnsi="Times New Roman"/>
      <w:sz w:val="19"/>
      <w:shd w:val="clear" w:color="auto" w:fill="ffffff"/>
    </w:rPr>
  </w:style>
  <w:style w:type="paragraph" w:styleId="954" w:customStyle="1">
    <w:name w:val="Сноска"/>
    <w:basedOn w:val="898"/>
    <w:link w:val="953"/>
    <w:pPr>
      <w:spacing w:line="240" w:lineRule="atLeast"/>
      <w:shd w:val="clear" w:color="auto" w:fill="ffffff"/>
    </w:pPr>
    <w:rPr>
      <w:sz w:val="19"/>
      <w:szCs w:val="20"/>
      <w:lang w:val="en-US" w:eastAsia="en-US"/>
    </w:rPr>
  </w:style>
  <w:style w:type="paragraph" w:styleId="955">
    <w:name w:val="Title"/>
    <w:basedOn w:val="898"/>
    <w:next w:val="898"/>
    <w:link w:val="957"/>
    <w:uiPriority w:val="10"/>
    <w:qFormat/>
    <w:pPr>
      <w:jc w:val="center"/>
      <w:spacing w:before="240" w:after="60"/>
      <w:outlineLvl w:val="0"/>
    </w:pPr>
    <w:rPr>
      <w:rFonts w:ascii="Cambria" w:hAnsi="Cambria"/>
      <w:b/>
      <w:color w:val="000000"/>
      <w:sz w:val="32"/>
      <w:szCs w:val="20"/>
      <w:lang w:val="en-US" w:eastAsia="en-US"/>
    </w:rPr>
  </w:style>
  <w:style w:type="character" w:styleId="956" w:customStyle="1">
    <w:name w:val="Основной текст (4)_"/>
    <w:link w:val="958"/>
    <w:rPr>
      <w:rFonts w:ascii="Times New Roman" w:hAnsi="Times New Roman"/>
      <w:sz w:val="19"/>
      <w:shd w:val="clear" w:color="auto" w:fill="ffffff"/>
    </w:rPr>
  </w:style>
  <w:style w:type="character" w:styleId="957" w:customStyle="1">
    <w:name w:val="Заголовок Знак"/>
    <w:link w:val="955"/>
    <w:rPr>
      <w:rFonts w:ascii="Cambria" w:hAnsi="Cambria"/>
      <w:b/>
      <w:color w:val="000000"/>
      <w:sz w:val="32"/>
      <w:lang w:val="en-US" w:eastAsia="en-US"/>
    </w:rPr>
  </w:style>
  <w:style w:type="paragraph" w:styleId="958" w:customStyle="1">
    <w:name w:val="Основной текст (4)1"/>
    <w:basedOn w:val="898"/>
    <w:link w:val="956"/>
    <w:pPr>
      <w:ind w:hanging="140"/>
      <w:spacing w:line="240" w:lineRule="atLeast"/>
      <w:shd w:val="clear" w:color="auto" w:fill="ffffff"/>
    </w:pPr>
    <w:rPr>
      <w:sz w:val="19"/>
      <w:szCs w:val="20"/>
      <w:lang w:val="en-US" w:eastAsia="en-US"/>
    </w:rPr>
  </w:style>
  <w:style w:type="character" w:styleId="959" w:customStyle="1">
    <w:name w:val="Заголовок №3_"/>
    <w:link w:val="960"/>
    <w:rPr>
      <w:rFonts w:ascii="Times New Roman" w:hAnsi="Times New Roman"/>
      <w:b/>
      <w:sz w:val="23"/>
      <w:shd w:val="clear" w:color="auto" w:fill="ffffff"/>
    </w:rPr>
  </w:style>
  <w:style w:type="paragraph" w:styleId="960" w:customStyle="1">
    <w:name w:val="Заголовок №3"/>
    <w:basedOn w:val="898"/>
    <w:link w:val="959"/>
    <w:pPr>
      <w:jc w:val="both"/>
      <w:spacing w:before="300" w:line="274" w:lineRule="exact"/>
      <w:shd w:val="clear" w:color="auto" w:fill="ffffff"/>
      <w:outlineLvl w:val="2"/>
    </w:pPr>
    <w:rPr>
      <w:b/>
      <w:sz w:val="23"/>
      <w:szCs w:val="20"/>
      <w:lang w:val="en-US" w:eastAsia="en-US"/>
    </w:rPr>
  </w:style>
  <w:style w:type="paragraph" w:styleId="961" w:customStyle="1">
    <w:name w:val="[Ростех] Текст Пункта (Уровень 4)"/>
    <w:link w:val="962"/>
    <w:pPr>
      <w:jc w:val="both"/>
      <w:spacing w:before="120"/>
      <w:outlineLvl w:val="3"/>
    </w:pPr>
    <w:rPr>
      <w:rFonts w:ascii="Proxima Nova ExCn Rg" w:hAnsi="Proxima Nova ExCn Rg"/>
      <w:sz w:val="28"/>
    </w:rPr>
  </w:style>
  <w:style w:type="character" w:styleId="962" w:customStyle="1">
    <w:name w:val="[Ростех] Текст Пункта (Уровень 4) Знак"/>
    <w:link w:val="961"/>
    <w:rPr>
      <w:rFonts w:ascii="Proxima Nova ExCn Rg" w:hAnsi="Proxima Nova ExCn Rg"/>
      <w:sz w:val="28"/>
      <w:lang w:bidi="ar-SA"/>
    </w:rPr>
  </w:style>
  <w:style w:type="paragraph" w:styleId="963">
    <w:name w:val="List Number"/>
    <w:basedOn w:val="898"/>
    <w:semiHidden/>
    <w:pPr>
      <w:numPr>
        <w:ilvl w:val="0"/>
        <w:numId w:val="1"/>
      </w:numPr>
      <w:contextualSpacing/>
      <w:ind w:left="360"/>
      <w:tabs>
        <w:tab w:val="num" w:pos="1069" w:leader="none"/>
        <w:tab w:val="num" w:pos="1134" w:leader="none"/>
      </w:tabs>
    </w:pPr>
  </w:style>
  <w:style w:type="character" w:styleId="964" w:customStyle="1">
    <w:name w:val="[Ростех] Наименование Подраздела (Уровень 3) Знак"/>
    <w:link w:val="965"/>
    <w:rPr>
      <w:rFonts w:ascii="Times New Roman" w:hAnsi="Times New Roman"/>
      <w:b/>
      <w:sz w:val="22"/>
      <w:szCs w:val="22"/>
      <w:lang w:val="ru-RU" w:eastAsia="ru-RU" w:bidi="ar-SA"/>
    </w:rPr>
  </w:style>
  <w:style w:type="paragraph" w:styleId="965" w:customStyle="1">
    <w:name w:val="[Ростех] Наименование Подраздела (Уровень 3)"/>
    <w:link w:val="964"/>
    <w:pPr>
      <w:keepLines/>
      <w:keepNext/>
      <w:spacing w:before="240"/>
      <w:outlineLvl w:val="2"/>
    </w:pPr>
    <w:rPr>
      <w:rFonts w:ascii="Times New Roman" w:hAnsi="Times New Roman"/>
      <w:b/>
      <w:sz w:val="22"/>
      <w:szCs w:val="22"/>
    </w:rPr>
  </w:style>
  <w:style w:type="paragraph" w:styleId="966" w:customStyle="1">
    <w:name w:val="[Ростех] Наименование Раздела (Уровень 2)"/>
    <w:pPr>
      <w:jc w:val="center"/>
      <w:keepLines/>
      <w:keepNext/>
      <w:spacing w:before="240"/>
      <w:outlineLvl w:val="1"/>
    </w:pPr>
    <w:rPr>
      <w:rFonts w:ascii="Proxima Nova ExCn Rg" w:hAnsi="Proxima Nova ExCn Rg"/>
      <w:b/>
      <w:sz w:val="28"/>
      <w:szCs w:val="28"/>
    </w:rPr>
  </w:style>
  <w:style w:type="character" w:styleId="967" w:customStyle="1">
    <w:name w:val="[Ростех] Простой текст (Без уровня) Знак"/>
    <w:link w:val="968"/>
    <w:rPr>
      <w:rFonts w:ascii="Times New Roman" w:hAnsi="Times New Roman"/>
      <w:sz w:val="22"/>
      <w:szCs w:val="22"/>
      <w:lang w:val="ru-RU" w:eastAsia="ru-RU" w:bidi="ar-SA"/>
    </w:rPr>
  </w:style>
  <w:style w:type="paragraph" w:styleId="968" w:customStyle="1">
    <w:name w:val="[Ростех] Простой текст (Без уровня)"/>
    <w:link w:val="967"/>
    <w:pPr>
      <w:jc w:val="both"/>
      <w:spacing w:before="120"/>
    </w:pPr>
    <w:rPr>
      <w:rFonts w:ascii="Times New Roman" w:hAnsi="Times New Roman"/>
      <w:sz w:val="22"/>
      <w:szCs w:val="22"/>
    </w:rPr>
  </w:style>
  <w:style w:type="paragraph" w:styleId="969" w:customStyle="1">
    <w:name w:val="ListNum"/>
    <w:basedOn w:val="898"/>
    <w:pPr>
      <w:numPr>
        <w:ilvl w:val="0"/>
        <w:numId w:val="9"/>
      </w:numPr>
      <w:jc w:val="both"/>
      <w:spacing w:before="60"/>
      <w:tabs>
        <w:tab w:val="left" w:pos="284" w:leader="none"/>
      </w:tabs>
    </w:pPr>
    <w:rPr>
      <w:sz w:val="22"/>
    </w:rPr>
  </w:style>
  <w:style w:type="table" w:styleId="970" w:customStyle="1">
    <w:name w:val="Сетка таблицы2"/>
    <w:basedOn w:val="904"/>
    <w:next w:val="943"/>
    <w:rPr>
      <w:lang w:eastAsia="en-US"/>
    </w:rPr>
    <w:tblPr/>
  </w:style>
  <w:style w:type="character" w:styleId="971" w:customStyle="1">
    <w:name w:val="Font Style76"/>
    <w:rPr>
      <w:rFonts w:ascii="Times New Roman" w:hAnsi="Times New Roman"/>
      <w:sz w:val="22"/>
      <w:szCs w:val="22"/>
    </w:rPr>
  </w:style>
  <w:style w:type="paragraph" w:styleId="972" w:customStyle="1">
    <w:name w:val="Style8"/>
    <w:basedOn w:val="898"/>
    <w:pPr>
      <w:jc w:val="center"/>
      <w:spacing w:line="278" w:lineRule="exact"/>
      <w:widowControl w:val="off"/>
    </w:pPr>
    <w:rPr>
      <w:lang w:eastAsia="ar-SA"/>
    </w:rPr>
  </w:style>
  <w:style w:type="character" w:styleId="973" w:customStyle="1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914"/>
    <w:rPr>
      <w:rFonts w:ascii="Times New Roman" w:hAnsi="Times New Roman"/>
      <w:sz w:val="24"/>
      <w:lang w:eastAsia="en-US"/>
    </w:rPr>
  </w:style>
  <w:style w:type="paragraph" w:styleId="974" w:customStyle="1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898"/>
    <w:link w:val="975"/>
    <w:pPr>
      <w:spacing w:before="100" w:beforeAutospacing="1" w:after="100" w:afterAutospacing="1"/>
    </w:pPr>
    <w:rPr>
      <w:lang w:val="en-US" w:eastAsia="en-US"/>
    </w:rPr>
  </w:style>
  <w:style w:type="character" w:styleId="975" w:customStyle="1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974"/>
    <w:rPr>
      <w:rFonts w:ascii="Times New Roman" w:hAnsi="Times New Roman"/>
      <w:sz w:val="24"/>
      <w:szCs w:val="24"/>
    </w:rPr>
  </w:style>
  <w:style w:type="character" w:styleId="976" w:customStyle="1">
    <w:name w:val="ConsPlusNormal Знак"/>
    <w:link w:val="944"/>
    <w:rPr>
      <w:rFonts w:ascii="Arial" w:hAnsi="Arial"/>
      <w:lang w:val="ru-RU" w:eastAsia="ru-RU" w:bidi="ar-SA"/>
    </w:rPr>
  </w:style>
  <w:style w:type="character" w:styleId="977" w:customStyle="1">
    <w:name w:val="ConsNormal Знак"/>
    <w:link w:val="936"/>
    <w:rPr>
      <w:rFonts w:ascii="Times New Roman" w:hAnsi="Times New Roman"/>
      <w:sz w:val="28"/>
      <w:lang w:bidi="ar-SA"/>
    </w:rPr>
  </w:style>
  <w:style w:type="character" w:styleId="978" w:customStyle="1">
    <w:name w:val="Знак примечания1"/>
    <w:rPr>
      <w:sz w:val="16"/>
      <w:szCs w:val="16"/>
    </w:rPr>
  </w:style>
  <w:style w:type="paragraph" w:styleId="979" w:customStyle="1">
    <w:name w:val="Содержимое таблицы"/>
    <w:basedOn w:val="898"/>
    <w:pPr>
      <w:suppressLineNumbers/>
    </w:pPr>
    <w:rPr>
      <w:sz w:val="20"/>
      <w:szCs w:val="20"/>
      <w:lang w:eastAsia="ar-SA"/>
    </w:rPr>
  </w:style>
  <w:style w:type="paragraph" w:styleId="980" w:customStyle="1">
    <w:name w:val=".FORMATTEXT"/>
    <w:pPr>
      <w:widowControl w:val="off"/>
    </w:pPr>
    <w:rPr>
      <w:rFonts w:ascii="Times New Roman" w:hAnsi="Times New Roman"/>
      <w:sz w:val="24"/>
      <w:szCs w:val="24"/>
      <w:lang w:eastAsia="ar-SA"/>
    </w:rPr>
  </w:style>
  <w:style w:type="character" w:styleId="981" w:customStyle="1">
    <w:name w:val="Цветовое выделение"/>
    <w:rPr>
      <w:b/>
      <w:bCs/>
      <w:color w:val="26282f"/>
    </w:rPr>
  </w:style>
  <w:style w:type="character" w:styleId="982" w:customStyle="1">
    <w:name w:val="Font Style11"/>
    <w:rPr>
      <w:rFonts w:ascii="Arial Narrow" w:hAnsi="Arial Narrow"/>
      <w:sz w:val="22"/>
      <w:szCs w:val="22"/>
    </w:rPr>
  </w:style>
  <w:style w:type="character" w:styleId="983" w:customStyle="1">
    <w:name w:val="Body text (2)"/>
    <w:rPr>
      <w:rFonts w:ascii="Times New Roman" w:hAnsi="Times New Roman" w:eastAsia="Times New Roman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styleId="984" w:customStyle="1">
    <w:name w:val="Font Style13"/>
    <w:rPr>
      <w:rFonts w:ascii="Times New Roman" w:hAnsi="Times New Roman"/>
      <w:b/>
      <w:bCs/>
      <w:sz w:val="20"/>
      <w:szCs w:val="20"/>
    </w:rPr>
  </w:style>
  <w:style w:type="paragraph" w:styleId="985" w:customStyle="1">
    <w:name w:val="Style3"/>
    <w:basedOn w:val="898"/>
    <w:pPr>
      <w:widowControl w:val="off"/>
    </w:pPr>
    <w:rPr>
      <w:lang w:eastAsia="ar-SA"/>
    </w:rPr>
  </w:style>
  <w:style w:type="paragraph" w:styleId="986" w:customStyle="1">
    <w:name w:val="Style5"/>
    <w:basedOn w:val="898"/>
    <w:pPr>
      <w:widowControl w:val="off"/>
    </w:pPr>
    <w:rPr>
      <w:lang w:eastAsia="ar-SA"/>
    </w:rPr>
  </w:style>
  <w:style w:type="paragraph" w:styleId="987" w:customStyle="1">
    <w:name w:val="Standard"/>
    <w:pPr>
      <w:spacing w:after="200" w:line="276" w:lineRule="auto"/>
    </w:pPr>
    <w:rPr>
      <w:sz w:val="22"/>
      <w:szCs w:val="22"/>
      <w:lang w:eastAsia="zh-CN"/>
    </w:rPr>
  </w:style>
  <w:style w:type="paragraph" w:styleId="988" w:customStyle="1">
    <w:name w:val="Text body"/>
    <w:basedOn w:val="987"/>
    <w:pPr>
      <w:spacing w:after="0" w:line="240" w:lineRule="auto"/>
      <w:widowControl w:val="off"/>
    </w:pPr>
    <w:rPr>
      <w:rFonts w:ascii="Times New Roman" w:hAnsi="Times New Roman"/>
      <w:sz w:val="28"/>
      <w:szCs w:val="28"/>
    </w:rPr>
  </w:style>
  <w:style w:type="paragraph" w:styleId="989" w:customStyle="1">
    <w:name w:val="Text body indent"/>
    <w:basedOn w:val="987"/>
    <w:pPr>
      <w:spacing w:after="120" w:line="480" w:lineRule="auto"/>
    </w:pPr>
    <w:rPr>
      <w:rFonts w:ascii="Times New Roman" w:hAnsi="Times New Roman"/>
      <w:sz w:val="20"/>
      <w:szCs w:val="20"/>
    </w:rPr>
  </w:style>
  <w:style w:type="paragraph" w:styleId="990">
    <w:name w:val="Body Text Indent 2"/>
    <w:basedOn w:val="898"/>
    <w:link w:val="991"/>
    <w:pPr>
      <w:ind w:left="283"/>
      <w:spacing w:after="120" w:line="480" w:lineRule="auto"/>
    </w:pPr>
    <w:rPr>
      <w:lang w:val="en-US" w:eastAsia="en-US"/>
    </w:rPr>
  </w:style>
  <w:style w:type="character" w:styleId="991" w:customStyle="1">
    <w:name w:val="Основной текст с отступом 2 Знак"/>
    <w:link w:val="990"/>
    <w:rPr>
      <w:rFonts w:ascii="Times New Roman" w:hAnsi="Times New Roman"/>
      <w:sz w:val="24"/>
      <w:szCs w:val="24"/>
    </w:rPr>
  </w:style>
  <w:style w:type="paragraph" w:styleId="992">
    <w:name w:val="Header"/>
    <w:basedOn w:val="898"/>
    <w:link w:val="993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993" w:customStyle="1">
    <w:name w:val="Верхний колонтитул Знак"/>
    <w:link w:val="992"/>
    <w:rPr>
      <w:rFonts w:ascii="Times New Roman" w:hAnsi="Times New Roman"/>
      <w:sz w:val="24"/>
      <w:szCs w:val="24"/>
    </w:rPr>
  </w:style>
  <w:style w:type="paragraph" w:styleId="994">
    <w:name w:val="Footer"/>
    <w:basedOn w:val="898"/>
    <w:link w:val="995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995" w:customStyle="1">
    <w:name w:val="Нижний колонтитул Знак"/>
    <w:link w:val="994"/>
    <w:rPr>
      <w:rFonts w:ascii="Times New Roman" w:hAnsi="Times New Roman"/>
      <w:sz w:val="24"/>
      <w:szCs w:val="24"/>
    </w:rPr>
  </w:style>
  <w:style w:type="character" w:styleId="996" w:customStyle="1">
    <w:name w:val="Неразрешенное упоминание1"/>
    <w:semiHidden/>
    <w:rPr>
      <w:color w:val="605e5c"/>
      <w:shd w:val="clear" w:color="auto" w:fill="e1dfdd"/>
    </w:rPr>
  </w:style>
  <w:style w:type="paragraph" w:styleId="997" w:customStyle="1">
    <w:name w:val="Обычный12"/>
    <w:link w:val="998"/>
    <w:pPr>
      <w:ind w:firstLine="720"/>
      <w:jc w:val="both"/>
      <w:spacing w:line="300" w:lineRule="auto"/>
      <w:widowControl w:val="off"/>
    </w:pPr>
    <w:rPr>
      <w:rFonts w:ascii="Times New Roman" w:hAnsi="Times New Roman"/>
      <w:sz w:val="24"/>
    </w:rPr>
  </w:style>
  <w:style w:type="character" w:styleId="998" w:customStyle="1">
    <w:name w:val="Обычный Char Char"/>
    <w:link w:val="997"/>
    <w:rPr>
      <w:rFonts w:ascii="Times New Roman" w:hAnsi="Times New Roman"/>
      <w:sz w:val="24"/>
      <w:lang w:bidi="ar-SA"/>
    </w:rPr>
  </w:style>
  <w:style w:type="paragraph" w:styleId="999" w:customStyle="1">
    <w:name w:val="FR1"/>
    <w:pPr>
      <w:spacing w:before="700"/>
      <w:widowControl w:val="off"/>
    </w:pPr>
    <w:rPr>
      <w:rFonts w:ascii="Times New Roman" w:hAnsi="Times New Roman"/>
      <w:b/>
      <w:sz w:val="28"/>
    </w:rPr>
  </w:style>
  <w:style w:type="paragraph" w:styleId="1000" w:customStyle="1">
    <w:name w:val="Normal1"/>
    <w:pPr>
      <w:ind w:firstLine="720"/>
      <w:spacing w:line="300" w:lineRule="auto"/>
      <w:widowControl w:val="off"/>
    </w:pPr>
    <w:rPr>
      <w:rFonts w:ascii="Times New Roman" w:hAnsi="Times New Roman"/>
      <w:sz w:val="22"/>
    </w:rPr>
  </w:style>
  <w:style w:type="character" w:styleId="1001" w:customStyle="1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styleId="1002" w:customStyle="1">
    <w:name w:val="Неразрешенное упоминание3"/>
    <w:semiHidden/>
    <w:rPr>
      <w:color w:val="605e5c"/>
      <w:shd w:val="clear" w:color="auto" w:fill="e1dfdd"/>
    </w:rPr>
  </w:style>
  <w:style w:type="character" w:styleId="1003">
    <w:name w:val="Placeholder Text"/>
    <w:uiPriority w:val="99"/>
    <w:semiHidden/>
    <w:rPr>
      <w:color w:val="80808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customXml" Target="../customXml/item1.xml" /><Relationship Id="rId11" Type="http://schemas.openxmlformats.org/officeDocument/2006/relationships/hyperlink" Target="https://tender.lot-online.ru" TargetMode="External"/><Relationship Id="rId12" Type="http://schemas.openxmlformats.org/officeDocument/2006/relationships/hyperlink" Target="https://tender.lot-online.ru" TargetMode="External"/><Relationship Id="rId13" Type="http://schemas.openxmlformats.org/officeDocument/2006/relationships/hyperlink" Target="https://tender.lot-online.ru" TargetMode="External"/><Relationship Id="rId14" Type="http://schemas.openxmlformats.org/officeDocument/2006/relationships/hyperlink" Target="https://tender.lot-online.ru" TargetMode="External"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B9FCEBBAD9BF42ACB20DC9C32CA4B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AA8E79-B9EF-4795-9411-E1A19895DFDD}"/>
      </w:docPartPr>
      <w:docPartBody>
        <w:p>
          <w:pPr>
            <w:pStyle w:val="1656"/>
          </w:pPr>
          <w:r>
            <w:rPr>
              <w:rStyle w:val="1655"/>
            </w:rPr>
            <w:t xml:space="preserve">Выберите элемент.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73">
    <w:name w:val="Heading 1"/>
    <w:basedOn w:val="1651"/>
    <w:next w:val="1651"/>
    <w:link w:val="1474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474">
    <w:name w:val="Heading 1 Char"/>
    <w:basedOn w:val="1652"/>
    <w:link w:val="1473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475">
    <w:name w:val="Heading 2"/>
    <w:basedOn w:val="1651"/>
    <w:next w:val="1651"/>
    <w:link w:val="1476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476">
    <w:name w:val="Heading 2 Char"/>
    <w:basedOn w:val="1652"/>
    <w:link w:val="1475"/>
    <w:uiPriority w:val="9"/>
    <w:rPr>
      <w:rFonts w:ascii="Liberation Sans" w:hAnsi="Liberation Sans" w:eastAsia="Liberation Sans" w:cs="Liberation Sans"/>
      <w:sz w:val="34"/>
    </w:rPr>
  </w:style>
  <w:style w:type="paragraph" w:styleId="1477">
    <w:name w:val="Heading 3"/>
    <w:basedOn w:val="1651"/>
    <w:next w:val="1651"/>
    <w:link w:val="1478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478">
    <w:name w:val="Heading 3 Char"/>
    <w:basedOn w:val="1652"/>
    <w:link w:val="1477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1479">
    <w:name w:val="Heading 4"/>
    <w:basedOn w:val="1651"/>
    <w:next w:val="1651"/>
    <w:link w:val="148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1480">
    <w:name w:val="Heading 4 Char"/>
    <w:basedOn w:val="1652"/>
    <w:link w:val="147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1481">
    <w:name w:val="Heading 5"/>
    <w:basedOn w:val="1651"/>
    <w:next w:val="1651"/>
    <w:link w:val="148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1482">
    <w:name w:val="Heading 5 Char"/>
    <w:basedOn w:val="1652"/>
    <w:link w:val="148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1483">
    <w:name w:val="Heading 6"/>
    <w:basedOn w:val="1651"/>
    <w:next w:val="1651"/>
    <w:link w:val="148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1484">
    <w:name w:val="Heading 6 Char"/>
    <w:basedOn w:val="1652"/>
    <w:link w:val="148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1485">
    <w:name w:val="Heading 7"/>
    <w:basedOn w:val="1651"/>
    <w:next w:val="1651"/>
    <w:link w:val="148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1486">
    <w:name w:val="Heading 7 Char"/>
    <w:basedOn w:val="1652"/>
    <w:link w:val="148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1487">
    <w:name w:val="Heading 8"/>
    <w:basedOn w:val="1651"/>
    <w:next w:val="1651"/>
    <w:link w:val="148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1488">
    <w:name w:val="Heading 8 Char"/>
    <w:basedOn w:val="1652"/>
    <w:link w:val="148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1489">
    <w:name w:val="Heading 9"/>
    <w:basedOn w:val="1651"/>
    <w:next w:val="1651"/>
    <w:link w:val="149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1490">
    <w:name w:val="Heading 9 Char"/>
    <w:basedOn w:val="1652"/>
    <w:link w:val="148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1491">
    <w:name w:val="List Paragraph"/>
    <w:basedOn w:val="1651"/>
    <w:uiPriority w:val="34"/>
    <w:qFormat/>
    <w:pPr>
      <w:contextualSpacing/>
      <w:ind w:left="720"/>
    </w:pPr>
  </w:style>
  <w:style w:type="paragraph" w:styleId="1492">
    <w:name w:val="No Spacing"/>
    <w:uiPriority w:val="1"/>
    <w:qFormat/>
    <w:pPr>
      <w:spacing w:before="0" w:after="0" w:line="240" w:lineRule="auto"/>
    </w:pPr>
  </w:style>
  <w:style w:type="paragraph" w:styleId="1493">
    <w:name w:val="Title"/>
    <w:basedOn w:val="1651"/>
    <w:next w:val="1651"/>
    <w:link w:val="149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494">
    <w:name w:val="Title Char"/>
    <w:basedOn w:val="1652"/>
    <w:link w:val="1493"/>
    <w:uiPriority w:val="10"/>
    <w:rPr>
      <w:sz w:val="48"/>
      <w:szCs w:val="48"/>
    </w:rPr>
  </w:style>
  <w:style w:type="paragraph" w:styleId="1495">
    <w:name w:val="Subtitle"/>
    <w:basedOn w:val="1651"/>
    <w:next w:val="1651"/>
    <w:link w:val="1496"/>
    <w:uiPriority w:val="11"/>
    <w:qFormat/>
    <w:pPr>
      <w:spacing w:before="200" w:after="200"/>
    </w:pPr>
    <w:rPr>
      <w:sz w:val="24"/>
      <w:szCs w:val="24"/>
    </w:rPr>
  </w:style>
  <w:style w:type="character" w:styleId="1496">
    <w:name w:val="Subtitle Char"/>
    <w:basedOn w:val="1652"/>
    <w:link w:val="1495"/>
    <w:uiPriority w:val="11"/>
    <w:rPr>
      <w:sz w:val="24"/>
      <w:szCs w:val="24"/>
    </w:rPr>
  </w:style>
  <w:style w:type="paragraph" w:styleId="1497">
    <w:name w:val="Quote"/>
    <w:basedOn w:val="1651"/>
    <w:next w:val="1651"/>
    <w:link w:val="1498"/>
    <w:uiPriority w:val="29"/>
    <w:qFormat/>
    <w:pPr>
      <w:ind w:left="720" w:right="720"/>
    </w:pPr>
    <w:rPr>
      <w:i/>
    </w:rPr>
  </w:style>
  <w:style w:type="character" w:styleId="1498">
    <w:name w:val="Quote Char"/>
    <w:link w:val="1497"/>
    <w:uiPriority w:val="29"/>
    <w:rPr>
      <w:i/>
    </w:rPr>
  </w:style>
  <w:style w:type="paragraph" w:styleId="1499">
    <w:name w:val="Intense Quote"/>
    <w:basedOn w:val="1651"/>
    <w:next w:val="1651"/>
    <w:link w:val="150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500">
    <w:name w:val="Intense Quote Char"/>
    <w:link w:val="1499"/>
    <w:uiPriority w:val="30"/>
    <w:rPr>
      <w:i/>
    </w:rPr>
  </w:style>
  <w:style w:type="paragraph" w:styleId="1501">
    <w:name w:val="Header"/>
    <w:basedOn w:val="1651"/>
    <w:link w:val="15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502">
    <w:name w:val="Header Char"/>
    <w:basedOn w:val="1652"/>
    <w:link w:val="1501"/>
    <w:uiPriority w:val="99"/>
  </w:style>
  <w:style w:type="paragraph" w:styleId="1503">
    <w:name w:val="Footer"/>
    <w:basedOn w:val="1651"/>
    <w:link w:val="15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504">
    <w:name w:val="Footer Char"/>
    <w:basedOn w:val="1652"/>
    <w:link w:val="1503"/>
    <w:uiPriority w:val="99"/>
  </w:style>
  <w:style w:type="paragraph" w:styleId="1505">
    <w:name w:val="Caption"/>
    <w:basedOn w:val="1651"/>
    <w:next w:val="1651"/>
    <w:link w:val="150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506">
    <w:name w:val="Caption Char"/>
    <w:basedOn w:val="1652"/>
    <w:link w:val="1505"/>
    <w:uiPriority w:val="35"/>
    <w:rPr>
      <w:b/>
      <w:bCs/>
      <w:color w:val="4f81bd" w:themeColor="accent1"/>
      <w:sz w:val="18"/>
      <w:szCs w:val="18"/>
    </w:rPr>
  </w:style>
  <w:style w:type="table" w:styleId="1507">
    <w:name w:val="Table Grid"/>
    <w:basedOn w:val="16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508">
    <w:name w:val="Table Grid Light"/>
    <w:basedOn w:val="16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509">
    <w:name w:val="Plain Table 1"/>
    <w:basedOn w:val="16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510">
    <w:name w:val="Plain Table 2"/>
    <w:basedOn w:val="16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511">
    <w:name w:val="Plain Table 3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512">
    <w:name w:val="Plain Table 4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13">
    <w:name w:val="Plain Table 5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514">
    <w:name w:val="Grid Table 1 Light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15">
    <w:name w:val="Grid Table 1 Light - Accent 1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16">
    <w:name w:val="Grid Table 1 Light - Accent 2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17">
    <w:name w:val="Grid Table 1 Light - Accent 3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18">
    <w:name w:val="Grid Table 1 Light - Accent 4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19">
    <w:name w:val="Grid Table 1 Light - Accent 5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0">
    <w:name w:val="Grid Table 1 Light - Accent 6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1">
    <w:name w:val="Grid Table 2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22">
    <w:name w:val="Grid Table 2 - Accent 1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23">
    <w:name w:val="Grid Table 2 - Accent 2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24">
    <w:name w:val="Grid Table 2 - Accent 3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25">
    <w:name w:val="Grid Table 2 - Accent 4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26">
    <w:name w:val="Grid Table 2 - Accent 5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27">
    <w:name w:val="Grid Table 2 - Accent 6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28">
    <w:name w:val="Grid Table 3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29">
    <w:name w:val="Grid Table 3 - Accent 1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30">
    <w:name w:val="Grid Table 3 - Accent 2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31">
    <w:name w:val="Grid Table 3 - Accent 3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32">
    <w:name w:val="Grid Table 3 - Accent 4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33">
    <w:name w:val="Grid Table 3 - Accent 5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34">
    <w:name w:val="Grid Table 3 - Accent 6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35">
    <w:name w:val="Grid Table 4"/>
    <w:basedOn w:val="1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536">
    <w:name w:val="Grid Table 4 - Accent 1"/>
    <w:basedOn w:val="1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537">
    <w:name w:val="Grid Table 4 - Accent 2"/>
    <w:basedOn w:val="1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538">
    <w:name w:val="Grid Table 4 - Accent 3"/>
    <w:basedOn w:val="1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539">
    <w:name w:val="Grid Table 4 - Accent 4"/>
    <w:basedOn w:val="1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540">
    <w:name w:val="Grid Table 4 - Accent 5"/>
    <w:basedOn w:val="1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541">
    <w:name w:val="Grid Table 4 - Accent 6"/>
    <w:basedOn w:val="1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542">
    <w:name w:val="Grid Table 5 Dark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543">
    <w:name w:val="Grid Table 5 Dark- Accent 1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1544">
    <w:name w:val="Grid Table 5 Dark - Accent 2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1545">
    <w:name w:val="Grid Table 5 Dark - Accent 3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1546">
    <w:name w:val="Grid Table 5 Dark- Accent 4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1547">
    <w:name w:val="Grid Table 5 Dark - Accent 5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1548">
    <w:name w:val="Grid Table 5 Dark - Accent 6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1549">
    <w:name w:val="Grid Table 6 Colorful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1550">
    <w:name w:val="Grid Table 6 Colorful - Accent 1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1551">
    <w:name w:val="Grid Table 6 Colorful - Accent 2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1552">
    <w:name w:val="Grid Table 6 Colorful - Accent 3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1553">
    <w:name w:val="Grid Table 6 Colorful - Accent 4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1554">
    <w:name w:val="Grid Table 6 Colorful - Accent 5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555">
    <w:name w:val="Grid Table 6 Colorful - Accent 6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556">
    <w:name w:val="Grid Table 7 Colorful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7">
    <w:name w:val="Grid Table 7 Colorful - Accent 1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8">
    <w:name w:val="Grid Table 7 Colorful - Accent 2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9">
    <w:name w:val="Grid Table 7 Colorful - Accent 3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60">
    <w:name w:val="Grid Table 7 Colorful - Accent 4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61">
    <w:name w:val="Grid Table 7 Colorful - Accent 5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62">
    <w:name w:val="Grid Table 7 Colorful - Accent 6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63">
    <w:name w:val="List Table 1 Light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64">
    <w:name w:val="List Table 1 Light - Accent 1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65">
    <w:name w:val="List Table 1 Light - Accent 2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66">
    <w:name w:val="List Table 1 Light - Accent 3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67">
    <w:name w:val="List Table 1 Light - Accent 4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68">
    <w:name w:val="List Table 1 Light - Accent 5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69">
    <w:name w:val="List Table 1 Light - Accent 6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70">
    <w:name w:val="List Table 2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571">
    <w:name w:val="List Table 2 - Accent 1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572">
    <w:name w:val="List Table 2 - Accent 2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573">
    <w:name w:val="List Table 2 - Accent 3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574">
    <w:name w:val="List Table 2 - Accent 4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575">
    <w:name w:val="List Table 2 - Accent 5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576">
    <w:name w:val="List Table 2 - Accent 6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577">
    <w:name w:val="List Table 3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78">
    <w:name w:val="List Table 3 - Accent 1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79">
    <w:name w:val="List Table 3 - Accent 2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80">
    <w:name w:val="List Table 3 - Accent 3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81">
    <w:name w:val="List Table 3 - Accent 4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82">
    <w:name w:val="List Table 3 - Accent 5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83">
    <w:name w:val="List Table 3 - Accent 6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84">
    <w:name w:val="List Table 4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85">
    <w:name w:val="List Table 4 - Accent 1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86">
    <w:name w:val="List Table 4 - Accent 2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87">
    <w:name w:val="List Table 4 - Accent 3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88">
    <w:name w:val="List Table 4 - Accent 4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89">
    <w:name w:val="List Table 4 - Accent 5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90">
    <w:name w:val="List Table 4 - Accent 6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91">
    <w:name w:val="List Table 5 Dark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92">
    <w:name w:val="List Table 5 Dark - Accent 1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93">
    <w:name w:val="List Table 5 Dark - Accent 2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94">
    <w:name w:val="List Table 5 Dark - Accent 3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95">
    <w:name w:val="List Table 5 Dark - Accent 4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96">
    <w:name w:val="List Table 5 Dark - Accent 5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97">
    <w:name w:val="List Table 5 Dark - Accent 6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98">
    <w:name w:val="List Table 6 Colorful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599">
    <w:name w:val="List Table 6 Colorful - Accent 1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600">
    <w:name w:val="List Table 6 Colorful - Accent 2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601">
    <w:name w:val="List Table 6 Colorful - Accent 3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602">
    <w:name w:val="List Table 6 Colorful - Accent 4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603">
    <w:name w:val="List Table 6 Colorful - Accent 5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604">
    <w:name w:val="List Table 6 Colorful - Accent 6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605">
    <w:name w:val="List Table 7 Colorful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606">
    <w:name w:val="List Table 7 Colorful - Accent 1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607">
    <w:name w:val="List Table 7 Colorful - Accent 2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608">
    <w:name w:val="List Table 7 Colorful - Accent 3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609">
    <w:name w:val="List Table 7 Colorful - Accent 4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610">
    <w:name w:val="List Table 7 Colorful - Accent 5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611">
    <w:name w:val="List Table 7 Colorful - Accent 6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612">
    <w:name w:val="Lined - Accent"/>
    <w:basedOn w:val="1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3">
    <w:name w:val="Lined - Accent 1"/>
    <w:basedOn w:val="1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14">
    <w:name w:val="Lined - Accent 2"/>
    <w:basedOn w:val="1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5">
    <w:name w:val="Lined - Accent 3"/>
    <w:basedOn w:val="1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16">
    <w:name w:val="Lined - Accent 4"/>
    <w:basedOn w:val="1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17">
    <w:name w:val="Lined - Accent 5"/>
    <w:basedOn w:val="1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18">
    <w:name w:val="Lined - Accent 6"/>
    <w:basedOn w:val="1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9">
    <w:name w:val="Bordered &amp; Lined - Accent"/>
    <w:basedOn w:val="1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0">
    <w:name w:val="Bordered &amp; Lined - Accent 1"/>
    <w:basedOn w:val="1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1">
    <w:name w:val="Bordered &amp; Lined - Accent 2"/>
    <w:basedOn w:val="1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2">
    <w:name w:val="Bordered &amp; Lined - Accent 3"/>
    <w:basedOn w:val="1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3">
    <w:name w:val="Bordered &amp; Lined - Accent 4"/>
    <w:basedOn w:val="1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24">
    <w:name w:val="Bordered &amp; Lined - Accent 5"/>
    <w:basedOn w:val="1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25">
    <w:name w:val="Bordered &amp; Lined - Accent 6"/>
    <w:basedOn w:val="1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6">
    <w:name w:val="Bordered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27">
    <w:name w:val="Bordered - Accent 1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28">
    <w:name w:val="Bordered - Accent 2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29">
    <w:name w:val="Bordered - Accent 3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30">
    <w:name w:val="Bordered - Accent 4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631">
    <w:name w:val="Bordered - Accent 5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632">
    <w:name w:val="Bordered - Accent 6"/>
    <w:basedOn w:val="1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633">
    <w:name w:val="Hyperlink"/>
    <w:uiPriority w:val="99"/>
    <w:unhideWhenUsed/>
    <w:rPr>
      <w:color w:val="0000ff" w:themeColor="hyperlink"/>
      <w:u w:val="single"/>
    </w:rPr>
  </w:style>
  <w:style w:type="paragraph" w:styleId="1634">
    <w:name w:val="footnote text"/>
    <w:basedOn w:val="1651"/>
    <w:link w:val="1635"/>
    <w:uiPriority w:val="99"/>
    <w:semiHidden/>
    <w:unhideWhenUsed/>
    <w:pPr>
      <w:spacing w:after="40" w:line="240" w:lineRule="auto"/>
    </w:pPr>
    <w:rPr>
      <w:sz w:val="18"/>
    </w:rPr>
  </w:style>
  <w:style w:type="character" w:styleId="1635">
    <w:name w:val="Footnote Text Char"/>
    <w:link w:val="1634"/>
    <w:uiPriority w:val="99"/>
    <w:rPr>
      <w:sz w:val="18"/>
    </w:rPr>
  </w:style>
  <w:style w:type="character" w:styleId="1636">
    <w:name w:val="footnote reference"/>
    <w:basedOn w:val="1652"/>
    <w:uiPriority w:val="99"/>
    <w:unhideWhenUsed/>
    <w:rPr>
      <w:vertAlign w:val="superscript"/>
    </w:rPr>
  </w:style>
  <w:style w:type="paragraph" w:styleId="1637">
    <w:name w:val="endnote text"/>
    <w:basedOn w:val="1651"/>
    <w:link w:val="1638"/>
    <w:uiPriority w:val="99"/>
    <w:semiHidden/>
    <w:unhideWhenUsed/>
    <w:pPr>
      <w:spacing w:after="0" w:line="240" w:lineRule="auto"/>
    </w:pPr>
    <w:rPr>
      <w:sz w:val="20"/>
    </w:rPr>
  </w:style>
  <w:style w:type="character" w:styleId="1638">
    <w:name w:val="Endnote Text Char"/>
    <w:link w:val="1637"/>
    <w:uiPriority w:val="99"/>
    <w:rPr>
      <w:sz w:val="20"/>
    </w:rPr>
  </w:style>
  <w:style w:type="character" w:styleId="1639">
    <w:name w:val="endnote reference"/>
    <w:basedOn w:val="1652"/>
    <w:uiPriority w:val="99"/>
    <w:semiHidden/>
    <w:unhideWhenUsed/>
    <w:rPr>
      <w:vertAlign w:val="superscript"/>
    </w:rPr>
  </w:style>
  <w:style w:type="paragraph" w:styleId="1640">
    <w:name w:val="toc 1"/>
    <w:basedOn w:val="1651"/>
    <w:next w:val="1651"/>
    <w:uiPriority w:val="39"/>
    <w:unhideWhenUsed/>
    <w:pPr>
      <w:ind w:left="0" w:right="0" w:firstLine="0"/>
      <w:spacing w:after="57"/>
    </w:pPr>
  </w:style>
  <w:style w:type="paragraph" w:styleId="1641">
    <w:name w:val="toc 2"/>
    <w:basedOn w:val="1651"/>
    <w:next w:val="1651"/>
    <w:uiPriority w:val="39"/>
    <w:unhideWhenUsed/>
    <w:pPr>
      <w:ind w:left="283" w:right="0" w:firstLine="0"/>
      <w:spacing w:after="57"/>
    </w:pPr>
  </w:style>
  <w:style w:type="paragraph" w:styleId="1642">
    <w:name w:val="toc 3"/>
    <w:basedOn w:val="1651"/>
    <w:next w:val="1651"/>
    <w:uiPriority w:val="39"/>
    <w:unhideWhenUsed/>
    <w:pPr>
      <w:ind w:left="567" w:right="0" w:firstLine="0"/>
      <w:spacing w:after="57"/>
    </w:pPr>
  </w:style>
  <w:style w:type="paragraph" w:styleId="1643">
    <w:name w:val="toc 4"/>
    <w:basedOn w:val="1651"/>
    <w:next w:val="1651"/>
    <w:uiPriority w:val="39"/>
    <w:unhideWhenUsed/>
    <w:pPr>
      <w:ind w:left="850" w:right="0" w:firstLine="0"/>
      <w:spacing w:after="57"/>
    </w:pPr>
  </w:style>
  <w:style w:type="paragraph" w:styleId="1644">
    <w:name w:val="toc 5"/>
    <w:basedOn w:val="1651"/>
    <w:next w:val="1651"/>
    <w:uiPriority w:val="39"/>
    <w:unhideWhenUsed/>
    <w:pPr>
      <w:ind w:left="1134" w:right="0" w:firstLine="0"/>
      <w:spacing w:after="57"/>
    </w:pPr>
  </w:style>
  <w:style w:type="paragraph" w:styleId="1645">
    <w:name w:val="toc 6"/>
    <w:basedOn w:val="1651"/>
    <w:next w:val="1651"/>
    <w:uiPriority w:val="39"/>
    <w:unhideWhenUsed/>
    <w:pPr>
      <w:ind w:left="1417" w:right="0" w:firstLine="0"/>
      <w:spacing w:after="57"/>
    </w:pPr>
  </w:style>
  <w:style w:type="paragraph" w:styleId="1646">
    <w:name w:val="toc 7"/>
    <w:basedOn w:val="1651"/>
    <w:next w:val="1651"/>
    <w:uiPriority w:val="39"/>
    <w:unhideWhenUsed/>
    <w:pPr>
      <w:ind w:left="1701" w:right="0" w:firstLine="0"/>
      <w:spacing w:after="57"/>
    </w:pPr>
  </w:style>
  <w:style w:type="paragraph" w:styleId="1647">
    <w:name w:val="toc 8"/>
    <w:basedOn w:val="1651"/>
    <w:next w:val="1651"/>
    <w:uiPriority w:val="39"/>
    <w:unhideWhenUsed/>
    <w:pPr>
      <w:ind w:left="1984" w:right="0" w:firstLine="0"/>
      <w:spacing w:after="57"/>
    </w:pPr>
  </w:style>
  <w:style w:type="paragraph" w:styleId="1648">
    <w:name w:val="toc 9"/>
    <w:basedOn w:val="1651"/>
    <w:next w:val="1651"/>
    <w:uiPriority w:val="39"/>
    <w:unhideWhenUsed/>
    <w:pPr>
      <w:ind w:left="2268" w:right="0" w:firstLine="0"/>
      <w:spacing w:after="57"/>
    </w:pPr>
  </w:style>
  <w:style w:type="paragraph" w:styleId="1649">
    <w:name w:val="TOC Heading"/>
    <w:uiPriority w:val="39"/>
    <w:unhideWhenUsed/>
  </w:style>
  <w:style w:type="paragraph" w:styleId="1650">
    <w:name w:val="table of figures"/>
    <w:basedOn w:val="1651"/>
    <w:next w:val="1651"/>
    <w:uiPriority w:val="99"/>
    <w:unhideWhenUsed/>
    <w:pPr>
      <w:spacing w:after="0" w:afterAutospacing="0"/>
    </w:pPr>
  </w:style>
  <w:style w:type="paragraph" w:styleId="1651" w:default="1">
    <w:name w:val="Normal"/>
    <w:qFormat/>
  </w:style>
  <w:style w:type="character" w:styleId="1652" w:default="1">
    <w:name w:val="Default Paragraph Font"/>
    <w:uiPriority w:val="1"/>
    <w:semiHidden/>
    <w:unhideWhenUsed/>
  </w:style>
  <w:style w:type="table" w:styleId="16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654" w:default="1">
    <w:name w:val="No List"/>
    <w:uiPriority w:val="99"/>
    <w:semiHidden/>
    <w:unhideWhenUsed/>
  </w:style>
  <w:style w:type="character" w:styleId="1655">
    <w:name w:val="Placeholder Text"/>
    <w:basedOn w:val="1652"/>
    <w:uiPriority w:val="99"/>
    <w:semiHidden/>
    <w:rPr>
      <w:color w:val="808080"/>
    </w:rPr>
  </w:style>
  <w:style w:type="paragraph" w:styleId="1656" w:customStyle="1">
    <w:name w:val="B9FCEBBAD9BF42ACB20DC9C32CA4BA48"/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78909-0499-4FCA-82BB-3890F2C28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12</cp:revision>
  <dcterms:created xsi:type="dcterms:W3CDTF">2025-10-24T10:10:00Z</dcterms:created>
  <dcterms:modified xsi:type="dcterms:W3CDTF">2026-10-19T09:12:05Z</dcterms:modified>
</cp:coreProperties>
</file>