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right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Header"/>
        <w:jc w:val="right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 </w:t>
      </w:r>
      <w:r>
        <w:rPr>
          <w:b/>
          <w:color w:val="000000"/>
          <w:sz w:val="24"/>
          <w:szCs w:val="24"/>
        </w:rPr>
        <w:t>ОКПД 2:   28.22.15.121 Постав</w:t>
      </w:r>
      <w:r>
        <w:rPr>
          <w:b/>
          <w:color w:val="000000"/>
          <w:sz w:val="24"/>
          <w:szCs w:val="24"/>
          <w:shd w:fill="FFFFFF" w:val="clear"/>
        </w:rPr>
        <w:t>ка минипогрузчика</w:t>
      </w:r>
      <w:r>
        <w:rPr>
          <w:b/>
          <w:color w:val="000000"/>
          <w:sz w:val="24"/>
          <w:szCs w:val="24"/>
        </w:rPr>
        <w:t xml:space="preserve">  с  электродвигателем 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для нужд Саяно-Шушенского филиала АО "ТК РусГидро"</w:t>
      </w:r>
      <w:r>
        <w:br w:type="page"/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spacing w:before="0" w:after="0"/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  <w:lang w:eastAsia="ru-RU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lang w:eastAsia="ru-RU"/>
            </w:rPr>
            <w:fldChar w:fldCharType="separate"/>
          </w:r>
          <w:hyperlink w:anchor="__RefHeading___Toc174089894">
            <w:r>
              <w:rPr>
                <w:webHidden/>
                <w:rStyle w:val="Style14"/>
                <w:vanish w:val="false"/>
                <w:lang w:eastAsia="ru-RU"/>
              </w:rPr>
              <w:t>1.</w:t>
            </w:r>
            <w:r>
              <w:rPr>
                <w:rStyle w:val="Style14"/>
                <w:lang w:val="en-US" w:eastAsia="ru-RU"/>
              </w:rPr>
              <w:t xml:space="preserve"> </w:t>
            </w:r>
            <w:r>
              <w:rPr>
                <w:rStyle w:val="Style14"/>
                <w:rFonts w:cs="Calibri" w:ascii="Calibri" w:hAnsi="Calibri"/>
                <w:b w:val="false"/>
                <w:bCs w:val="false"/>
                <w:lang w:eastAsia="ru-RU"/>
              </w:rPr>
              <w:tab/>
            </w:r>
            <w:r>
              <w:rPr>
                <w:rStyle w:val="Style14"/>
                <w:lang w:eastAsia="ru-RU"/>
              </w:rPr>
              <w:t>Общие сведения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5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1.1.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6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1.2.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7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1.3.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Цель использования закупаемой продукции</w:t>
              <w:tab/>
              <w:t>3</w:t>
            </w:r>
          </w:hyperlink>
        </w:p>
        <w:p>
          <w:pPr>
            <w:pStyle w:val="TOC1"/>
            <w:spacing w:before="0" w:after="0"/>
            <w:rPr/>
          </w:pPr>
          <w:hyperlink w:anchor="__RefHeading___Toc174089898">
            <w:r>
              <w:rPr>
                <w:webHidden/>
                <w:rStyle w:val="Style14"/>
                <w:vanish w:val="false"/>
                <w:lang w:eastAsia="ru-RU"/>
              </w:rPr>
              <w:t>2.</w:t>
            </w:r>
            <w:r>
              <w:rPr>
                <w:rStyle w:val="Style14"/>
                <w:lang w:val="en-US" w:eastAsia="ru-RU"/>
              </w:rPr>
              <w:t xml:space="preserve"> </w:t>
            </w:r>
            <w:r>
              <w:rPr>
                <w:rStyle w:val="Style14"/>
                <w:iCs/>
                <w:lang w:eastAsia="ru-RU"/>
              </w:rPr>
              <w:t>Требования к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9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2.1.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объемам и срокам поставки</w:t>
              <w:tab/>
              <w:t>3</w:t>
            </w:r>
          </w:hyperlink>
        </w:p>
        <w:p>
          <w:pPr>
            <w:pStyle w:val="TOC3"/>
            <w:rPr/>
          </w:pPr>
          <w:hyperlink w:anchor="__RefHeading___Toc174089900">
            <w:r>
              <w:rPr>
                <w:webHidden/>
                <w:rStyle w:val="Style14"/>
                <w:vanish w:val="false"/>
                <w:sz w:val="24"/>
                <w:szCs w:val="24"/>
                <w:lang w:eastAsia="ru-RU"/>
              </w:rPr>
              <w:t>2.1.1.</w:t>
            </w:r>
            <w:r>
              <w:rPr>
                <w:rStyle w:val="Style14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Перечень и объем закупаемой продукции</w:t>
              <w:tab/>
              <w:t>3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1">
            <w:r>
              <w:rPr>
                <w:webHidden/>
                <w:rStyle w:val="Style14"/>
                <w:vanish w:val="false"/>
                <w:lang w:eastAsia="ru-RU"/>
              </w:rPr>
              <w:t>Таблица 1.1 Перечень и объем закупаемой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3"/>
            <w:rPr/>
          </w:pPr>
          <w:hyperlink w:anchor="__RefHeading___Toc174089902">
            <w:r>
              <w:rPr>
                <w:webHidden/>
                <w:rStyle w:val="Style14"/>
                <w:vanish w:val="false"/>
                <w:sz w:val="24"/>
                <w:szCs w:val="24"/>
                <w:lang w:eastAsia="ru-RU"/>
              </w:rPr>
              <w:t>2.1.2.</w:t>
            </w:r>
            <w:r>
              <w:rPr>
                <w:rStyle w:val="Style14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срокам поставки продукции</w:t>
              <w:tab/>
              <w:t>3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3">
            <w:r>
              <w:rPr>
                <w:webHidden/>
                <w:rStyle w:val="Style14"/>
                <w:vanish w:val="false"/>
                <w:lang w:eastAsia="ru-RU"/>
              </w:rPr>
              <w:t>Таблица 2.1 Требования по срокам поставки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904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2.2.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качеству продукции</w:t>
              <w:tab/>
              <w:t>4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5">
            <w:r>
              <w:rPr>
                <w:webHidden/>
                <w:rStyle w:val="Style14"/>
                <w:vanish w:val="false"/>
                <w:lang w:eastAsia="ru-RU"/>
              </w:rPr>
              <w:t>Таблица 3. Требования к продукции</w:t>
            </w:r>
            <w:r>
              <w:rPr>
                <w:rStyle w:val="Style14"/>
                <w:b w:val="false"/>
                <w:lang w:eastAsia="ru-RU"/>
              </w:rPr>
              <w:tab/>
              <w:t>4</w:t>
            </w:r>
          </w:hyperlink>
        </w:p>
        <w:p>
          <w:pPr>
            <w:pStyle w:val="TOC1"/>
            <w:spacing w:before="0" w:after="0"/>
            <w:jc w:val="right"/>
            <w:rPr/>
          </w:pPr>
          <w:hyperlink w:anchor="__RefHeading___Toc174089908">
            <w:r>
              <w:rPr>
                <w:webHidden/>
                <w:rStyle w:val="Style14"/>
                <w:vanish w:val="false"/>
                <w:lang w:eastAsia="ru-RU"/>
              </w:rPr>
              <w:t>3.</w:t>
            </w:r>
            <w:r>
              <w:rPr>
                <w:rStyle w:val="Style14"/>
                <w:rFonts w:cs="Calibri" w:ascii="Calibri" w:hAnsi="Calibri"/>
                <w:b w:val="false"/>
                <w:bCs w:val="false"/>
                <w:lang w:eastAsia="ru-RU"/>
              </w:rPr>
              <w:t xml:space="preserve"> </w:t>
            </w:r>
            <w:r>
              <w:rPr>
                <w:rStyle w:val="Style14"/>
                <w:lang w:eastAsia="ru-RU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b w:val="false"/>
                <w:lang w:eastAsia="ru-RU"/>
              </w:rPr>
              <w:tab/>
            </w:r>
          </w:hyperlink>
          <w:r>
            <w:rPr>
              <w:b w:val="false"/>
              <w:lang w:eastAsia="ru-RU"/>
            </w:rPr>
            <w:t>12</w:t>
          </w:r>
          <w:r>
            <w:rPr>
              <w:b w:val="false"/>
              <w:lang w:eastAsia="ru-RU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spacing w:before="0" w:after="60"/>
        <w:ind w:left="0" w:hanging="0"/>
        <w:rPr>
          <w:rFonts w:ascii="Calibri" w:hAnsi="Calibri" w:eastAsia="Times New Roman" w:cs="Calibri"/>
          <w:b w:val="false"/>
          <w:bCs w:val="false"/>
          <w:i/>
          <w:i/>
          <w:lang w:eastAsia="ru-RU"/>
        </w:rPr>
      </w:pPr>
      <w:r>
        <w:rPr>
          <w:rFonts w:eastAsia="Times New Roman" w:cs="Calibri" w:ascii="Calibri" w:hAnsi="Calibri"/>
          <w:b w:val="false"/>
          <w:bCs w:val="false"/>
          <w:i/>
          <w:lang w:eastAsia="ru-RU"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ind w:left="0" w:hanging="0"/>
        <w:jc w:val="center"/>
        <w:rPr/>
      </w:pPr>
      <w:bookmarkStart w:id="0" w:name="__RefHeading___Toc174089894"/>
      <w:bookmarkEnd w:id="0"/>
      <w:r>
        <w:rPr/>
        <w:t>Общие сведения</w:t>
      </w:r>
    </w:p>
    <w:p>
      <w:pPr>
        <w:pStyle w:val="Heading4"/>
        <w:numPr>
          <w:ilvl w:val="1"/>
          <w:numId w:val="5"/>
        </w:numPr>
        <w:rPr>
          <w:iCs/>
        </w:rPr>
      </w:pPr>
      <w:bookmarkStart w:id="1" w:name="__RefHeading___Toc174089895"/>
      <w:bookmarkEnd w:id="1"/>
      <w:r>
        <w:rPr/>
        <w:t>Обозначения и сокращения</w:t>
      </w:r>
    </w:p>
    <w:tbl>
      <w:tblPr>
        <w:tblW w:w="1014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156"/>
        <w:gridCol w:w="6986"/>
      </w:tblGrid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«ТК РусГидро»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Акционерное общество «Транспортная компания РусГидро»</w:t>
            </w:r>
          </w:p>
        </w:tc>
      </w:tr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Транспортное Средство</w:t>
            </w:r>
          </w:p>
        </w:tc>
      </w:tr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/>
                <w:iCs/>
                <w:color w:val="000000"/>
                <w:sz w:val="24"/>
                <w:szCs w:val="24"/>
              </w:rPr>
              <w:t>Минипогрузчик</w:t>
            </w:r>
          </w:p>
        </w:tc>
      </w:tr>
    </w:tbl>
    <w:p>
      <w:pPr>
        <w:pStyle w:val="Heading4"/>
        <w:numPr>
          <w:ilvl w:val="1"/>
          <w:numId w:val="5"/>
        </w:numPr>
        <w:spacing w:before="0" w:after="0"/>
        <w:rPr>
          <w:b w:val="false"/>
          <w:bCs w:val="false"/>
        </w:rPr>
      </w:pPr>
      <w:bookmarkStart w:id="2" w:name="__RefHeading___Toc174089896"/>
      <w:bookmarkEnd w:id="2"/>
      <w:r>
        <w:rPr/>
        <w:t>Наименование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 </w:t>
      </w:r>
      <w:r>
        <w:rPr>
          <w:sz w:val="24"/>
          <w:szCs w:val="24"/>
        </w:rPr>
        <w:t>ОКП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>Д 2: 28.22.15.121 Поставка минипогрузчика  с  электродвигателем для нужд Саяно-Шушенского филиала АО "ТК РусГидро"</w:t>
      </w:r>
    </w:p>
    <w:p>
      <w:pPr>
        <w:pStyle w:val="Heading4"/>
        <w:numPr>
          <w:ilvl w:val="1"/>
          <w:numId w:val="5"/>
        </w:numPr>
        <w:spacing w:before="0" w:after="0"/>
        <w:ind w:left="431" w:hanging="431"/>
        <w:rPr/>
      </w:pPr>
      <w:bookmarkStart w:id="3" w:name="__RefHeading___Toc174089897"/>
      <w:bookmarkEnd w:id="3"/>
      <w:r>
        <w:rPr/>
        <w:t xml:space="preserve">Цель использования закупаемой продукции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оказания услуг по уборке территории   филиала ПАО «РусГидро»  в рамках действующего договора 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sz w:val="20"/>
          <w:szCs w:val="24"/>
          <w:u w:val="none"/>
          <w:em w:val="none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 xml:space="preserve"> №1010-798-2025 от 06.08.25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5"/>
        </w:numPr>
        <w:spacing w:before="0" w:after="0"/>
        <w:ind w:left="357" w:hanging="357"/>
        <w:jc w:val="center"/>
        <w:rPr/>
      </w:pPr>
      <w:bookmarkStart w:id="4" w:name="__RefHeading___Toc174089898"/>
      <w:bookmarkEnd w:id="4"/>
      <w:r>
        <w:rPr>
          <w:iCs/>
        </w:rPr>
        <w:t>Требования к продукции</w:t>
      </w:r>
    </w:p>
    <w:p>
      <w:pPr>
        <w:pStyle w:val="Heading4"/>
        <w:numPr>
          <w:ilvl w:val="1"/>
          <w:numId w:val="5"/>
        </w:numPr>
        <w:spacing w:before="0" w:after="0"/>
        <w:rPr/>
      </w:pPr>
      <w:bookmarkStart w:id="5" w:name="__RefHeading___Toc174089899"/>
      <w:bookmarkEnd w:id="5"/>
      <w:r>
        <w:rPr/>
        <w:t>Требования к объемам и срокам поставки</w:t>
      </w:r>
    </w:p>
    <w:p>
      <w:pPr>
        <w:pStyle w:val="Heading3"/>
        <w:numPr>
          <w:ilvl w:val="2"/>
          <w:numId w:val="5"/>
        </w:numPr>
        <w:spacing w:before="0" w:after="0"/>
        <w:rPr/>
      </w:pPr>
      <w:bookmarkStart w:id="6" w:name="__RefHeading___Toc174089900"/>
      <w:bookmarkEnd w:id="6"/>
      <w:r>
        <w:rPr/>
        <w:t>Перечень и объем закупаемой продукции</w:t>
      </w:r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7" w:name="__RefHeading___Toc174089901"/>
      <w:bookmarkEnd w:id="7"/>
      <w:r>
        <w:rPr>
          <w:sz w:val="24"/>
          <w:szCs w:val="24"/>
        </w:rPr>
        <w:t>Таблица 1.1 Перечень и объем закупаемой продукции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5285"/>
        <w:gridCol w:w="1918"/>
        <w:gridCol w:w="1868"/>
      </w:tblGrid>
      <w:tr>
        <w:trPr>
          <w:trHeight w:val="51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1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 </w:t>
            </w:r>
            <w:r>
              <w:rPr>
                <w:sz w:val="24"/>
                <w:szCs w:val="24"/>
              </w:rPr>
              <w:t>ОКП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Д 2: 28.22.15.121 Поставка минипогрузчика  с  электродвигателем для нужд Саяно-Шушенского филиала АО "ТК РусГидро"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5"/>
        </w:numPr>
        <w:spacing w:before="0" w:after="0"/>
        <w:rPr/>
      </w:pPr>
      <w:bookmarkStart w:id="8" w:name="__RefHeading___Toc174089902"/>
      <w:bookmarkEnd w:id="8"/>
      <w:r>
        <w:rPr/>
        <w:t>Требования к срокам поставки продукции</w:t>
      </w:r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9" w:name="__RefHeading___Toc174089903"/>
      <w:bookmarkEnd w:id="9"/>
      <w:r>
        <w:rPr>
          <w:sz w:val="24"/>
          <w:szCs w:val="24"/>
        </w:rPr>
        <w:t xml:space="preserve">Таблица 2.1 </w:t>
      </w:r>
      <w:bookmarkStart w:id="10" w:name="_Hlk50465284"/>
      <w:r>
        <w:rPr>
          <w:sz w:val="24"/>
          <w:szCs w:val="24"/>
        </w:rPr>
        <w:t xml:space="preserve">Требования по срокам </w:t>
      </w:r>
      <w:bookmarkEnd w:id="10"/>
      <w:r>
        <w:rPr>
          <w:sz w:val="24"/>
          <w:szCs w:val="24"/>
        </w:rPr>
        <w:t xml:space="preserve">поставки продукции 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3926"/>
        <w:gridCol w:w="1788"/>
        <w:gridCol w:w="3357"/>
      </w:tblGrid>
      <w:tr>
        <w:trPr>
          <w:trHeight w:val="34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8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74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lang w:val="en-US"/>
              </w:rPr>
              <w:t>  </w:t>
            </w:r>
            <w:r>
              <w:rPr>
                <w:b w:val="false"/>
                <w:bCs w:val="false"/>
                <w:sz w:val="24"/>
                <w:szCs w:val="24"/>
                <w:lang w:val="en-US"/>
              </w:rPr>
              <w:t>ОКП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zh-CN" w:bidi="ar-SA"/>
              </w:rPr>
              <w:t>Д 2: 28.22.15.121 Поставка минипогрузчика  с  электродвигателем для нужд Саяно-Шушенского филиала АО "ТК РусГидро"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"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15.12.2026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5"/>
        </w:numPr>
        <w:rPr>
          <w:rFonts w:eastAsia="Times New Roman"/>
        </w:rPr>
      </w:pPr>
      <w:bookmarkStart w:id="11" w:name="__RefHeading___Toc174089904"/>
      <w:bookmarkEnd w:id="11"/>
      <w:r>
        <w:rPr/>
        <w:t>Требования к качеству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bookmarkStart w:id="12" w:name="__RefHeading___Toc174089905"/>
      <w:r>
        <w:rPr>
          <w:sz w:val="24"/>
          <w:szCs w:val="24"/>
        </w:rPr>
        <w:t>Таблица 3. Требования к продукции</w:t>
      </w:r>
      <w:bookmarkEnd w:id="12"/>
    </w:p>
    <w:p>
      <w:pPr>
        <w:pStyle w:val="Normal"/>
        <w:jc w:val="both"/>
        <w:rPr>
          <w:sz w:val="24"/>
          <w:szCs w:val="24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Наименование продукции: </w:t>
      </w:r>
      <w:r>
        <w:rPr>
          <w:rStyle w:val="Style8"/>
          <w:sz w:val="24"/>
          <w:szCs w:val="24"/>
        </w:rPr>
        <w:t> </w:t>
      </w:r>
      <w:r>
        <w:rPr>
          <w:rStyle w:val="Style8"/>
          <w:b/>
          <w:color w:val="000000"/>
          <w:sz w:val="24"/>
          <w:szCs w:val="24"/>
          <w:shd w:fill="FFFFFF" w:val="clear"/>
        </w:rPr>
        <w:t> ОКП</w:t>
      </w:r>
      <w:r>
        <w:rPr>
          <w:rStyle w:val="Style8"/>
          <w:rFonts w:eastAsia="Times New Roman" w:cs="Times New Roman"/>
          <w:b/>
          <w:color w:val="000000"/>
          <w:kern w:val="0"/>
          <w:sz w:val="24"/>
          <w:szCs w:val="24"/>
          <w:shd w:fill="FFFFFF" w:val="clear"/>
          <w:lang w:val="ru-RU" w:eastAsia="zh-CN" w:bidi="ar-SA"/>
        </w:rPr>
        <w:t>Д 2: 28.22.15.121 Поставка минипогрузчика  с  электродвигателем для нужд Саяно-Шушенского филиала АО "ТК РусГидро"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05"/>
        <w:gridCol w:w="3179"/>
        <w:gridCol w:w="2611"/>
        <w:gridCol w:w="2956"/>
        <w:gridCol w:w="2835"/>
        <w:gridCol w:w="2998"/>
      </w:tblGrid>
      <w:tr>
        <w:trPr/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Размеры и вес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Минипогрузчик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Длина 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1935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1.1.3.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Ширина 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1100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1.1.4.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Высота,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1350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1.1.5.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Эксплуатационная масса</w:t>
            </w:r>
            <w:r>
              <w:rPr>
                <w:sz w:val="24"/>
                <w:szCs w:val="24"/>
              </w:rPr>
              <w:t>, кг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850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Грузоподъемность, кг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Дорожный просвет на нижней точке,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180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подъема стрелы,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2100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1.1.9.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Сила тяги, Н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6300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1.1.10.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Преодолеваемый уклон , %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27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1.1.11.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непрерывной работы, ч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1.1.12.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быстросъемная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АКБ  LifePo4 , Ач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320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1.1.13.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Стандартное зарядное устройство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комплекте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right="-1638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Двигатель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1.2.1.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двигателя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Электрический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1.2.2.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М</w:t>
            </w:r>
            <w:r>
              <w:rPr>
                <w:sz w:val="24"/>
                <w:szCs w:val="24"/>
              </w:rPr>
              <w:t>ощность, кВт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 менее 9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1.2.3.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охлаждения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Воздушное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sz w:val="24"/>
                <w:szCs w:val="24"/>
              </w:rPr>
              <w:t>Трансмиссия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1.3.1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трансмиссии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Гидрообъемная двухступенчатая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  <w:lang w:val="en-US"/>
              </w:rPr>
              <w:t>1.3.2.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Размеры шин передних колес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20х8R10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  <w:lang w:val="en-US"/>
              </w:rPr>
              <w:t>1.3.13.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Размеры шин задних колес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20х8R10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  <w:lang w:val="en-US"/>
              </w:rPr>
              <w:t>1.3.14.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Колесная формула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4х4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1.3.5.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Ходовая система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 гидромотора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1.4.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Гидросистема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1.4.1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Количество контуров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</w:t>
            </w:r>
            <w:r>
              <w:rPr>
                <w:sz w:val="24"/>
                <w:szCs w:val="24"/>
                <w:lang w:val="en-US"/>
              </w:rPr>
              <w:t>Трехконтурная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1.4.2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Максимальное давление, МПа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 менее 220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1.4.3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Гидропоток  насосов, л/мин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15+15+30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1.4.4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Емкость гидросистемы, л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 более 40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1.5.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Дополнительное  навесное оборудование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35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1.5.1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Отвал снеговой с гидравлическим поворотом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1.5.1.1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Ширина захвата,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Не менее 130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1.5.1.2.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Снегоротор (снегоотбрасыватель)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1.5.1.3.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Ширина захвата,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менее 1100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1.5.1.4.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Угол поворота разгручного желоба, градус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менее 360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1.5.1.5.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Диаметр шнека 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менее 300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1.5.1.6.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Высота захвата,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менее 450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1.5.1.7.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Дальность выброса , 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более 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4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1.5.2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Щетка поворотная с гидравлическим поворотом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1.5.2.1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Ширина 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Не менее 1150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1.5.2.2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1.5.2.3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поворота, градус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менее 25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49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1.5.3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</w:t>
            </w: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овш универсальный увеличенный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5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1.5.3.1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Ширина,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7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.1.</w:t>
            </w:r>
          </w:p>
        </w:tc>
        <w:tc>
          <w:tcPr>
            <w:tcW w:w="57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Кабина на самоходную машину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7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</w:t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Комплектация кабины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1.Дополнительное освещниение спереди и сзади;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2. Отопитель;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3. Стеклоочиститель;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4. Зеркала задненго вида;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5. Проблесковый маячок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bookmarkStart w:id="13" w:name="_GoBack"/>
            <w:r>
              <w:rPr>
                <w:b/>
                <w:sz w:val="24"/>
                <w:szCs w:val="24"/>
              </w:rPr>
              <w:t>Т</w:t>
            </w:r>
            <w:bookmarkEnd w:id="13"/>
            <w:r>
              <w:rPr>
                <w:b/>
                <w:sz w:val="24"/>
                <w:szCs w:val="24"/>
              </w:rPr>
              <w:t>ребования к безопасности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both"/>
              <w:rPr/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Поставляемое ТС в отношении используемого шасси, должны соответствовать требованиям технического регламента таможенного союза ТР ТС 010/2011 "О безопасности машин и оборудования" выданный органом сертификации транспортных средств Российской Федерации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center"/>
              <w:rPr/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Предоставление действующей декларации в соответствии с требованиями тех. регламента Таможенного Союза ТР ТС 010/2011 «О безопасности машин и оборудования 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ТС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114" w:hRule="atLeast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before="0" w:after="0"/>
              <w:contextualSpacing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РФ, Красноярский край, г. Красноярск, ул. Перенсона</w:t>
            </w:r>
            <w:r>
              <w:rPr>
                <w:iCs/>
                <w:sz w:val="24"/>
                <w:szCs w:val="24"/>
                <w:lang w:val="en-US"/>
              </w:rPr>
              <w:t>, 2А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4" w:hRule="atLeast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осуществляется силами Поставщика до места поставки,</w:t>
            </w:r>
            <w:r>
              <w:rPr>
                <w:rFonts w:eastAsia="Times New Roman"/>
                <w:sz w:val="24"/>
                <w:szCs w:val="24"/>
              </w:rPr>
              <w:t xml:space="preserve"> рекомендованными способами завода изготовителя.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9911" w:leader="dot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Продукция должна быть новой и ранее не использовавшейся.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color w:val="000000"/>
                <w:sz w:val="24"/>
                <w:szCs w:val="24"/>
              </w:rPr>
              <w:t>Год изготовления товара – не ранее 2026.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гарантии на Продукцию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на транспортное средство - не менее гарантийного срока, установленного заводом изготовителем, с даты продажи Заказчику.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lang w:eastAsia="ru-RU"/>
              </w:rPr>
            </w:pPr>
            <w:r>
              <w:rPr>
                <w:rFonts w:eastAsia="Times New Roman"/>
                <w:b w:val="false"/>
                <w:lang w:eastAsia="ru-RU"/>
              </w:rPr>
            </w:r>
          </w:p>
        </w:tc>
      </w:tr>
      <w:tr>
        <w:trPr/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гарантийному и послегарантийному обслуживанию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Наличие официального представительства, сервисного центра, склада запчастей и технической поддержки в регионе эксплуатации или выездной бригады для выполнения гарантийных обслуживания и ремонта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lang w:eastAsia="ru-RU"/>
              </w:rPr>
            </w:pPr>
            <w:r>
              <w:rPr>
                <w:rFonts w:eastAsia="Times New Roman"/>
                <w:b w:val="false"/>
                <w:lang w:eastAsia="ru-RU"/>
              </w:rPr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рамы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Стандартный цвет производителя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5"/>
        </w:numPr>
        <w:ind w:left="357" w:hanging="357"/>
        <w:jc w:val="center"/>
        <w:rPr>
          <w:bCs/>
          <w:sz w:val="24"/>
          <w:szCs w:val="24"/>
        </w:rPr>
      </w:pPr>
      <w:bookmarkStart w:id="14" w:name="__RefHeading___Toc174089908"/>
      <w:bookmarkEnd w:id="14"/>
      <w:r>
        <w:rPr/>
        <w:t>Требования к документации по ценообразованию на этапе закупки</w:t>
      </w:r>
    </w:p>
    <w:p>
      <w:pPr>
        <w:pStyle w:val="Style33"/>
        <w:ind w:firstLine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3.1</w:t>
      </w:r>
      <w:r>
        <w:rPr>
          <w:rFonts w:cs="Times New Roman" w:ascii="Times New Roman" w:hAnsi="Times New Roman"/>
          <w:sz w:val="24"/>
          <w:szCs w:val="24"/>
        </w:rPr>
        <w:t xml:space="preserve">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yle33"/>
        <w:ind w:firstLine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3.2.</w:t>
      </w:r>
      <w:r>
        <w:rPr>
          <w:rFonts w:cs="Times New Roman" w:ascii="Times New Roman" w:hAnsi="Times New Roman"/>
          <w:sz w:val="24"/>
          <w:szCs w:val="24"/>
        </w:rPr>
        <w:t xml:space="preserve"> Дополнительные документы по ценообразованию в состав заявки не включаются.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720" w:leader="none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ind w:left="0" w:hanging="0"/>
        <w:jc w:val="both"/>
        <w:rPr>
          <w:b/>
          <w:bCs/>
        </w:rPr>
      </w:pPr>
      <w:r>
        <w:rPr>
          <w:b/>
          <w:bCs/>
        </w:rPr>
      </w:r>
    </w:p>
    <w:p>
      <w:pPr>
        <w:pStyle w:val="Heading1"/>
        <w:keepLines/>
        <w:numPr>
          <w:ilvl w:val="0"/>
          <w:numId w:val="0"/>
        </w:numPr>
        <w:ind w:left="357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bCs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4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5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left="5038" w:hanging="3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2z4" w:customStyle="1">
    <w:name w:val="WW8Num2z4"/>
    <w:qFormat/>
    <w:rPr>
      <w:rFonts w:ascii="Times New Roman" w:hAnsi="Times New Roman" w:cs="Times New Roman"/>
    </w:rPr>
  </w:style>
  <w:style w:type="character" w:styleId="WW8Num3z0" w:customStyle="1">
    <w:name w:val="WW8Num3z0"/>
    <w:qFormat/>
    <w:rPr>
      <w:b/>
      <w:bCs w:val="false"/>
      <w:sz w:val="24"/>
      <w:szCs w:val="24"/>
    </w:rPr>
  </w:style>
  <w:style w:type="character" w:styleId="WW8Num3z1" w:customStyle="1">
    <w:name w:val="WW8Num3z1"/>
    <w:qFormat/>
    <w:rPr>
      <w:b w:val="false"/>
      <w:bCs/>
      <w:sz w:val="24"/>
      <w:szCs w:val="24"/>
    </w:rPr>
  </w:style>
  <w:style w:type="character" w:styleId="WW8Num3z2" w:customStyle="1">
    <w:name w:val="WW8Num3z2"/>
    <w:qFormat/>
    <w:rPr>
      <w:sz w:val="24"/>
      <w:szCs w:val="24"/>
    </w:rPr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6z1" w:customStyle="1">
    <w:name w:val="WW8Num6z1"/>
    <w:qFormat/>
    <w:rPr>
      <w:b/>
      <w:bCs/>
      <w:i w:val="false"/>
      <w:iCs/>
      <w:sz w:val="24"/>
      <w:szCs w:val="24"/>
    </w:rPr>
  </w:style>
  <w:style w:type="character" w:styleId="WW8Num6z2" w:customStyle="1">
    <w:name w:val="WW8Num6z2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>
      <w:rFonts w:ascii="Times New Roman" w:hAnsi="Times New Roman" w:cs="Times New Roma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3z4" w:customStyle="1">
    <w:name w:val="WW8Num3z4"/>
    <w:qFormat/>
    <w:rPr>
      <w:rFonts w:ascii="Times New Roman" w:hAnsi="Times New Roman" w:cs="Times New Roman"/>
    </w:rPr>
  </w:style>
  <w:style w:type="character" w:styleId="WW8Num4z0" w:customStyle="1">
    <w:name w:val="WW8Num4z0"/>
    <w:qFormat/>
    <w:rPr>
      <w:b/>
      <w:bCs w:val="false"/>
      <w:sz w:val="24"/>
      <w:szCs w:val="24"/>
    </w:rPr>
  </w:style>
  <w:style w:type="character" w:styleId="WW8Num4z1" w:customStyle="1">
    <w:name w:val="WW8Num4z1"/>
    <w:qFormat/>
    <w:rPr>
      <w:b w:val="false"/>
      <w:bCs/>
      <w:sz w:val="24"/>
      <w:szCs w:val="24"/>
    </w:rPr>
  </w:style>
  <w:style w:type="character" w:styleId="WW8Num4z2" w:customStyle="1">
    <w:name w:val="WW8Num4z2"/>
    <w:qFormat/>
    <w:rPr>
      <w:sz w:val="24"/>
      <w:szCs w:val="24"/>
    </w:rPr>
  </w:style>
  <w:style w:type="character" w:styleId="WW8Num7z1" w:customStyle="1">
    <w:name w:val="WW8Num7z1"/>
    <w:qFormat/>
    <w:rPr>
      <w:b/>
      <w:bCs/>
      <w:i w:val="false"/>
      <w:iCs/>
      <w:sz w:val="24"/>
      <w:szCs w:val="24"/>
    </w:rPr>
  </w:style>
  <w:style w:type="character" w:styleId="WW8Num7z2" w:customStyle="1">
    <w:name w:val="WW8Num7z2"/>
    <w:qFormat/>
    <w:rPr/>
  </w:style>
  <w:style w:type="character" w:styleId="WW8Num9z0" w:customStyle="1">
    <w:name w:val="WW8Num9z0"/>
    <w:qFormat/>
    <w:rPr>
      <w:rFonts w:ascii="Times New Roman" w:hAnsi="Times New Roman" w:cs="Times New Roman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5z1" w:customStyle="1">
    <w:name w:val="WW8Num5z1"/>
    <w:qFormat/>
    <w:rPr>
      <w:b w:val="false"/>
      <w:bCs/>
      <w:sz w:val="24"/>
      <w:szCs w:val="24"/>
    </w:rPr>
  </w:style>
  <w:style w:type="character" w:styleId="WW8Num5z2" w:customStyle="1">
    <w:name w:val="WW8Num5z2"/>
    <w:qFormat/>
    <w:rPr>
      <w:sz w:val="24"/>
      <w:szCs w:val="24"/>
    </w:rPr>
  </w:style>
  <w:style w:type="character" w:styleId="WW8Num6z4" w:customStyle="1">
    <w:name w:val="WW8Num6z4"/>
    <w:qFormat/>
    <w:rPr>
      <w:rFonts w:ascii="Times New Roman" w:hAnsi="Times New Roman" w:cs="Times New Roman"/>
    </w:rPr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11z1" w:customStyle="1">
    <w:name w:val="WW8Num11z1"/>
    <w:qFormat/>
    <w:rPr>
      <w:b/>
      <w:bCs/>
      <w:i w:val="false"/>
      <w:iCs/>
      <w:sz w:val="24"/>
      <w:szCs w:val="24"/>
    </w:rPr>
  </w:style>
  <w:style w:type="character" w:styleId="WW8Num11z2" w:customStyle="1">
    <w:name w:val="WW8Num11z2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rFonts w:ascii="Times New Roman" w:hAnsi="Times New Roman" w:cs="Times New Roman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>
      <w:b/>
      <w:bCs w:val="false"/>
      <w:sz w:val="24"/>
      <w:szCs w:val="24"/>
    </w:rPr>
  </w:style>
  <w:style w:type="character" w:styleId="WW8Num14z1" w:customStyle="1">
    <w:name w:val="WW8Num14z1"/>
    <w:qFormat/>
    <w:rPr>
      <w:b w:val="false"/>
      <w:bCs/>
      <w:sz w:val="24"/>
      <w:szCs w:val="24"/>
    </w:rPr>
  </w:style>
  <w:style w:type="character" w:styleId="WW8Num14z2" w:customStyle="1">
    <w:name w:val="WW8Num14z2"/>
    <w:qFormat/>
    <w:rPr>
      <w:sz w:val="24"/>
      <w:szCs w:val="24"/>
    </w:rPr>
  </w:style>
  <w:style w:type="character" w:styleId="WW8Num1z0" w:customStyle="1">
    <w:name w:val="WW8Num1z0"/>
    <w:qFormat/>
    <w:rPr>
      <w:rFonts w:cs="Times New Roman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>
      <w:rFonts w:ascii="Times New Roman" w:hAnsi="Times New Roman" w:cs="Times New Roman"/>
      <w:sz w:val="28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Times New Roman" w:hAnsi="Times New Roman" w:eastAsia="Times New Roman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>
      <w:b/>
      <w:bCs w:val="false"/>
      <w:sz w:val="24"/>
      <w:szCs w:val="24"/>
    </w:rPr>
  </w:style>
  <w:style w:type="character" w:styleId="WW8Num21z1" w:customStyle="1">
    <w:name w:val="WW8Num21z1"/>
    <w:qFormat/>
    <w:rPr>
      <w:b w:val="false"/>
      <w:bCs/>
      <w:sz w:val="24"/>
      <w:szCs w:val="24"/>
    </w:rPr>
  </w:style>
  <w:style w:type="character" w:styleId="WW8Num21z2" w:customStyle="1">
    <w:name w:val="WW8Num21z2"/>
    <w:qFormat/>
    <w:rPr>
      <w:sz w:val="24"/>
      <w:szCs w:val="24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cs="Cambria"/>
      <w:i/>
      <w:iCs/>
      <w:color w:val="243F60"/>
      <w:lang w:val="ru-RU"/>
    </w:rPr>
  </w:style>
  <w:style w:type="character" w:styleId="7" w:customStyle="1">
    <w:name w:val="Заголовок 7 Знак"/>
    <w:qFormat/>
    <w:rPr>
      <w:rFonts w:ascii="Cambria" w:hAnsi="Cambria" w:cs="Cambria"/>
      <w:i/>
      <w:iCs/>
      <w:color w:val="404040"/>
      <w:lang w:val="ru-RU"/>
    </w:rPr>
  </w:style>
  <w:style w:type="character" w:styleId="8" w:customStyle="1">
    <w:name w:val="Заголовок 8 Знак"/>
    <w:qFormat/>
    <w:rPr>
      <w:rFonts w:ascii="Cambria" w:hAnsi="Cambria" w:cs="Cambria"/>
      <w:color w:val="4F81BD"/>
      <w:lang w:val="ru-RU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ru-RU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ru-RU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ru-RU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ru-RU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 w:cs="Cambria"/>
      <w:i/>
      <w:iCs/>
      <w:color w:val="4F81BD"/>
      <w:spacing w:val="15"/>
      <w:sz w:val="24"/>
      <w:szCs w:val="24"/>
      <w:lang w:val="ru-RU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  <w:lang w:val="ru-RU"/>
    </w:rPr>
  </w:style>
  <w:style w:type="character" w:styleId="Style3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  <w:lang w:val="ru-RU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</w:rPr>
  </w:style>
  <w:style w:type="character" w:styleId="13" w:customStyle="1">
    <w:name w:val="Неразрешенное упоминание1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>
      <w:suppressLineNumbers/>
    </w:pPr>
    <w:rPr>
      <w:b/>
      <w:bCs/>
      <w:sz w:val="32"/>
      <w:szCs w:val="32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8" w:customStyle="1">
    <w:name w:val="Раздел положения"/>
    <w:basedOn w:val="Normal"/>
    <w:qFormat/>
    <w:pPr>
      <w:numPr>
        <w:ilvl w:val="0"/>
        <w:numId w:val="4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qFormat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qFormat/>
    <w:pPr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pPr>
      <w:tabs>
        <w:tab w:val="clear" w:pos="708"/>
        <w:tab w:val="left" w:pos="567" w:leader="none"/>
        <w:tab w:val="right" w:pos="9911" w:leader="dot"/>
      </w:tabs>
      <w:spacing w:before="120" w:after="0"/>
      <w:ind w:left="284" w:hanging="0"/>
    </w:pPr>
    <w:rPr>
      <w:rFonts w:cs="Calibri Light (Заголовки);Calib"/>
      <w:b/>
      <w:bCs/>
      <w:sz w:val="24"/>
      <w:szCs w:val="24"/>
    </w:rPr>
  </w:style>
  <w:style w:type="paragraph" w:styleId="TOC3">
    <w:name w:val="TOC 3"/>
    <w:basedOn w:val="Normal"/>
    <w:next w:val="Normal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/>
      <w:sz w:val="20"/>
      <w:szCs w:val="20"/>
    </w:rPr>
  </w:style>
  <w:style w:type="paragraph" w:styleId="Style22" w:customStyle="1">
    <w:name w:val="Раздел регламента"/>
    <w:basedOn w:val="Normal"/>
    <w:qFormat/>
    <w:pPr/>
    <w:rPr/>
  </w:style>
  <w:style w:type="paragraph" w:styleId="Style23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qFormat/>
    <w:pPr>
      <w:ind w:left="1066" w:firstLine="709"/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34" w:customStyle="1">
    <w:name w:val="Нумерованный список ур3"/>
    <w:basedOn w:val="Normal"/>
    <w:qFormat/>
    <w:pPr>
      <w:numPr>
        <w:ilvl w:val="0"/>
        <w:numId w:val="7"/>
      </w:numPr>
      <w:jc w:val="both"/>
    </w:pPr>
    <w:rPr>
      <w:rFonts w:ascii="Garamond" w:hAnsi="Garamond" w:cs="Garamond"/>
      <w:sz w:val="24"/>
      <w:szCs w:val="20"/>
    </w:rPr>
  </w:style>
  <w:style w:type="paragraph" w:styleId="ListBullet4">
    <w:name w:val="List Bullet 4"/>
    <w:basedOn w:val="Normal"/>
    <w:qFormat/>
    <w:pPr>
      <w:tabs>
        <w:tab w:val="clear" w:pos="708"/>
        <w:tab w:val="left" w:pos="0" w:leader="none"/>
      </w:tabs>
      <w:spacing w:before="120" w:after="0"/>
      <w:ind w:left="207" w:hanging="360"/>
      <w:jc w:val="both"/>
    </w:pPr>
    <w:rPr>
      <w:rFonts w:ascii="Garamond" w:hAnsi="Garamond" w:cs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left="207" w:hanging="360"/>
      <w:jc w:val="both"/>
    </w:pPr>
    <w:rPr>
      <w:rFonts w:ascii="Garamond" w:hAnsi="Garamond" w:cs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Style26" w:customStyle="1">
    <w:name w:val="Пункт"/>
    <w:basedOn w:val="Normal"/>
    <w:qFormat/>
    <w:pPr>
      <w:widowControl w:val="false"/>
      <w:spacing w:lineRule="auto" w:line="360" w:before="120" w:after="0"/>
      <w:ind w:left="1134" w:right="800" w:hanging="1134"/>
      <w:jc w:val="both"/>
    </w:pPr>
    <w:rPr>
      <w:rFonts w:ascii="Arial" w:hAnsi="Arial" w:cs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Style2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qFormat/>
    <w:pPr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0" w:customStyle="1">
    <w:name w:val="УРОВЕНЬ_(а)"/>
    <w:basedOn w:val="ListParagraph"/>
    <w:qFormat/>
    <w:pPr>
      <w:numPr>
        <w:ilvl w:val="0"/>
        <w:numId w:val="2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  <w:outlineLvl w:val="4"/>
    </w:pPr>
    <w:rPr>
      <w:sz w:val="26"/>
      <w:szCs w:val="28"/>
    </w:rPr>
  </w:style>
  <w:style w:type="paragraph" w:styleId="27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</w:pPr>
    <w:rPr>
      <w:sz w:val="26"/>
      <w:szCs w:val="28"/>
    </w:rPr>
  </w:style>
  <w:style w:type="paragraph" w:styleId="36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</w:pPr>
    <w:rPr>
      <w:sz w:val="26"/>
      <w:szCs w:val="28"/>
    </w:rPr>
  </w:style>
  <w:style w:type="paragraph" w:styleId="Style31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1134"/>
      <w:contextualSpacing w:val="false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left="567" w:hanging="567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left="1680" w:hanging="0"/>
    </w:pPr>
    <w:rPr>
      <w:rFonts w:ascii="Calibri" w:hAnsi="Calibri" w:cs="Calibri"/>
      <w:sz w:val="20"/>
      <w:szCs w:val="20"/>
    </w:rPr>
  </w:style>
  <w:style w:type="paragraph" w:styleId="Style33" w:customStyle="1">
    <w:name w:val="Текст в заданном формате"/>
    <w:basedOn w:val="Normal"/>
    <w:qFormat/>
    <w:pPr>
      <w:spacing w:lineRule="auto" w:line="276"/>
    </w:pPr>
    <w:rPr>
      <w:rFonts w:ascii="Liberation Mono;Courier New" w:hAnsi="Liberation Mono;Courier New" w:eastAsia="Liberation Mono;Courier New" w:cs="Liberation Mono;Courier New"/>
      <w:sz w:val="20"/>
      <w:szCs w:val="20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Application>AlterOffice/3.4.0.9$Linux_X86_64 LibreOffice_project/b8daf9e823b1a5463a2f48435ddc2e8696e7d4fc</Application>
  <AppVersion>15.0000</AppVersion>
  <Pages>9</Pages>
  <Words>1025</Words>
  <Characters>6703</Characters>
  <CharactersWithSpaces>7440</CharactersWithSpaces>
  <Paragraphs>330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2024-08-09T12:59:00Z</dcterms:created>
  <dc:creator>Быстров Олег Геннадьевич</dc:creator>
  <dc:description/>
  <dc:language>ru-RU</dc:language>
  <cp:lastModifiedBy>shefersv@corp.gidroogk.com</cp:lastModifiedBy>
  <cp:lastPrinted>2025-06-10T13:37:00Z</cp:lastPrinted>
  <dcterms:modified xsi:type="dcterms:W3CDTF">2026-10-28T14:39:38Z</dcterms:modified>
  <cp:revision>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