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>ТЕХНИЧЕСКИЕ ТРЕБОВАНИЯ</w:t>
      </w:r>
    </w:p>
    <w:p>
      <w:pPr>
        <w:pStyle w:val="Normal"/>
        <w:jc w:val="center"/>
        <w:rPr/>
      </w:pPr>
      <w:r>
        <w:rPr>
          <w:rFonts w:eastAsia="Times New Roman"/>
        </w:rPr>
        <w:t xml:space="preserve">на </w:t>
      </w:r>
      <w:r>
        <w:rPr>
          <w:rFonts w:eastAsia="Times New Roman"/>
        </w:rPr>
        <w:t>поставку и изготовление</w:t>
      </w:r>
      <w:r>
        <w:rPr>
          <w:rFonts w:eastAsia="Calibri"/>
        </w:rPr>
        <w:t xml:space="preserve"> ремонтных затворов отсасывающих труб гидроагрегатов  Чирюртской ГЭС-1</w:t>
      </w:r>
    </w:p>
    <w:p>
      <w:pPr>
        <w:pStyle w:val="Normal"/>
        <w:jc w:val="center"/>
        <w:rPr>
          <w:rFonts w:eastAsia="Calibri"/>
        </w:rPr>
      </w:pPr>
      <w:r>
        <w:rPr>
          <w:rFonts w:eastAsia="Calibri" w:cs="Times New Roman"/>
          <w:lang w:val="en-US" w:eastAsia="ru-RU"/>
        </w:rPr>
        <w:t>филиала ПАО «РусГидро»-«Дагестанского филиала»</w:t>
      </w:r>
      <w:r>
        <w:br w:type="page"/>
      </w:r>
    </w:p>
    <w:p>
      <w:pPr>
        <w:pStyle w:val="Normal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 w:cs="Times New Roman"/>
              <w:color w:val="000000"/>
              <w:lang w:eastAsia="x-non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eastAsia="Calibri" w:cs="Times New Roman"/>
              <w:color w:val="000000"/>
              <w:lang w:eastAsia="x-none"/>
            </w:rPr>
            <w:fldChar w:fldCharType="separate"/>
          </w:r>
          <w:hyperlink w:anchor="_Toc193258093">
            <w:r>
              <w:rPr>
                <w:webHidden/>
                <w:rStyle w:val="Style14"/>
                <w:rFonts w:eastAsia="Calibri" w:cs="Times New Roman"/>
                <w:vanish w:val="false"/>
                <w:color w:val="000000" w:themeColor="text1"/>
                <w:lang w:eastAsia="x-none"/>
              </w:rPr>
              <w:t>1.</w:t>
            </w:r>
            <w:r>
              <w:rPr>
                <w:rStyle w:val="Style14"/>
                <w:rFonts w:eastAsia="" w:cs="Times New Roman" w:eastAsiaTheme="minorEastAsia"/>
                <w:b w:val="false"/>
                <w:bCs w:val="false"/>
                <w:color w:val="000000" w:themeColor="text1"/>
              </w:rPr>
              <w:tab/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Общие сведения</w:t>
            </w:r>
            <w:r>
              <w:rPr>
                <w:rStyle w:val="Style14"/>
                <w:rFonts w:eastAsia="Calibri" w:cs="Times New Roman"/>
                <w:color w:val="000000" w:themeColor="text1"/>
                <w:lang w:val="en-US" w:eastAsia="x-none"/>
              </w:rPr>
              <w:t>…………………………………………………………………………..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_Toc193258093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094">
            <w:r>
              <w:rPr>
                <w:webHidden/>
                <w:rStyle w:val="Style14"/>
                <w:rFonts w:eastAsia="Calibri" w:cs="Times New Roman"/>
                <w:b/>
                <w:bCs/>
                <w:iCs/>
                <w:vanish w:val="false"/>
                <w:color w:val="000000" w:themeColor="text1"/>
                <w:sz w:val="24"/>
                <w:szCs w:val="24"/>
                <w:lang w:val="x-none" w:eastAsia="x-none"/>
              </w:rPr>
              <w:t>1.1.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x-none" w:eastAsia="x-none"/>
              </w:rPr>
              <w:t>Обозначения и сокращения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en-US" w:eastAsia="x-none"/>
              </w:rPr>
              <w:t>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_Toc193258094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095">
            <w:r>
              <w:rPr>
                <w:webHidden/>
                <w:rStyle w:val="Style14"/>
                <w:rFonts w:eastAsia="Calibri" w:cs="Times New Roman"/>
                <w:b/>
                <w:bCs/>
                <w:iCs/>
                <w:vanish w:val="false"/>
                <w:color w:val="000000" w:themeColor="text1"/>
                <w:sz w:val="24"/>
                <w:szCs w:val="24"/>
                <w:lang w:val="x-none" w:eastAsia="x-none"/>
              </w:rPr>
              <w:t>1.2.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x-none" w:eastAsia="x-none"/>
              </w:rPr>
              <w:t>Наименование закупаемой продукции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eastAsia="x-none"/>
              </w:rPr>
              <w:t xml:space="preserve"> (товаров, работ, услуг)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en-US" w:eastAsia="x-none"/>
              </w:rPr>
              <w:t>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_Toc193258095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096">
            <w:r>
              <w:rPr>
                <w:webHidden/>
                <w:rStyle w:val="Style14"/>
                <w:rFonts w:eastAsia="Calibri" w:cs="Times New Roman"/>
                <w:b/>
                <w:bCs/>
                <w:iCs/>
                <w:vanish w:val="false"/>
                <w:color w:val="000000" w:themeColor="text1"/>
                <w:sz w:val="24"/>
                <w:szCs w:val="24"/>
                <w:lang w:val="x-none" w:eastAsia="x-none"/>
              </w:rPr>
              <w:t>1.3.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x-none" w:eastAsia="x-none"/>
              </w:rPr>
              <w:t>Заказчик (подразделение Заказчика)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en-US" w:eastAsia="x-none"/>
              </w:rPr>
              <w:t>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_Toc193258096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097">
            <w:r>
              <w:rPr>
                <w:webHidden/>
                <w:rStyle w:val="Style14"/>
                <w:rFonts w:eastAsia="Calibri" w:cs="Times New Roman"/>
                <w:b/>
                <w:bCs/>
                <w:iCs/>
                <w:vanish w:val="false"/>
                <w:color w:val="000000" w:themeColor="text1"/>
                <w:sz w:val="24"/>
                <w:szCs w:val="24"/>
                <w:lang w:val="en-US" w:eastAsia="x-none"/>
              </w:rPr>
              <w:t>1.4.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x-none" w:eastAsia="x-none"/>
              </w:rPr>
              <w:t>Цел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en-US" w:eastAsia="x-none"/>
              </w:rPr>
              <w:t>и и задачи……………………………………………………………………….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_Toc193258097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098">
            <w:r>
              <w:rPr>
                <w:webHidden/>
                <w:rStyle w:val="Style14"/>
                <w:rFonts w:eastAsia="Calibri" w:cs="Times New Roman"/>
                <w:b/>
                <w:bCs/>
                <w:iCs/>
                <w:vanish w:val="false"/>
                <w:color w:val="000000" w:themeColor="text1"/>
                <w:sz w:val="24"/>
                <w:szCs w:val="24"/>
                <w:lang w:val="x-none" w:eastAsia="x-none"/>
              </w:rPr>
              <w:t>1.5.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x-none" w:eastAsia="x-none"/>
              </w:rPr>
              <w:t>Существующее положение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en-US" w:eastAsia="x-none"/>
              </w:rPr>
              <w:t>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_Toc193258098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93258099">
            <w:r>
              <w:rPr>
                <w:webHidden/>
                <w:rStyle w:val="Style14"/>
                <w:rFonts w:eastAsia="Calibri" w:cs="Times New Roman"/>
                <w:vanish w:val="false"/>
                <w:color w:val="000000" w:themeColor="text1"/>
                <w:lang w:val="x-none" w:eastAsia="x-none"/>
              </w:rPr>
              <w:t>2.</w:t>
            </w:r>
            <w:r>
              <w:rPr>
                <w:rStyle w:val="Style14"/>
                <w:rFonts w:eastAsia="" w:cs="Times New Roman" w:eastAsiaTheme="minorEastAsia"/>
                <w:b w:val="false"/>
                <w:bCs w:val="false"/>
                <w:color w:val="000000" w:themeColor="text1"/>
              </w:rPr>
              <w:tab/>
            </w:r>
            <w:r>
              <w:rPr>
                <w:rStyle w:val="Style14"/>
                <w:rFonts w:eastAsia="Calibri" w:cs="Times New Roman"/>
                <w:iCs/>
                <w:color w:val="000000" w:themeColor="text1"/>
                <w:lang w:val="x-none" w:eastAsia="x-none"/>
              </w:rPr>
              <w:t>Требования к продукции</w:t>
            </w:r>
            <w:r>
              <w:rPr>
                <w:rStyle w:val="Style14"/>
                <w:rFonts w:eastAsia="Calibri" w:cs="Times New Roman"/>
                <w:iCs/>
                <w:color w:val="000000" w:themeColor="text1"/>
                <w:lang w:val="en-US" w:eastAsia="x-none"/>
              </w:rPr>
              <w:t>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_Toc193258099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100">
            <w:r>
              <w:rPr>
                <w:webHidden/>
                <w:rStyle w:val="Style14"/>
                <w:rFonts w:eastAsia="Calibri" w:cs="Times New Roman"/>
                <w:b/>
                <w:bCs/>
                <w:iCs/>
                <w:vanish w:val="false"/>
                <w:color w:val="000000" w:themeColor="text1"/>
                <w:sz w:val="24"/>
                <w:szCs w:val="24"/>
                <w:lang w:val="x-none" w:eastAsia="x-none"/>
              </w:rPr>
              <w:t>2.1.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x-none" w:eastAsia="x-none"/>
              </w:rPr>
              <w:t xml:space="preserve">Требования к объемам и срокам 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eastAsia="x-none"/>
              </w:rPr>
              <w:t>поставки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en-US" w:eastAsia="x-none"/>
              </w:rPr>
              <w:t>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101">
            <w:r>
              <w:rPr>
                <w:webHidden/>
                <w:rStyle w:val="Style14"/>
                <w:rFonts w:eastAsia="Calibri" w:cs="Times New Roman"/>
                <w:b/>
                <w:vanish w:val="false"/>
                <w:color w:val="000000" w:themeColor="text1"/>
                <w:sz w:val="24"/>
                <w:szCs w:val="24"/>
                <w:lang w:eastAsia="x-none"/>
              </w:rPr>
              <w:t>2.1.1.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color w:val="000000" w:themeColor="text1"/>
                <w:sz w:val="24"/>
                <w:szCs w:val="24"/>
                <w:lang w:eastAsia="x-none"/>
              </w:rPr>
              <w:t>Перечень и объем закупаемой продукции</w:t>
            </w:r>
            <w:r>
              <w:rPr>
                <w:rStyle w:val="Style14"/>
                <w:rFonts w:eastAsia="Calibri" w:cs="Times New Roman"/>
                <w:b/>
                <w:color w:val="000000" w:themeColor="text1"/>
                <w:sz w:val="24"/>
                <w:szCs w:val="24"/>
                <w:lang w:val="en-US" w:eastAsia="x-none"/>
              </w:rPr>
              <w:t>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93258102">
            <w:r>
              <w:rPr>
                <w:webHidden/>
                <w:rStyle w:val="Style14"/>
                <w:rFonts w:eastAsia="Calibri" w:cs="Times New Roman"/>
                <w:vanish w:val="false"/>
                <w:color w:val="000000" w:themeColor="text1"/>
                <w:lang w:val="x-none" w:eastAsia="x-none"/>
              </w:rPr>
              <w:t xml:space="preserve">Таблица </w:t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1.1</w:t>
            </w:r>
            <w:r>
              <w:rPr>
                <w:rStyle w:val="Style14"/>
                <w:rFonts w:eastAsia="Calibri" w:cs="Times New Roman"/>
                <w:color w:val="000000" w:themeColor="text1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Перечень и объем закупаемой продукции</w:t>
            </w:r>
            <w:r>
              <w:rPr>
                <w:rStyle w:val="Style14"/>
                <w:rFonts w:eastAsia="Calibri" w:cs="Times New Roman"/>
                <w:color w:val="000000" w:themeColor="text1"/>
                <w:lang w:val="en-US" w:eastAsia="x-none"/>
              </w:rPr>
              <w:t>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103">
            <w:r>
              <w:rPr>
                <w:webHidden/>
                <w:rStyle w:val="Style14"/>
                <w:rFonts w:eastAsia="Calibri" w:cs="Times New Roman"/>
                <w:b/>
                <w:vanish w:val="false"/>
                <w:color w:val="000000" w:themeColor="text1"/>
                <w:sz w:val="24"/>
                <w:szCs w:val="24"/>
                <w:lang w:eastAsia="x-none"/>
              </w:rPr>
              <w:t>2.1.2.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color w:val="000000" w:themeColor="text1"/>
                <w:sz w:val="24"/>
                <w:szCs w:val="24"/>
                <w:lang w:eastAsia="x-none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4"/>
                <w:rFonts w:eastAsia="Calibri" w:cs="Times New Roman"/>
                <w:b/>
                <w:color w:val="000000" w:themeColor="text1"/>
                <w:sz w:val="24"/>
                <w:szCs w:val="24"/>
                <w:lang w:val="en-US" w:eastAsia="x-none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93258104">
            <w:r>
              <w:rPr>
                <w:webHidden/>
                <w:rStyle w:val="Style14"/>
                <w:rFonts w:eastAsia="Calibri" w:cs="Times New Roman"/>
                <w:vanish w:val="false"/>
                <w:color w:val="000000" w:themeColor="text1"/>
                <w:lang w:val="x-none" w:eastAsia="x-none"/>
              </w:rPr>
              <w:t xml:space="preserve">Таблица </w:t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2</w:t>
            </w:r>
            <w:r>
              <w:rPr>
                <w:rStyle w:val="Style14"/>
                <w:rFonts w:eastAsia="Calibri" w:cs="Times New Roman"/>
                <w:color w:val="000000" w:themeColor="text1"/>
                <w:lang w:val="x-none" w:eastAsia="x-none"/>
              </w:rPr>
              <w:t>.</w:t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1</w:t>
            </w:r>
            <w:r>
              <w:rPr>
                <w:rStyle w:val="Style14"/>
                <w:rFonts w:eastAsia="Calibri" w:cs="Times New Roman"/>
                <w:color w:val="000000" w:themeColor="text1"/>
                <w:lang w:val="x-none" w:eastAsia="x-none"/>
              </w:rPr>
              <w:t xml:space="preserve"> Требования по срокам </w:t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поставки продукции</w:t>
            </w:r>
            <w:r>
              <w:rPr>
                <w:rStyle w:val="Style14"/>
                <w:rFonts w:eastAsia="Calibri" w:cs="Times New Roman"/>
                <w:color w:val="000000" w:themeColor="text1"/>
                <w:lang w:val="en-US" w:eastAsia="x-none"/>
              </w:rPr>
              <w:t>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hyperlink w:anchor="_Toc193258105">
            <w:r>
              <w:rPr>
                <w:webHidden/>
                <w:rStyle w:val="Style14"/>
                <w:rFonts w:eastAsia="Calibri" w:cs="Times New Roman"/>
                <w:b/>
                <w:bCs/>
                <w:iCs/>
                <w:vanish w:val="false"/>
                <w:color w:val="000000" w:themeColor="text1"/>
                <w:sz w:val="24"/>
                <w:szCs w:val="24"/>
                <w:lang w:val="x-none" w:eastAsia="x-none"/>
              </w:rPr>
              <w:t>2.2.</w:t>
            </w:r>
            <w:r>
              <w:rPr>
                <w:rStyle w:val="Style14"/>
                <w:rFonts w:eastAsia="" w:cs="Times New Roman" w:eastAsiaTheme="minorEastAsia"/>
                <w:color w:val="000000" w:themeColor="text1"/>
                <w:sz w:val="24"/>
                <w:szCs w:val="24"/>
              </w:rPr>
              <w:tab/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x-none" w:eastAsia="x-none"/>
              </w:rPr>
              <w:t xml:space="preserve">Требования к 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eastAsia="x-none"/>
              </w:rPr>
              <w:t>качеству продукции</w:t>
            </w:r>
            <w:r>
              <w:rPr>
                <w:rStyle w:val="Style14"/>
                <w:rFonts w:eastAsia="Calibri" w:cs="Times New Roman"/>
                <w:b/>
                <w:bCs/>
                <w:color w:val="000000" w:themeColor="text1"/>
                <w:sz w:val="24"/>
                <w:szCs w:val="24"/>
                <w:lang w:val="en-US" w:eastAsia="x-none"/>
              </w:rPr>
              <w:t>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93258106">
            <w:r>
              <w:rPr>
                <w:webHidden/>
                <w:rStyle w:val="Style14"/>
                <w:rFonts w:eastAsia="Calibri" w:cs="Times New Roman"/>
                <w:vanish w:val="false"/>
                <w:color w:val="000000" w:themeColor="text1"/>
                <w:lang w:val="x-none" w:eastAsia="x-none"/>
              </w:rPr>
              <w:t>Таблица </w:t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3</w:t>
            </w:r>
            <w:r>
              <w:rPr>
                <w:rStyle w:val="Style14"/>
                <w:rFonts w:eastAsia="Calibri" w:cs="Times New Roman"/>
                <w:color w:val="000000" w:themeColor="text1"/>
                <w:lang w:val="x-none" w:eastAsia="x-none"/>
              </w:rPr>
              <w:t xml:space="preserve">. Требования к </w:t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продукции</w:t>
            </w:r>
            <w:r>
              <w:rPr>
                <w:rStyle w:val="Style14"/>
                <w:rFonts w:eastAsia="Calibri" w:cs="Times New Roman"/>
                <w:color w:val="000000" w:themeColor="text1"/>
                <w:lang w:val="en-US" w:eastAsia="x-none"/>
              </w:rPr>
              <w:t>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93258107">
            <w:r>
              <w:rPr>
                <w:webHidden/>
                <w:rStyle w:val="Style14"/>
                <w:rFonts w:eastAsia="Calibri" w:cs="Times New Roman"/>
                <w:vanish w:val="false"/>
                <w:color w:val="000000" w:themeColor="text1"/>
                <w:lang w:eastAsia="x-none"/>
              </w:rPr>
              <w:t>3.</w:t>
            </w:r>
            <w:r>
              <w:rPr>
                <w:rStyle w:val="Style14"/>
                <w:rFonts w:eastAsia="" w:cs="Times New Roman" w:eastAsiaTheme="minorEastAsia"/>
                <w:b w:val="false"/>
                <w:bCs w:val="false"/>
                <w:color w:val="000000" w:themeColor="text1"/>
              </w:rPr>
              <w:tab/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rFonts w:eastAsia="Calibri" w:cs="Times New Roman"/>
                <w:color w:val="000000" w:themeColor="text1"/>
                <w:lang w:val="en-US" w:eastAsia="x-none"/>
              </w:rPr>
              <w:t>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93258108">
            <w:r>
              <w:rPr>
                <w:webHidden/>
                <w:rStyle w:val="Style14"/>
                <w:rFonts w:eastAsia="Calibri" w:cs="Times New Roman"/>
                <w:vanish w:val="false"/>
                <w:color w:val="000000" w:themeColor="text1"/>
                <w:lang w:eastAsia="x-none"/>
              </w:rPr>
              <w:t>4.</w:t>
            </w:r>
            <w:r>
              <w:rPr>
                <w:rStyle w:val="Style14"/>
                <w:rFonts w:eastAsia="" w:cs="Times New Roman" w:eastAsiaTheme="minorEastAsia"/>
                <w:b w:val="false"/>
                <w:bCs w:val="false"/>
                <w:color w:val="000000" w:themeColor="text1"/>
              </w:rPr>
              <w:tab/>
            </w:r>
            <w:r>
              <w:rPr>
                <w:rStyle w:val="Style14"/>
                <w:rFonts w:eastAsia="Calibri" w:cs="Times New Roman"/>
                <w:color w:val="000000" w:themeColor="text1"/>
                <w:lang w:eastAsia="x-none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4"/>
                <w:rFonts w:eastAsia="Calibri" w:cs="Times New Roman"/>
                <w:color w:val="000000" w:themeColor="text1"/>
                <w:lang w:val="en-US" w:eastAsia="x-none"/>
              </w:rPr>
              <w:t>………………………………………………………………………………………….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_Toc193258108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color w:val="000000" w:themeColor="text1"/>
              </w:rPr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rFonts w:cs="Times New Roman"/>
              <w:color w:val="000000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pacing w:before="120" w:after="0"/>
        <w:rPr>
          <w:rFonts w:eastAsia="PMingLiU"/>
          <w:color w:val="000000" w:themeColor="text1"/>
          <w:sz w:val="24"/>
          <w:szCs w:val="24"/>
        </w:rPr>
      </w:pPr>
      <w:r>
        <w:rPr>
          <w:rFonts w:eastAsia="PMingLiU"/>
          <w:color w:val="000000" w:themeColor="text1"/>
          <w:sz w:val="24"/>
          <w:szCs w:val="24"/>
        </w:rPr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pacing w:before="120" w:after="0"/>
        <w:rPr>
          <w:rFonts w:eastAsia="PMingLiU"/>
          <w:color w:val="000000" w:themeColor="text1"/>
          <w:sz w:val="24"/>
          <w:szCs w:val="24"/>
        </w:rPr>
      </w:pPr>
      <w:r>
        <w:rPr>
          <w:rFonts w:eastAsia="PMingLiU"/>
          <w:color w:val="000000" w:themeColor="text1"/>
          <w:sz w:val="24"/>
          <w:szCs w:val="24"/>
        </w:rPr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pacing w:before="120" w:after="0"/>
        <w:rPr>
          <w:rFonts w:eastAsia="PMingLiU"/>
          <w:color w:val="000000" w:themeColor="text1"/>
          <w:sz w:val="24"/>
          <w:szCs w:val="24"/>
        </w:rPr>
      </w:pPr>
      <w:r>
        <w:rPr>
          <w:rFonts w:eastAsia="PMingLiU"/>
          <w:color w:val="000000" w:themeColor="text1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708" w:leader="none"/>
        </w:tabs>
        <w:spacing w:before="120" w:after="60"/>
        <w:ind w:left="0" w:hanging="0"/>
        <w:outlineLvl w:val="1"/>
        <w:rPr>
          <w:rFonts w:eastAsia="Calibri"/>
          <w:bCs/>
          <w:i/>
          <w:i/>
          <w:color w:val="000000" w:themeColor="text1"/>
          <w:sz w:val="24"/>
          <w:szCs w:val="24"/>
          <w:lang w:val="x-none" w:eastAsia="x-none"/>
        </w:rPr>
      </w:pPr>
      <w:r>
        <w:rPr>
          <w:rFonts w:eastAsia="Calibri"/>
          <w:bCs/>
          <w:i/>
          <w:color w:val="000000" w:themeColor="text1"/>
          <w:sz w:val="24"/>
          <w:szCs w:val="24"/>
          <w:lang w:val="x-none" w:eastAsia="x-none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color w:val="000000" w:themeColor="text1"/>
          <w:sz w:val="24"/>
          <w:szCs w:val="24"/>
        </w:rPr>
      </w:pPr>
      <w:r>
        <w:rPr>
          <w:rFonts w:eastAsia="Calibri"/>
          <w:b/>
          <w:i/>
          <w:color w:val="000000" w:themeColor="text1"/>
          <w:sz w:val="24"/>
          <w:szCs w:val="24"/>
        </w:rPr>
      </w:r>
      <w:r>
        <w:br w:type="page"/>
      </w:r>
    </w:p>
    <w:p>
      <w:pPr>
        <w:pStyle w:val="Normal"/>
        <w:keepNext w:val="true"/>
        <w:keepLines/>
        <w:numPr>
          <w:ilvl w:val="0"/>
          <w:numId w:val="56"/>
        </w:numPr>
        <w:spacing w:before="120" w:after="60"/>
        <w:ind w:left="357" w:hanging="357"/>
        <w:jc w:val="center"/>
        <w:outlineLvl w:val="0"/>
        <w:rPr>
          <w:rFonts w:eastAsia="Calibri"/>
          <w:b/>
          <w:caps/>
          <w:color w:val="000000" w:themeColor="text1"/>
          <w:sz w:val="24"/>
          <w:szCs w:val="24"/>
          <w:lang w:eastAsia="x-none"/>
        </w:rPr>
      </w:pPr>
      <w:bookmarkStart w:id="2" w:name="_Toc193258093"/>
      <w:bookmarkStart w:id="3" w:name="_Toc51339692"/>
      <w:r>
        <w:rPr>
          <w:rFonts w:eastAsia="Calibri"/>
          <w:b/>
          <w:color w:val="000000" w:themeColor="text1"/>
          <w:sz w:val="24"/>
          <w:szCs w:val="24"/>
          <w:lang w:eastAsia="x-none"/>
        </w:rPr>
        <w:t>Общие сведения</w:t>
      </w:r>
      <w:bookmarkEnd w:id="2"/>
      <w:bookmarkEnd w:id="3"/>
    </w:p>
    <w:p>
      <w:pPr>
        <w:pStyle w:val="Normal"/>
        <w:keepNext w:val="true"/>
        <w:numPr>
          <w:ilvl w:val="1"/>
          <w:numId w:val="57"/>
        </w:numPr>
        <w:spacing w:before="120" w:after="60"/>
        <w:outlineLvl w:val="3"/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</w:pPr>
      <w:bookmarkStart w:id="4" w:name="_Toc193258094"/>
      <w:bookmarkStart w:id="5" w:name="_Toc46743505"/>
      <w:r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  <w:t>Обозначения и сокращения</w:t>
      </w:r>
      <w:bookmarkEnd w:id="4"/>
      <w:bookmarkEnd w:id="5"/>
    </w:p>
    <w:p>
      <w:pPr>
        <w:pStyle w:val="Normal"/>
        <w:rPr>
          <w:bCs/>
          <w:i/>
          <w:i/>
          <w:iCs/>
          <w:color w:val="000000" w:themeColor="text1"/>
          <w:sz w:val="24"/>
          <w:szCs w:val="24"/>
          <w:shd w:fill="FFFF99" w:val="clear"/>
        </w:rPr>
      </w:pPr>
      <w:r>
        <w:rPr>
          <w:bCs/>
          <w:i/>
          <w:iCs/>
          <w:color w:val="000000" w:themeColor="text1"/>
          <w:sz w:val="24"/>
          <w:szCs w:val="24"/>
          <w:shd w:fill="FFFF99" w:val="clear"/>
        </w:rPr>
      </w:r>
    </w:p>
    <w:tbl>
      <w:tblPr>
        <w:tblW w:w="991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7"/>
        <w:gridCol w:w="346"/>
        <w:gridCol w:w="8498"/>
      </w:tblGrid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ТТ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ПАО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ГЭС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</w:rPr>
            </w:pPr>
            <w:r>
              <w:rPr>
                <w:color w:val="000000" w:themeColor="text1"/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НТД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color w:val="000000" w:themeColor="text1"/>
                <w:sz w:val="24"/>
                <w:szCs w:val="24"/>
                <w:shd w:fill="FFFF99" w:val="clear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ТО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ПСД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приемо-сдаточная документация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ПСИ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п</w:t>
            </w:r>
            <w:r>
              <w:rPr>
                <w:bCs/>
                <w:color w:val="000000" w:themeColor="text1"/>
                <w:sz w:val="24"/>
                <w:szCs w:val="24"/>
              </w:rPr>
              <w:t>риемо-сдаточные испытания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ПНР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п</w:t>
            </w:r>
            <w:r>
              <w:rPr>
                <w:bCs/>
                <w:color w:val="000000" w:themeColor="text1"/>
                <w:sz w:val="24"/>
                <w:szCs w:val="24"/>
              </w:rPr>
              <w:t>уско-наладочные работы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РД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рабочая документация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Style w:val="Style8"/>
                <w:b w:val="false"/>
                <w:i w:val="false"/>
                <w:color w:val="000000" w:themeColor="text1"/>
                <w:sz w:val="24"/>
                <w:szCs w:val="24"/>
                <w:shd w:fill="auto" w:val="clear"/>
              </w:rPr>
              <w:t>ОП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обособленное подразделение</w:t>
            </w:r>
          </w:p>
        </w:tc>
      </w:tr>
    </w:tbl>
    <w:p>
      <w:pPr>
        <w:pStyle w:val="Normal"/>
        <w:keepNext w:val="true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br w:type="page"/>
      </w:r>
    </w:p>
    <w:p>
      <w:pPr>
        <w:pStyle w:val="Normal"/>
        <w:keepNext w:val="true"/>
        <w:numPr>
          <w:ilvl w:val="1"/>
          <w:numId w:val="58"/>
        </w:numPr>
        <w:spacing w:before="120" w:after="60"/>
        <w:outlineLvl w:val="3"/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</w:pPr>
      <w:bookmarkStart w:id="6" w:name="_Toc193258095"/>
      <w:r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  <w:t>Наименование закупаемой продукции</w:t>
      </w:r>
      <w:r>
        <w:rPr>
          <w:rFonts w:eastAsia="Calibri"/>
          <w:b/>
          <w:bCs/>
          <w:color w:val="000000" w:themeColor="text1"/>
          <w:sz w:val="24"/>
          <w:szCs w:val="24"/>
          <w:lang w:eastAsia="x-none"/>
        </w:rPr>
        <w:t xml:space="preserve"> (товаров, работ, услуг)</w:t>
      </w:r>
      <w:bookmarkEnd w:id="6"/>
    </w:p>
    <w:p>
      <w:pPr>
        <w:pStyle w:val="Normal"/>
        <w:bidi w:val="0"/>
        <w:jc w:val="left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</w:rPr>
      </w:pP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</w:rPr>
        <w:t xml:space="preserve">       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</w:rPr>
        <w:t xml:space="preserve">Поставка и изготовление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</w:rPr>
        <w:t xml:space="preserve"> ремонтных затворов отсасывающих труб гидроагрегатов </w:t>
      </w:r>
    </w:p>
    <w:p>
      <w:pPr>
        <w:pStyle w:val="Normal"/>
        <w:widowControl/>
        <w:suppressAutoHyphens w:val="true"/>
        <w:bidi w:val="0"/>
        <w:spacing w:before="0" w:after="0"/>
        <w:ind w:left="397" w:right="0" w:hanging="0"/>
        <w:jc w:val="left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</w:rPr>
      </w:pP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  <w:lang w:val="en-US" w:eastAsia="ru-RU"/>
        </w:rPr>
        <w:t xml:space="preserve"> 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  <w:lang w:val="en-US" w:eastAsia="ru-RU"/>
        </w:rPr>
        <w:t>Чирюртской ГЭС-1</w:t>
      </w:r>
    </w:p>
    <w:p>
      <w:pPr>
        <w:pStyle w:val="Normal"/>
        <w:keepNext w:val="true"/>
        <w:numPr>
          <w:ilvl w:val="1"/>
          <w:numId w:val="59"/>
        </w:numPr>
        <w:spacing w:before="120" w:after="60"/>
        <w:outlineLvl w:val="3"/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</w:pPr>
      <w:bookmarkStart w:id="7" w:name="_Toc193258096"/>
      <w:r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  <w:t>Заказчик (подразделение Заказчика)</w:t>
      </w:r>
      <w:bookmarkEnd w:id="7"/>
    </w:p>
    <w:p>
      <w:pPr>
        <w:pStyle w:val="Normal"/>
        <w:jc w:val="both"/>
        <w:rPr/>
      </w:pPr>
      <w:r>
        <w:rPr>
          <w:rFonts w:cs="Calibri"/>
          <w:sz w:val="24"/>
          <w:szCs w:val="24"/>
        </w:rPr>
        <w:t xml:space="preserve">        </w:t>
      </w:r>
      <w:r>
        <w:rPr>
          <w:rFonts w:cs="Calibri"/>
          <w:sz w:val="24"/>
          <w:szCs w:val="24"/>
        </w:rPr>
        <w:t xml:space="preserve">Наименование филиала: Филиал ПАО «РусГидро»-«Дагестанский филиал» </w:t>
      </w:r>
    </w:p>
    <w:p>
      <w:pPr>
        <w:pStyle w:val="Normal"/>
        <w:jc w:val="both"/>
        <w:rPr/>
      </w:pPr>
      <w:r>
        <w:rPr>
          <w:rFonts w:cs="Times New Roman"/>
          <w:sz w:val="24"/>
          <w:szCs w:val="24"/>
        </w:rPr>
        <w:t xml:space="preserve">        </w:t>
      </w:r>
      <w:r>
        <w:rPr>
          <w:rFonts w:cs="Calibri"/>
          <w:sz w:val="24"/>
          <w:szCs w:val="24"/>
        </w:rPr>
        <w:t>Адрес филиала:</w:t>
      </w:r>
      <w:r>
        <w:rPr>
          <w:sz w:val="24"/>
          <w:szCs w:val="24"/>
        </w:rPr>
        <w:t xml:space="preserve"> Россия, Республика Дагестан, г. </w:t>
      </w:r>
      <w:r>
        <w:rPr>
          <w:kern w:val="2"/>
          <w:sz w:val="24"/>
          <w:szCs w:val="24"/>
        </w:rPr>
        <w:t xml:space="preserve">Кизилюрт, сел. Ст. Бавтугай, ул.     </w:t>
      </w:r>
    </w:p>
    <w:p>
      <w:pPr>
        <w:pStyle w:val="Normal"/>
        <w:jc w:val="both"/>
        <w:rPr/>
      </w:pPr>
      <w:r>
        <w:rPr>
          <w:rFonts w:cs="Calibri"/>
          <w:color w:val="000000" w:themeColor="text1"/>
          <w:kern w:val="2"/>
          <w:sz w:val="24"/>
          <w:szCs w:val="24"/>
          <w:lang w:val="x-none" w:eastAsia="x-none"/>
        </w:rPr>
        <w:t xml:space="preserve">        </w:t>
      </w:r>
      <w:r>
        <w:rPr>
          <w:rFonts w:cs="Calibri"/>
          <w:color w:val="000000" w:themeColor="text1"/>
          <w:kern w:val="2"/>
          <w:sz w:val="24"/>
          <w:szCs w:val="24"/>
          <w:lang w:val="x-none" w:eastAsia="x-none"/>
        </w:rPr>
        <w:t>Интернатская, 1в., Чирюртская ГЭС-1.</w:t>
      </w:r>
    </w:p>
    <w:p>
      <w:pPr>
        <w:pStyle w:val="Normal"/>
        <w:keepNext w:val="true"/>
        <w:numPr>
          <w:ilvl w:val="1"/>
          <w:numId w:val="60"/>
        </w:numPr>
        <w:spacing w:lineRule="auto" w:line="240" w:before="240" w:after="60"/>
        <w:ind w:left="431" w:hanging="431"/>
        <w:outlineLvl w:val="3"/>
        <w:rPr/>
      </w:pPr>
      <w:bookmarkStart w:id="8" w:name="_Toc193258097"/>
      <w:bookmarkStart w:id="9" w:name="_Toc46743507"/>
      <w:r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  <w:t>Цел</w:t>
      </w:r>
      <w:bookmarkEnd w:id="9"/>
      <w:r>
        <w:rPr>
          <w:rFonts w:eastAsia="Calibri"/>
          <w:b/>
          <w:bCs/>
          <w:color w:val="000000" w:themeColor="text1"/>
          <w:sz w:val="24"/>
          <w:szCs w:val="24"/>
          <w:lang w:val="en-US" w:eastAsia="x-none"/>
        </w:rPr>
        <w:t>и и задачи</w:t>
      </w:r>
      <w:bookmarkEnd w:id="8"/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240" w:after="60"/>
        <w:ind w:left="510" w:right="0" w:hanging="510"/>
        <w:jc w:val="left"/>
        <w:outlineLvl w:val="3"/>
        <w:rPr/>
      </w:pPr>
      <w:r>
        <w:rPr>
          <w:rFonts w:eastAsia="Calibri"/>
          <w:b w:val="false"/>
          <w:bCs w:val="false"/>
          <w:color w:val="000000" w:themeColor="text1"/>
          <w:sz w:val="24"/>
          <w:szCs w:val="24"/>
          <w:lang w:val="en-US" w:eastAsia="x-none"/>
        </w:rPr>
        <w:t xml:space="preserve">        </w:t>
      </w:r>
      <w:r>
        <w:rPr>
          <w:rFonts w:eastAsia="Calibri" w:cs="Calibri"/>
          <w:b w:val="false"/>
          <w:bCs w:val="false"/>
          <w:color w:val="000000" w:themeColor="text1"/>
          <w:sz w:val="24"/>
          <w:szCs w:val="24"/>
          <w:lang w:val="en-US" w:eastAsia="x-none"/>
        </w:rPr>
        <w:t>Изготовление, поставка и шеф-наладка ремонтных затворов отсасывающих труб    гидроагрегатов Чирюртской ГЭС-1.</w:t>
      </w:r>
      <w:r>
        <w:rPr>
          <w:rFonts w:eastAsia="Calibri" w:cs="Times New Roman"/>
          <w:b w:val="false"/>
          <w:bCs w:val="false"/>
          <w:color w:val="000000" w:themeColor="text1"/>
          <w:sz w:val="24"/>
          <w:szCs w:val="24"/>
          <w:lang w:val="en-US" w:eastAsia="x-none"/>
        </w:rPr>
        <w:t xml:space="preserve">  </w:t>
      </w:r>
    </w:p>
    <w:p>
      <w:pPr>
        <w:pStyle w:val="Normal"/>
        <w:widowControl/>
        <w:numPr>
          <w:ilvl w:val="1"/>
        </w:numPr>
        <w:suppressAutoHyphens w:val="true"/>
        <w:bidi w:val="0"/>
        <w:spacing w:lineRule="auto" w:line="240" w:before="0" w:after="0"/>
        <w:ind w:left="510" w:right="0" w:hanging="0"/>
        <w:jc w:val="left"/>
        <w:rPr/>
      </w:pPr>
      <w:r>
        <w:rPr>
          <w:rFonts w:eastAsia="Calibri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4"/>
          <w:szCs w:val="24"/>
          <w:u w:val="none"/>
          <w:em w:val="none"/>
          <w:lang w:val="en-US" w:eastAsia="x-none"/>
        </w:rPr>
        <w:t>Приведение гидромеханического оборудования станции в исправное состояние.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567" w:leader="none"/>
        </w:tabs>
        <w:suppressAutoHyphens w:val="true"/>
        <w:bidi w:val="0"/>
        <w:spacing w:lineRule="auto" w:line="240" w:before="0" w:after="0"/>
        <w:ind w:left="0" w:hanging="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1"/>
          <w:numId w:val="61"/>
        </w:numPr>
        <w:spacing w:before="120" w:after="60"/>
        <w:outlineLvl w:val="3"/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</w:pPr>
      <w:bookmarkStart w:id="10" w:name="_Toc193258098"/>
      <w:bookmarkStart w:id="11" w:name="_Toc46743508"/>
      <w:r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  <w:t>Существующее положение</w:t>
      </w:r>
      <w:bookmarkEnd w:id="10"/>
      <w:bookmarkEnd w:id="11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67"/>
        <w:jc w:val="left"/>
        <w:rPr/>
      </w:pPr>
      <w:r>
        <w:rPr>
          <w:rFonts w:cs="Calibri"/>
          <w:color w:val="000000" w:themeColor="text1"/>
          <w:sz w:val="24"/>
          <w:szCs w:val="24"/>
        </w:rPr>
        <w:t xml:space="preserve">Местонахождение оборудования: Россия, Республика Дагестан, г. Кизилюрт,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67"/>
        <w:jc w:val="left"/>
        <w:rPr/>
      </w:pPr>
      <w:r>
        <w:rPr>
          <w:rFonts w:cs="Calibri"/>
          <w:color w:val="000000" w:themeColor="text1"/>
          <w:sz w:val="24"/>
          <w:szCs w:val="24"/>
        </w:rPr>
        <w:t xml:space="preserve">сел. ст. Бавтугай, ул. Интернатская, 1в., Чирюртская ГЭС-1, Нижний бьеф.  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67"/>
        <w:jc w:val="left"/>
        <w:rPr/>
      </w:pPr>
      <w:r>
        <w:rPr>
          <w:rFonts w:cs="Calibri"/>
          <w:color w:val="000000" w:themeColor="text1"/>
          <w:sz w:val="24"/>
          <w:szCs w:val="24"/>
        </w:rPr>
        <w:t>Год ввода оборудования в эксплуатацию – 1961г.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67"/>
        <w:jc w:val="left"/>
        <w:rPr/>
      </w:pPr>
      <w:r>
        <w:rPr>
          <w:rFonts w:cs="Calibri"/>
          <w:color w:val="000000" w:themeColor="text1"/>
          <w:sz w:val="24"/>
          <w:szCs w:val="24"/>
        </w:rPr>
        <w:t>Место производства работ: г. Кизилюрт, Чирюртская ГЭС-1, нижний бьеф.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67"/>
        <w:jc w:val="left"/>
        <w:rPr/>
      </w:pPr>
      <w:r>
        <w:rPr>
          <w:rFonts w:cs="Calibri"/>
          <w:color w:val="000000" w:themeColor="text1"/>
          <w:sz w:val="24"/>
          <w:szCs w:val="24"/>
        </w:rPr>
        <w:t>Существующие проблемы в эксплуатации данного оборудования: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67"/>
        <w:jc w:val="left"/>
        <w:rPr/>
      </w:pPr>
      <w:r>
        <w:rPr>
          <w:rFonts w:cs="Calibri"/>
          <w:color w:val="000000" w:themeColor="text1"/>
          <w:sz w:val="24"/>
          <w:szCs w:val="24"/>
        </w:rPr>
        <w:t>- коррозионный износ, металлоконструкции затвора, штанг и деформация  подхватов;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67"/>
        <w:jc w:val="left"/>
        <w:rPr/>
      </w:pPr>
      <w:r>
        <w:rPr>
          <w:rFonts w:cs="Calibri"/>
          <w:color w:val="000000" w:themeColor="text1"/>
          <w:sz w:val="24"/>
          <w:szCs w:val="24"/>
        </w:rPr>
        <w:t>- локальный износ  металла достигает 35 %;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0" w:after="0"/>
        <w:ind w:left="567" w:right="0" w:hanging="0"/>
        <w:jc w:val="left"/>
        <w:rPr/>
      </w:pPr>
      <w:r>
        <w:rPr>
          <w:rFonts w:cs="Calibri"/>
          <w:color w:val="000000" w:themeColor="text1"/>
          <w:sz w:val="24"/>
          <w:szCs w:val="24"/>
        </w:rPr>
        <w:t>- ненадежная конструкция уплотнения, уплотнение затвора подвержено к частому     повреждению.</w:t>
      </w:r>
    </w:p>
    <w:p>
      <w:pPr>
        <w:pStyle w:val="Normal"/>
        <w:keepNext w:val="true"/>
        <w:keepLines/>
        <w:numPr>
          <w:ilvl w:val="0"/>
          <w:numId w:val="62"/>
        </w:numPr>
        <w:spacing w:before="120" w:after="60"/>
        <w:ind w:left="357" w:hanging="357"/>
        <w:jc w:val="center"/>
        <w:outlineLvl w:val="0"/>
        <w:rPr>
          <w:rFonts w:eastAsia="Calibri"/>
          <w:b/>
          <w:iCs/>
          <w:color w:val="000000" w:themeColor="text1"/>
          <w:sz w:val="24"/>
          <w:szCs w:val="24"/>
          <w:lang w:val="x-none" w:eastAsia="x-none"/>
        </w:rPr>
      </w:pPr>
      <w:bookmarkStart w:id="12" w:name="_Toc193258099"/>
      <w:bookmarkStart w:id="13" w:name="_Toc51339693"/>
      <w:r>
        <w:rPr>
          <w:rFonts w:eastAsia="Calibri"/>
          <w:b/>
          <w:iCs/>
          <w:color w:val="000000" w:themeColor="text1"/>
          <w:sz w:val="24"/>
          <w:szCs w:val="24"/>
          <w:lang w:val="x-none" w:eastAsia="x-none"/>
        </w:rPr>
        <w:t>Требования к продукции</w:t>
      </w:r>
      <w:bookmarkEnd w:id="12"/>
      <w:bookmarkEnd w:id="13"/>
    </w:p>
    <w:p>
      <w:pPr>
        <w:pStyle w:val="Normal"/>
        <w:keepNext w:val="true"/>
        <w:numPr>
          <w:ilvl w:val="1"/>
          <w:numId w:val="63"/>
        </w:numPr>
        <w:spacing w:before="120" w:after="60"/>
        <w:outlineLvl w:val="3"/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</w:pPr>
      <w:bookmarkStart w:id="14" w:name="_Toc193258100"/>
      <w:r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/>
          <w:b/>
          <w:bCs/>
          <w:color w:val="000000" w:themeColor="text1"/>
          <w:sz w:val="24"/>
          <w:szCs w:val="24"/>
          <w:lang w:eastAsia="x-none"/>
        </w:rPr>
        <w:t>поставки</w:t>
      </w:r>
      <w:bookmarkEnd w:id="14"/>
    </w:p>
    <w:p>
      <w:pPr>
        <w:pStyle w:val="Normal"/>
        <w:keepNext w:val="true"/>
        <w:numPr>
          <w:ilvl w:val="2"/>
          <w:numId w:val="64"/>
        </w:numPr>
        <w:spacing w:before="120" w:after="60"/>
        <w:outlineLvl w:val="2"/>
        <w:rPr>
          <w:rFonts w:eastAsia="Calibri"/>
          <w:b/>
          <w:color w:val="000000" w:themeColor="text1"/>
          <w:sz w:val="24"/>
          <w:szCs w:val="24"/>
          <w:lang w:eastAsia="x-none"/>
        </w:rPr>
      </w:pPr>
      <w:bookmarkStart w:id="15" w:name="_Toc193258101"/>
      <w:r>
        <w:rPr>
          <w:rFonts w:eastAsia="Calibri"/>
          <w:b/>
          <w:color w:val="000000" w:themeColor="text1"/>
          <w:sz w:val="24"/>
          <w:szCs w:val="24"/>
          <w:lang w:eastAsia="x-none"/>
        </w:rPr>
        <w:t>Перечень и объем закупаемой продукции</w:t>
      </w:r>
      <w:bookmarkEnd w:id="15"/>
    </w:p>
    <w:p>
      <w:pPr>
        <w:pStyle w:val="Normal"/>
        <w:numPr>
          <w:ilvl w:val="0"/>
          <w:numId w:val="0"/>
        </w:numPr>
        <w:spacing w:before="120" w:after="60"/>
        <w:ind w:left="0" w:hanging="0"/>
        <w:jc w:val="left"/>
        <w:outlineLvl w:val="2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eastAsia="x-none"/>
        </w:rPr>
        <w:t xml:space="preserve">         </w:t>
      </w:r>
      <w:r>
        <w:rPr>
          <w:rFonts w:eastAsia="Times New Roman" w:cs="Calibri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  <w:lang w:eastAsia="ru-RU"/>
        </w:rPr>
        <w:t>Поставка  ремонтных затворов отсасывающих труб  Чирюртской ГЭС-1</w:t>
      </w:r>
      <w:r>
        <w:rPr>
          <w:rFonts w:eastAsia="Times New Roman" w:cs="Calibri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  <w:lang w:val="en-US" w:eastAsia="ru-RU"/>
        </w:rPr>
        <w:t xml:space="preserve">                     </w:t>
      </w:r>
      <w:bookmarkStart w:id="16" w:name="_GoBack_Копия_2_Копия_1"/>
      <w:bookmarkEnd w:id="16"/>
      <w:r>
        <w:rPr>
          <w:rFonts w:eastAsia="Calibri" w:cs="Times New Roman"/>
          <w:b w:val="false"/>
          <w:i w:val="false"/>
          <w:strike w:val="false"/>
          <w:dstrike w:val="false"/>
          <w:outline w:val="false"/>
          <w:shadow w:val="false"/>
          <w:vanish w:val="false"/>
          <w:color w:val="auto"/>
          <w:spacing w:val="0"/>
          <w:kern w:val="2"/>
          <w:sz w:val="24"/>
          <w:szCs w:val="24"/>
          <w:u w:val="none"/>
          <w:em w:val="none"/>
          <w:lang w:eastAsia="x-none"/>
        </w:rPr>
        <w:t xml:space="preserve">        филиала ПАО «РусГидро»-«Дагестанского филиала»</w:t>
      </w:r>
    </w:p>
    <w:p>
      <w:pPr>
        <w:pStyle w:val="Normal"/>
        <w:numPr>
          <w:ilvl w:val="0"/>
          <w:numId w:val="0"/>
        </w:numPr>
        <w:ind w:left="0" w:right="0" w:hanging="0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left" w:pos="708" w:leader="none"/>
        </w:tabs>
        <w:spacing w:before="240" w:after="60"/>
        <w:ind w:left="0" w:hanging="0"/>
        <w:jc w:val="right"/>
        <w:outlineLvl w:val="0"/>
        <w:rPr>
          <w:rFonts w:eastAsia="Calibri"/>
          <w:color w:val="000000" w:themeColor="text1"/>
          <w:sz w:val="24"/>
          <w:szCs w:val="24"/>
          <w:lang w:eastAsia="x-none"/>
        </w:rPr>
      </w:pPr>
      <w:bookmarkStart w:id="17" w:name="_Toc193258102"/>
      <w:r>
        <w:rPr>
          <w:rFonts w:eastAsia="Calibri"/>
          <w:color w:val="000000" w:themeColor="text1"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color w:val="000000" w:themeColor="text1"/>
          <w:sz w:val="24"/>
          <w:szCs w:val="24"/>
          <w:lang w:eastAsia="x-none"/>
        </w:rPr>
        <w:t>1.1</w:t>
      </w:r>
      <w:r>
        <w:rPr>
          <w:rFonts w:eastAsia="Calibri"/>
          <w:color w:val="000000" w:themeColor="text1"/>
          <w:sz w:val="24"/>
          <w:szCs w:val="24"/>
          <w:lang w:val="x-none" w:eastAsia="x-none"/>
        </w:rPr>
        <w:t xml:space="preserve"> </w:t>
      </w:r>
      <w:r>
        <w:rPr>
          <w:rFonts w:eastAsia="Calibri"/>
          <w:color w:val="000000" w:themeColor="text1"/>
          <w:sz w:val="24"/>
          <w:szCs w:val="24"/>
          <w:lang w:eastAsia="x-none"/>
        </w:rPr>
        <w:t>Перечень и объем закупаемой продукции</w:t>
      </w:r>
      <w:bookmarkEnd w:id="17"/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4708"/>
        <w:gridCol w:w="2306"/>
        <w:gridCol w:w="2062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Наименование продукции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>
        <w:trPr>
          <w:trHeight w:val="952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0"/>
              <w:ind w:left="360" w:hanging="0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60"/>
              <w:ind w:left="0" w:hanging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color w:val="000000" w:themeColor="text1"/>
                <w:sz w:val="24"/>
                <w:szCs w:val="24"/>
                <w:lang w:eastAsia="x-none"/>
              </w:rPr>
              <w:t>Ремонтный затвор отсасывающей трубы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шт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952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0"/>
              <w:ind w:left="360" w:hanging="0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60"/>
              <w:ind w:left="0" w:hanging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Штанги</w:t>
            </w:r>
          </w:p>
        </w:tc>
        <w:tc>
          <w:tcPr>
            <w:tcW w:w="2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</w:t>
            </w:r>
          </w:p>
        </w:tc>
        <w:tc>
          <w:tcPr>
            <w:tcW w:w="2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952" w:hRule="atLeast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0"/>
              <w:ind w:left="360" w:hanging="0"/>
              <w:contextualSpacing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60"/>
              <w:ind w:left="0" w:hanging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Подхваты</w:t>
            </w:r>
          </w:p>
        </w:tc>
        <w:tc>
          <w:tcPr>
            <w:tcW w:w="2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0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>
      <w:pPr>
        <w:pStyle w:val="Normal"/>
        <w:numPr>
          <w:ilvl w:val="0"/>
          <w:numId w:val="0"/>
        </w:numPr>
        <w:spacing w:before="346" w:after="62"/>
        <w:ind w:left="0" w:hanging="0"/>
        <w:outlineLvl w:val="2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before="346" w:after="62"/>
        <w:ind w:left="0" w:hanging="0"/>
        <w:outlineLvl w:val="2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before="346" w:after="62"/>
        <w:ind w:left="0" w:hanging="0"/>
        <w:outlineLvl w:val="2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eastAsia="x-none"/>
        </w:rPr>
        <w:t>2.1.2 Перечень и объем закупаемых сопутствующих услуг</w:t>
      </w:r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99"/>
        <w:gridCol w:w="4732"/>
        <w:gridCol w:w="2268"/>
        <w:gridCol w:w="2123"/>
      </w:tblGrid>
      <w:tr>
        <w:trPr>
          <w:tblHeader w:val="true"/>
          <w:trHeight w:val="525" w:hRule="atLeast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tblHeader w:val="true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blHeader w:val="true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1‍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12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bCs/>
                <w:vanish w:val="false"/>
                <w:color w:val="000000"/>
                <w:sz w:val="24"/>
                <w:szCs w:val="24"/>
                <w:lang w:eastAsia="ru-RU"/>
              </w:rPr>
              <w:t>Разработка конструкторской документации на изготавливаемое оборудование в соответствии с параметрами, указанными в настоящих технических требованиях, ТР ТС 010/2011 «О безопасности машин и оборудования».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459" w:right="0" w:hanging="0"/>
              <w:jc w:val="left"/>
              <w:rPr/>
            </w:pPr>
            <w:r>
              <w:rP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</w:t>
            </w:r>
            <w:r>
              <w:rPr>
                <w:sz w:val="24"/>
                <w:szCs w:val="24"/>
                <w:lang w:val="en-US"/>
              </w:rPr>
              <w:t>услуг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</w:t>
            </w:r>
          </w:p>
        </w:tc>
      </w:tr>
      <w:tr>
        <w:trPr>
          <w:tblHeader w:val="true"/>
          <w:trHeight w:val="785" w:hRule="atLeast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‍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8"/>
                <w:tab w:val="left" w:pos="567" w:leader="none"/>
              </w:tabs>
              <w:spacing w:lineRule="auto" w:line="240"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ремонтных плоских </w:t>
            </w:r>
            <w:r>
              <w:rPr>
                <w:rFonts w:cs="Calibri"/>
                <w:sz w:val="24"/>
                <w:szCs w:val="24"/>
              </w:rPr>
              <w:t xml:space="preserve">затворов №1,№2,№3,№4 отсасывающих труб  </w:t>
            </w:r>
            <w:r>
              <w:rPr>
                <w:rFonts w:eastAsia="Calibri" w:cs="Calibri"/>
                <w:sz w:val="24"/>
                <w:szCs w:val="24"/>
              </w:rPr>
              <w:t>гидроагрегатов НБ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</w:t>
            </w:r>
          </w:p>
        </w:tc>
      </w:tr>
      <w:tr>
        <w:trPr>
          <w:tblHeader w:val="true"/>
          <w:trHeight w:val="785" w:hRule="atLeast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8"/>
                <w:tab w:val="left" w:pos="567" w:leader="none"/>
              </w:tabs>
              <w:spacing w:lineRule="auto" w:line="240"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штанг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</w:t>
            </w:r>
          </w:p>
        </w:tc>
      </w:tr>
      <w:tr>
        <w:trPr>
          <w:trHeight w:val="785" w:hRule="atLeast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8"/>
                <w:tab w:val="left" w:pos="567" w:leader="none"/>
              </w:tabs>
              <w:spacing w:lineRule="auto" w:line="240"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подхватов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left"/>
              <w:rPr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Поставка ремонтных затворов отсасывающих труб гидроагрегатов Чирюртской ГЭС-1 368120, Российская Федерация, республика Дагестан, г. Кизилюрт, сел. Ст. Бавтугай, ул. Интернатская, 1в. Чирюртская ГЭС-1.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</w:t>
            </w:r>
            <w:r>
              <w:rPr>
                <w:sz w:val="24"/>
                <w:szCs w:val="24"/>
                <w:lang w:val="en-US"/>
              </w:rPr>
              <w:t>услуг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1006" w:hRule="atLeast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8"/>
                <w:tab w:val="left" w:pos="567" w:leader="none"/>
              </w:tabs>
              <w:spacing w:lineRule="auto" w:line="240"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Доизготовление (укрупненная сборка) ремонтных затворов на территории Чирюртской ГЭС-1 (при необходимости)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869" w:hRule="atLeast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Шефмонтаж</w:t>
            </w:r>
            <w:r>
              <w:rPr>
                <w:sz w:val="24"/>
                <w:szCs w:val="24"/>
                <w:shd w:fill="auto" w:val="clear"/>
              </w:rPr>
              <w:t xml:space="preserve"> (поставщика) ремонтных затворов отсасывающих труб НБ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</w:t>
            </w:r>
            <w:r>
              <w:rPr>
                <w:sz w:val="24"/>
                <w:szCs w:val="24"/>
                <w:lang w:val="en-US"/>
              </w:rPr>
              <w:t>услуг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before="346" w:after="62"/>
        <w:ind w:left="0" w:hanging="0"/>
        <w:outlineLvl w:val="2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65"/>
        </w:numPr>
        <w:spacing w:before="346" w:after="62"/>
        <w:outlineLvl w:val="2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eastAsia="x-none"/>
        </w:rPr>
        <w:t>Требования к срокам поставки продукции и оказания сопутствующих услуг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left" w:pos="708" w:leader="none"/>
        </w:tabs>
        <w:spacing w:before="240" w:after="60"/>
        <w:ind w:left="0" w:hanging="0"/>
        <w:outlineLvl w:val="0"/>
        <w:rPr>
          <w:rFonts w:eastAsia="Calibri"/>
          <w:b/>
          <w:color w:val="000000" w:themeColor="text1"/>
          <w:sz w:val="24"/>
          <w:szCs w:val="24"/>
          <w:lang w:eastAsia="x-none"/>
        </w:rPr>
      </w:pPr>
      <w:bookmarkStart w:id="18" w:name="_Toc193258104"/>
      <w:bookmarkStart w:id="19" w:name="_Toc51339697"/>
      <w:bookmarkStart w:id="20" w:name="_Toc50125127"/>
      <w:bookmarkStart w:id="21" w:name="_Toc50125126"/>
      <w:bookmarkEnd w:id="21"/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color w:val="000000" w:themeColor="text1"/>
          <w:sz w:val="24"/>
          <w:szCs w:val="24"/>
          <w:lang w:eastAsia="x-none"/>
        </w:rPr>
        <w:t>2</w:t>
      </w:r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>.</w:t>
      </w:r>
      <w:r>
        <w:rPr>
          <w:rFonts w:eastAsia="Calibri"/>
          <w:b/>
          <w:color w:val="000000" w:themeColor="text1"/>
          <w:sz w:val="24"/>
          <w:szCs w:val="24"/>
          <w:lang w:eastAsia="x-none"/>
        </w:rPr>
        <w:t>1</w:t>
      </w:r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 xml:space="preserve"> </w:t>
      </w:r>
      <w:bookmarkStart w:id="22" w:name="_Hlk50465284"/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 xml:space="preserve">Требования по срокам </w:t>
      </w:r>
      <w:bookmarkEnd w:id="19"/>
      <w:bookmarkEnd w:id="20"/>
      <w:bookmarkEnd w:id="22"/>
      <w:r>
        <w:rPr>
          <w:rFonts w:eastAsia="Calibri"/>
          <w:b/>
          <w:color w:val="000000" w:themeColor="text1"/>
          <w:sz w:val="24"/>
          <w:szCs w:val="24"/>
          <w:lang w:eastAsia="x-none"/>
        </w:rPr>
        <w:t>поставки продукции</w:t>
      </w:r>
      <w:bookmarkEnd w:id="18"/>
      <w:r>
        <w:rPr>
          <w:rFonts w:eastAsia="Calibri"/>
          <w:b/>
          <w:color w:val="000000" w:themeColor="text1"/>
          <w:sz w:val="24"/>
          <w:szCs w:val="24"/>
          <w:lang w:eastAsia="x-none"/>
        </w:rPr>
        <w:t xml:space="preserve">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3"/>
        <w:gridCol w:w="4167"/>
        <w:gridCol w:w="2480"/>
        <w:gridCol w:w="2480"/>
      </w:tblGrid>
      <w:tr>
        <w:trPr/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widowControl w:val="false"/>
              <w:rPr/>
            </w:pPr>
            <w:r>
              <w:rPr/>
              <w:t>1.1</w:t>
            </w:r>
          </w:p>
        </w:tc>
        <w:tc>
          <w:tcPr>
            <w:tcW w:w="4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color w:themeColor="text1"/>
                <w:highlight w:val="none"/>
                <w:shd w:fill="auto" w:val="clear"/>
              </w:rPr>
            </w:pPr>
            <w:r>
              <w:rPr>
                <w:color w:val="000000" w:themeColor="text1"/>
                <w:sz w:val="24"/>
                <w:szCs w:val="24"/>
                <w:shd w:fill="auto" w:val="clear"/>
                <w:lang w:val="en-US"/>
              </w:rPr>
              <w:t>Затвор ремонтный плоский</w:t>
            </w:r>
          </w:p>
        </w:tc>
        <w:tc>
          <w:tcPr>
            <w:tcW w:w="24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color w:themeColor="text1"/>
                <w:highlight w:val="none"/>
                <w:shd w:fill="auto" w:val="clear"/>
              </w:rPr>
            </w:pPr>
            <w:r>
              <w:rPr>
                <w:color w:val="000000" w:themeColor="text1"/>
                <w:sz w:val="24"/>
                <w:szCs w:val="24"/>
                <w:shd w:fill="auto" w:val="clear"/>
                <w:lang w:val="en-US"/>
              </w:rPr>
              <w:t>С даты заключения договора</w:t>
            </w:r>
          </w:p>
        </w:tc>
        <w:tc>
          <w:tcPr>
            <w:tcW w:w="24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color w:themeColor="text1"/>
                <w:highlight w:val="none"/>
                <w:shd w:fill="auto" w:val="clear"/>
              </w:rPr>
            </w:pPr>
            <w:r>
              <w:rPr>
                <w:color w:val="000000" w:themeColor="text1"/>
                <w:sz w:val="24"/>
                <w:szCs w:val="24"/>
                <w:shd w:fill="auto" w:val="clear"/>
              </w:rPr>
              <w:t>В течении 8 месяцев с даты заключения договора</w:t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widowControl w:val="false"/>
              <w:rPr/>
            </w:pPr>
            <w:r>
              <w:rPr/>
              <w:t>1.2</w:t>
            </w:r>
          </w:p>
        </w:tc>
        <w:tc>
          <w:tcPr>
            <w:tcW w:w="4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color w:themeColor="text1"/>
                <w:highlight w:val="none"/>
                <w:shd w:fill="auto" w:val="clear"/>
              </w:rPr>
            </w:pPr>
            <w:r>
              <w:rPr>
                <w:color w:themeColor="text1"/>
                <w:shd w:fill="auto" w:val="clear"/>
              </w:rPr>
              <w:t>Штанга</w:t>
            </w:r>
          </w:p>
        </w:tc>
        <w:tc>
          <w:tcPr>
            <w:tcW w:w="24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widowControl w:val="false"/>
              <w:rPr/>
            </w:pPr>
            <w:r>
              <w:rPr/>
            </w:r>
          </w:p>
        </w:tc>
        <w:tc>
          <w:tcPr>
            <w:tcW w:w="2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widowControl w:val="false"/>
              <w:rPr/>
            </w:pPr>
            <w:r>
              <w:rPr/>
              <w:t>1.3</w:t>
            </w:r>
          </w:p>
        </w:tc>
        <w:tc>
          <w:tcPr>
            <w:tcW w:w="4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rPr>
                <w:color w:themeColor="text1"/>
                <w:highlight w:val="none"/>
                <w:shd w:fill="auto" w:val="clear"/>
              </w:rPr>
            </w:pPr>
            <w:r>
              <w:rPr>
                <w:color w:themeColor="text1"/>
                <w:shd w:fill="auto" w:val="clear"/>
              </w:rPr>
              <w:t>Подхваты</w:t>
            </w:r>
          </w:p>
        </w:tc>
        <w:tc>
          <w:tcPr>
            <w:tcW w:w="24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9"/>
              <w:widowControl w:val="false"/>
              <w:rPr/>
            </w:pPr>
            <w:r>
              <w:rPr/>
            </w:r>
          </w:p>
        </w:tc>
        <w:tc>
          <w:tcPr>
            <w:tcW w:w="2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9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numPr>
          <w:ilvl w:val="0"/>
          <w:numId w:val="0"/>
        </w:numPr>
        <w:tabs>
          <w:tab w:val="left" w:pos="708" w:leader="none"/>
        </w:tabs>
        <w:spacing w:before="240" w:after="60"/>
        <w:ind w:left="0" w:hanging="0"/>
        <w:outlineLvl w:val="0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eastAsia="x-none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Таблица 2.2 Требования по срокам оказания сопутствующих услуг</w:t>
      </w:r>
    </w:p>
    <w:tbl>
      <w:tblPr>
        <w:tblW w:w="1006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1843"/>
        <w:gridCol w:w="2693"/>
        <w:gridCol w:w="4961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3"/>
              <w:keepNext w:val="false"/>
              <w:widowControl w:val="false"/>
              <w:shd w:val="clear" w:color="auto" w:fill="FFFFFF" w:themeFill="background1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3"/>
              <w:keepNext w:val="false"/>
              <w:widowControl w:val="false"/>
              <w:shd w:val="clear" w:color="auto" w:fill="FFFFFF" w:themeFill="background1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>
          <w:trHeight w:val="49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3"/>
              <w:keepNext w:val="false"/>
              <w:widowControl w:val="false"/>
              <w:shd w:val="clear" w:color="auto" w:fill="FFFFFF" w:themeFill="background1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43"/>
              <w:keepNext w:val="false"/>
              <w:widowControl w:val="false"/>
              <w:shd w:val="clear" w:color="auto" w:fill="FFFFFF" w:themeFill="background1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Шефмонтаж</w:t>
            </w:r>
            <w:r>
              <w:rPr>
                <w:sz w:val="24"/>
                <w:szCs w:val="24"/>
              </w:rPr>
              <w:t xml:space="preserve"> поставщика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момента окончания срока поставки*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30 дней с момента окончания срока поставки*</w:t>
            </w:r>
          </w:p>
        </w:tc>
      </w:tr>
    </w:tbl>
    <w:p>
      <w:pPr>
        <w:pStyle w:val="ListParagraph"/>
        <w:jc w:val="both"/>
        <w:rPr>
          <w:i/>
          <w:i/>
        </w:rPr>
      </w:pPr>
      <w:r>
        <w:rPr>
          <w:i/>
        </w:rPr>
        <w:t>Примечание:</w:t>
      </w:r>
    </w:p>
    <w:p>
      <w:pPr>
        <w:sectPr>
          <w:headerReference w:type="first" r:id="rId2"/>
          <w:footerReference w:type="first" r:id="rId3"/>
          <w:type w:val="nextPage"/>
          <w:pgSz w:w="11906" w:h="16838"/>
          <w:pgMar w:left="1134" w:right="851" w:gutter="0" w:header="680" w:top="1134" w:footer="992" w:bottom="992"/>
          <w:pgNumType w:fmt="decimal"/>
          <w:formProt w:val="false"/>
          <w:titlePg/>
          <w:textDirection w:val="lrTb"/>
          <w:docGrid w:type="default" w:linePitch="100" w:charSpace="0"/>
        </w:sectPr>
        <w:pStyle w:val="ListParagraph"/>
        <w:jc w:val="both"/>
        <w:rPr/>
      </w:pPr>
      <w:r>
        <w:rPr>
          <w:i/>
        </w:rPr>
        <w:t xml:space="preserve">* В случае необходимости корректировки сроков оказания сопутствующих услуг, будет инициировано соответствующее дополнительное соглашение к договору поставки </w:t>
      </w:r>
    </w:p>
    <w:p>
      <w:pPr>
        <w:pStyle w:val="Normal"/>
        <w:keepNext w:val="true"/>
        <w:numPr>
          <w:ilvl w:val="1"/>
          <w:numId w:val="66"/>
        </w:numPr>
        <w:spacing w:before="120" w:after="60"/>
        <w:outlineLvl w:val="3"/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</w:pPr>
      <w:bookmarkStart w:id="23" w:name="_Toc193258105"/>
      <w:r>
        <w:rPr>
          <w:rFonts w:eastAsia="Calibri"/>
          <w:b/>
          <w:bCs/>
          <w:color w:val="000000" w:themeColor="text1"/>
          <w:sz w:val="24"/>
          <w:szCs w:val="24"/>
          <w:lang w:val="x-none" w:eastAsia="x-none"/>
        </w:rPr>
        <w:t xml:space="preserve">Требования к </w:t>
      </w:r>
      <w:r>
        <w:rPr>
          <w:rFonts w:eastAsia="Calibri"/>
          <w:b/>
          <w:bCs/>
          <w:color w:val="000000" w:themeColor="text1"/>
          <w:sz w:val="24"/>
          <w:szCs w:val="24"/>
          <w:lang w:eastAsia="x-none"/>
        </w:rPr>
        <w:t>качеству продукции</w:t>
      </w:r>
      <w:bookmarkEnd w:id="23"/>
    </w:p>
    <w:p>
      <w:pPr>
        <w:pStyle w:val="Normal"/>
        <w:keepNext w:val="true"/>
        <w:keepLines/>
        <w:numPr>
          <w:ilvl w:val="0"/>
          <w:numId w:val="0"/>
        </w:numPr>
        <w:tabs>
          <w:tab w:val="left" w:pos="708" w:leader="none"/>
        </w:tabs>
        <w:spacing w:before="240" w:after="60"/>
        <w:ind w:left="0" w:hanging="0"/>
        <w:outlineLvl w:val="0"/>
        <w:rPr>
          <w:rFonts w:eastAsia="Calibri"/>
          <w:b/>
          <w:color w:val="000000" w:themeColor="text1"/>
          <w:sz w:val="24"/>
          <w:szCs w:val="24"/>
          <w:lang w:val="x-none" w:eastAsia="x-none"/>
        </w:rPr>
      </w:pPr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 xml:space="preserve"> </w:t>
      </w:r>
      <w:bookmarkStart w:id="24" w:name="_Toc193258106"/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>Таблица </w:t>
      </w:r>
      <w:r>
        <w:rPr>
          <w:rFonts w:eastAsia="Calibri"/>
          <w:b/>
          <w:color w:val="000000" w:themeColor="text1"/>
          <w:sz w:val="24"/>
          <w:szCs w:val="24"/>
          <w:lang w:eastAsia="x-none"/>
        </w:rPr>
        <w:t>3</w:t>
      </w:r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/>
          <w:b/>
          <w:color w:val="000000" w:themeColor="text1"/>
          <w:sz w:val="24"/>
          <w:szCs w:val="24"/>
          <w:lang w:eastAsia="x-none"/>
        </w:rPr>
        <w:t>продукции</w:t>
      </w:r>
      <w:bookmarkEnd w:id="24"/>
      <w:r>
        <w:rPr>
          <w:rFonts w:eastAsia="Calibri"/>
          <w:b/>
          <w:color w:val="000000" w:themeColor="text1"/>
          <w:sz w:val="24"/>
          <w:szCs w:val="24"/>
          <w:lang w:val="x-none" w:eastAsia="x-none"/>
        </w:rPr>
        <w:t xml:space="preserve"> </w:t>
      </w:r>
    </w:p>
    <w:p>
      <w:pPr>
        <w:pStyle w:val="Normal"/>
        <w:jc w:val="both"/>
        <w:rPr>
          <w:i/>
          <w:i/>
          <w:iCs/>
          <w:color w:val="000000" w:themeColor="text1"/>
          <w:sz w:val="24"/>
          <w:szCs w:val="24"/>
          <w:shd w:fill="FFFF99" w:val="clear"/>
        </w:rPr>
      </w:pPr>
      <w:r>
        <w:rPr>
          <w:i/>
          <w:iCs/>
          <w:color w:val="000000" w:themeColor="text1"/>
          <w:sz w:val="24"/>
          <w:szCs w:val="24"/>
          <w:shd w:fill="FFFF99" w:val="clear"/>
        </w:rPr>
      </w:r>
    </w:p>
    <w:tbl>
      <w:tblPr>
        <w:tblStyle w:val="affff9"/>
        <w:tblW w:w="1531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3457"/>
        <w:gridCol w:w="16"/>
        <w:gridCol w:w="3474"/>
        <w:gridCol w:w="2550"/>
        <w:gridCol w:w="2695"/>
        <w:gridCol w:w="2274"/>
      </w:tblGrid>
      <w:tr>
        <w:trPr>
          <w:tblHeader w:val="true"/>
        </w:trPr>
        <w:tc>
          <w:tcPr>
            <w:tcW w:w="8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45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9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2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2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8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49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blHeader w:val="true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4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5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7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8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Основные параметры и размеры затвора в комплекте(затвор,штанги,подхваты)</w:t>
            </w:r>
          </w:p>
        </w:tc>
        <w:tc>
          <w:tcPr>
            <w:tcW w:w="3490" w:type="dxa"/>
            <w:gridSpan w:val="2"/>
            <w:tcBorders/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>в соответствии с приложением №1 к настоящим ТТ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9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490" w:type="dxa"/>
            <w:gridSpan w:val="2"/>
            <w:tcBorders>
              <w:top w:val="nil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</w:r>
          </w:p>
        </w:tc>
        <w:tc>
          <w:tcPr>
            <w:tcW w:w="269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70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2388" w:hRule="atLeast"/>
        </w:trPr>
        <w:tc>
          <w:tcPr>
            <w:tcW w:w="8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71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73" w:type="dxa"/>
            <w:gridSpan w:val="2"/>
            <w:tcBorders>
              <w:right w:val="nil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Затвор является сварной металлоконструкцией из листового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проката марки стали</w:t>
            </w:r>
          </w:p>
        </w:tc>
        <w:tc>
          <w:tcPr>
            <w:tcW w:w="3474" w:type="dxa"/>
            <w:tcBorders/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>в соответствии с приложением №1 к настоящим ТТ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971" w:hRule="atLeast"/>
        </w:trPr>
        <w:tc>
          <w:tcPr>
            <w:tcW w:w="8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7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Все конструктивные элементы затвора, должны быть изготовлены </w:t>
            </w:r>
            <w:r>
              <w:rPr>
                <w:rFonts w:eastAsia="Times New Roman" w:cs="Times New Roman"/>
                <w:b w:val="false"/>
                <w:bCs w:val="false"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>в соответствии с приложением №1 к настоящим ТТ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Материалы, применяемые для изготовления затвора, должны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иметь сертификаты качества. Сертификаты должны быть представлены заказчику при входном контроле на месте поставки.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74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Конструктивные элементы затвора должны поставляться в покрашенном виде. Покрытие грунтование и покраска производить в соответствии с  РД ГМ-02-18.Приложение №2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6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7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Перед покраской, конструктивные элементы затвора должны быть предъявлены заказчику для осмотра на месте изготовления (на заводе) для осмотра.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Заказчику должно быть направлено уведомление, с приглашением на завод для осмотра конструктивных элементов затвора.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Выявленные в ходе осмотра заказчиком дефекты и замечания должны быть устранены изготовителем, с повторным предъявлением заказчику для допуска на окраску.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Устранение замечаний заказчика не должны повлиять на сроки поставки.</w:t>
            </w:r>
          </w:p>
        </w:tc>
        <w:tc>
          <w:tcPr>
            <w:tcW w:w="255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bidi w:val="0"/>
              <w:spacing w:before="0" w:after="0"/>
              <w:jc w:val="center"/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7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7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Климатические исполнение и категория размещения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Климатические исполнение У1 по ГОСТ 15150-69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8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x-none" w:eastAsia="x-none" w:bidi="ar-SA"/>
              </w:rPr>
              <w:t>Температура окружающего воздуха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x-none" w:eastAsia="x-none" w:bidi="ar-SA"/>
              </w:rPr>
              <w:t>ºС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 xml:space="preserve"> - </w:t>
            </w:r>
            <w:r>
              <w:rPr>
                <w:rFonts w:eastAsia="Times New Roman" w:cs="Times New Roman"/>
                <w:i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+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40/-45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79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Сейсмостойкость, баллов по шкале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MSK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9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баллов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0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1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Поставка ремонтных затворов отсасывающих труб гидроагрегатов Чирюртской ГЭС-1 368120, Российская Федерация, республика Дагестан, г. Кизилюрт, сел. Ст. Бавтугай, ул. Интернатская, 1в. Чирюртская ГЭС-1.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Транспортная маркировка грузовых мест по ГОСТ 14192-96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наносится несмываемой краской на грузе, ярлыке или упаковке.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Правила приемки и методы контроля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Изготовление, и приемку производить в соответствии с требованиями РД 34 02.028-2007.Приложение №3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4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551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5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Срок гарантии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left"/>
              <w:outlineLvl w:val="0"/>
              <w:rPr/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x-none" w:eastAsia="x-none" w:bidi="ar-SA"/>
              </w:rPr>
              <w:t>Срок гарантии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x-none" w:eastAsia="x-none" w:bidi="ar-SA"/>
              </w:rPr>
              <w:t xml:space="preserve">–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>36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x-none" w:eastAsia="x-none" w:bidi="ar-SA"/>
              </w:rPr>
              <w:t xml:space="preserve"> месяц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>ев с даты подписания накладной ТОРГ – 12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7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Поставщик гарантирует соответствие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затвора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Требованиям настоящих ТТ, хранения, монтажа и эксплуатации, установленных настоящих ТТ.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88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Гарантийное обслуживание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Поставщик на период гарантийного срока оказывает весь комплекс бесплатных услуг: - по гарантийному ремонту поставляемых металлоконструкции затвора; устранение недостатков, транспортные услуги по доставке оборудования до предприятий, осуществляющих ремонт, и обратно.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В период гарантийного срока Поставщик обязуется за свой счет производить гарантийный ремонт.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Приложить письменное подтверждение к конкурсной заявке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9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0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 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оборудованием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32" w:firstLine="142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32" w:firstLine="142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технические паспорта в том числе на все составное оборудование затвора;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32" w:firstLine="142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упаковочные листы, упаковочные ярлыки;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32" w:firstLine="142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32" w:firstLine="142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товарную накладную унифицированной формы ТОРГ-12 в 2 экз.;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ind w:left="32" w:firstLine="142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протоколы заводских испытаний.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1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2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Установленный нормативный срок службы</w:t>
            </w:r>
          </w:p>
        </w:tc>
        <w:tc>
          <w:tcPr>
            <w:tcW w:w="34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Не менее 25 лет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3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Установленный нормативный срок службы лакокрасочного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покрытия</w:t>
            </w:r>
          </w:p>
        </w:tc>
        <w:tc>
          <w:tcPr>
            <w:tcW w:w="34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 xml:space="preserve">Не менее 8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лет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4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5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Требование к обеспечению комплектности поставки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Поставщик должен обеспечить комплектность поставки, и включить в объем поставки все, что необходимо для нормальной работы данного  оборудования, даже если это специально не оговорено в настоящих технических требованиях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7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в отношении режима прохода на территорию заказчика и правила поведения на ней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Согласно утвержденному Регламенту процесса «Допуск персонала подрядных организаций на объекты ПАО «РусГидро»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8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94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99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Требования по проведению испытаний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Каждая составная часть затвора после изготовления должна подвергнуться на предприятии-изготовителя предварительным испытаниям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(приёмочному контролю), которые осуществляет служба технического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контроля предприятия-изготовителя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3312" w:hRule="atLeast"/>
        </w:trPr>
        <w:tc>
          <w:tcPr>
            <w:tcW w:w="8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Требования по проведению заводских испытаний</w:t>
            </w:r>
          </w:p>
        </w:tc>
        <w:tc>
          <w:tcPr>
            <w:tcW w:w="349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Программой заводских испытаний должны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предусматриваться: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проверка правильности применения материалов;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контроль отклонения формы, размеров, шероховатости и твердости поверхностей;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контроль качества швов сварных соединений;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контрольная сборка негабаритных узлов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затвора, транспортируемых частями;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контроль качества покрытий.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Предоставление программы испытаний</w:t>
            </w:r>
          </w:p>
        </w:tc>
        <w:tc>
          <w:tcPr>
            <w:tcW w:w="22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3312" w:hRule="atLeast"/>
        </w:trPr>
        <w:tc>
          <w:tcPr>
            <w:tcW w:w="8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345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Требования по проведению испытаний после монтажа</w:t>
            </w:r>
          </w:p>
        </w:tc>
        <w:tc>
          <w:tcPr>
            <w:tcW w:w="3490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Программой испытаний должны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предусматриваться: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-произвести трехкратный подъем и опускание;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-произвести проверку отсутствия зазоров между уплотнением и закладными частями;</w:t>
            </w:r>
          </w:p>
        </w:tc>
        <w:tc>
          <w:tcPr>
            <w:tcW w:w="25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69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en-US" w:eastAsia="ru-RU" w:bidi="ar-SA"/>
              </w:rPr>
              <w:t>Предоставление программы испытаний</w:t>
            </w:r>
          </w:p>
        </w:tc>
        <w:tc>
          <w:tcPr>
            <w:tcW w:w="227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rPr>
          <w:i/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</w:r>
    </w:p>
    <w:p>
      <w:pPr>
        <w:pStyle w:val="Normal"/>
        <w:rPr>
          <w:i/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</w:r>
    </w:p>
    <w:p>
      <w:pPr>
        <w:pStyle w:val="Normal"/>
        <w:rPr>
          <w:i/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100"/>
        </w:numPr>
        <w:spacing w:before="120" w:after="60"/>
        <w:ind w:left="357" w:hanging="357"/>
        <w:jc w:val="center"/>
        <w:outlineLvl w:val="0"/>
        <w:rPr>
          <w:rFonts w:eastAsia="Calibri"/>
          <w:b/>
          <w:color w:val="000000" w:themeColor="text1"/>
          <w:sz w:val="24"/>
          <w:szCs w:val="24"/>
          <w:lang w:eastAsia="x-none"/>
        </w:rPr>
      </w:pPr>
      <w:r>
        <w:rPr>
          <w:i/>
          <w:color w:val="000000" w:themeColor="text1"/>
          <w:sz w:val="24"/>
          <w:szCs w:val="24"/>
        </w:rPr>
        <w:t xml:space="preserve"> </w:t>
      </w:r>
      <w:bookmarkStart w:id="25" w:name="_Toc193258107"/>
      <w:bookmarkStart w:id="26" w:name="_Toc53393312"/>
      <w:r>
        <w:rPr>
          <w:rFonts w:eastAsia="Calibri"/>
          <w:b/>
          <w:color w:val="000000" w:themeColor="text1"/>
          <w:sz w:val="24"/>
          <w:szCs w:val="24"/>
          <w:lang w:eastAsia="x-none"/>
        </w:rPr>
        <w:t>Требования к документации по ценообразованию</w:t>
      </w:r>
      <w:bookmarkEnd w:id="26"/>
      <w:r>
        <w:rPr>
          <w:rFonts w:eastAsia="Calibri"/>
          <w:b/>
          <w:color w:val="000000" w:themeColor="text1"/>
          <w:sz w:val="24"/>
          <w:szCs w:val="24"/>
          <w:lang w:eastAsia="x-none"/>
        </w:rPr>
        <w:t xml:space="preserve"> на этапе закупки</w:t>
      </w:r>
      <w:bookmarkEnd w:id="25"/>
    </w:p>
    <w:p>
      <w:pPr>
        <w:pStyle w:val="Normal"/>
        <w:numPr>
          <w:ilvl w:val="1"/>
          <w:numId w:val="6"/>
        </w:numPr>
        <w:tabs>
          <w:tab w:val="clear" w:pos="708"/>
          <w:tab w:val="left" w:pos="349" w:leader="none"/>
        </w:tabs>
        <w:spacing w:before="0" w:after="0"/>
        <w:ind w:left="1429" w:right="-2" w:hanging="72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bookmarkStart w:id="27" w:name="_Hlk67308465"/>
      <w:r>
        <w:rPr>
          <w:rFonts w:eastAsia="Calibri"/>
          <w:color w:val="000000" w:themeColor="text1"/>
          <w:sz w:val="24"/>
          <w:szCs w:val="24"/>
        </w:rPr>
        <w:t xml:space="preserve">В обоснование стоимости своей заявки Участнику необходимо предоставить Коммерческое предложение по форме </w:t>
      </w:r>
      <w:bookmarkStart w:id="28" w:name="_Hlk88327450"/>
      <w:r>
        <w:rPr>
          <w:rFonts w:eastAsia="Calibri"/>
          <w:color w:val="000000" w:themeColor="text1"/>
          <w:sz w:val="24"/>
          <w:szCs w:val="24"/>
        </w:rPr>
        <w:t>(с учетом прилагаемой к ней инструкции по заполнению)</w:t>
      </w:r>
      <w:bookmarkEnd w:id="28"/>
      <w:r>
        <w:rPr>
          <w:rFonts w:eastAsia="Calibri"/>
          <w:color w:val="000000" w:themeColor="text1"/>
          <w:sz w:val="24"/>
          <w:szCs w:val="24"/>
        </w:rPr>
        <w:t>, приведенной в Документации о закупке</w:t>
      </w:r>
      <w:bookmarkEnd w:id="27"/>
      <w:r>
        <w:rPr>
          <w:rFonts w:eastAsia="Calibri"/>
          <w:color w:val="000000" w:themeColor="text1"/>
          <w:sz w:val="24"/>
          <w:szCs w:val="24"/>
        </w:rPr>
        <w:t>, с приложением информационной справки о стоимости сопутствующих услуг по шефмонтажу, шефналадке в произвольной форме.</w:t>
      </w:r>
    </w:p>
    <w:p>
      <w:pPr>
        <w:pStyle w:val="Normal"/>
        <w:numPr>
          <w:ilvl w:val="1"/>
          <w:numId w:val="6"/>
        </w:numPr>
        <w:tabs>
          <w:tab w:val="clear" w:pos="708"/>
          <w:tab w:val="left" w:pos="349" w:leader="none"/>
        </w:tabs>
        <w:spacing w:before="0" w:after="0"/>
        <w:ind w:left="1429" w:right="-2" w:hanging="72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4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49" w:leader="none"/>
        </w:tabs>
        <w:spacing w:before="0" w:after="0"/>
        <w:ind w:left="1429" w:right="-2" w:hanging="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numPr>
          <w:ilvl w:val="1"/>
          <w:numId w:val="6"/>
        </w:numPr>
        <w:tabs>
          <w:tab w:val="clear" w:pos="708"/>
          <w:tab w:val="left" w:pos="349" w:leader="none"/>
        </w:tabs>
        <w:spacing w:before="0" w:after="0"/>
        <w:ind w:left="1429" w:right="-2" w:hanging="720"/>
        <w:contextualSpacing/>
        <w:jc w:val="both"/>
        <w:rPr>
          <w:rFonts w:eastAsia="Calibri"/>
          <w:bCs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Разработка расчета стоимости услуг (шефмонтажных и шефналадочных работ) осуществляется при исполнении договора в соответствии с договорными условиями и приложением №4 к настоящим Техническим требованиям «Требования к оформлению и составлению сметной документации».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49" w:leader="none"/>
        </w:tabs>
        <w:spacing w:before="0" w:after="0"/>
        <w:ind w:left="1429" w:right="-2" w:hanging="0"/>
        <w:contextualSpacing/>
        <w:jc w:val="both"/>
        <w:rPr>
          <w:rFonts w:eastAsia="Calibri"/>
          <w:bCs/>
          <w:color w:val="000000" w:themeColor="text1"/>
          <w:sz w:val="24"/>
          <w:szCs w:val="24"/>
        </w:rPr>
      </w:pPr>
      <w:r>
        <w:rPr>
          <w:rFonts w:eastAsia="Calibri"/>
          <w:bCs/>
          <w:color w:val="000000" w:themeColor="text1"/>
          <w:sz w:val="24"/>
          <w:szCs w:val="24"/>
        </w:rPr>
      </w:r>
    </w:p>
    <w:p>
      <w:pPr>
        <w:pStyle w:val="Normal"/>
        <w:numPr>
          <w:ilvl w:val="1"/>
          <w:numId w:val="6"/>
        </w:numPr>
        <w:tabs>
          <w:tab w:val="clear" w:pos="708"/>
          <w:tab w:val="left" w:pos="349" w:leader="none"/>
        </w:tabs>
        <w:spacing w:before="0" w:after="0"/>
        <w:ind w:left="1429" w:right="-2" w:hanging="720"/>
        <w:contextualSpacing/>
        <w:jc w:val="both"/>
        <w:rPr>
          <w:rFonts w:eastAsia="Calibri"/>
          <w:bCs/>
          <w:color w:val="000000" w:themeColor="text1"/>
          <w:sz w:val="24"/>
          <w:szCs w:val="24"/>
        </w:rPr>
      </w:pPr>
      <w:r>
        <w:rPr>
          <w:rFonts w:eastAsia="Calibri"/>
          <w:bCs/>
          <w:color w:val="000000" w:themeColor="text1"/>
          <w:sz w:val="24"/>
          <w:szCs w:val="24"/>
        </w:rPr>
        <w:t>Отразить стоимость поставляемой продукции с учетом затрат на изготовление, транспортировку и поставку основного оборудования, приемо-сдаточных испытаний, погрузки и транспортировки, разгрузки и складирования</w:t>
      </w:r>
    </w:p>
    <w:p>
      <w:pPr>
        <w:pStyle w:val="Normal"/>
        <w:keepNext w:val="true"/>
        <w:keepLines/>
        <w:numPr>
          <w:ilvl w:val="0"/>
          <w:numId w:val="101"/>
        </w:numPr>
        <w:spacing w:before="120" w:after="60"/>
        <w:ind w:left="357" w:hanging="357"/>
        <w:jc w:val="center"/>
        <w:outlineLvl w:val="0"/>
        <w:rPr>
          <w:rFonts w:eastAsia="Calibri"/>
          <w:b/>
          <w:color w:val="000000" w:themeColor="text1"/>
          <w:sz w:val="24"/>
          <w:szCs w:val="24"/>
          <w:lang w:eastAsia="x-none"/>
        </w:rPr>
      </w:pPr>
      <w:bookmarkStart w:id="29" w:name="_Toc193258108"/>
      <w:r>
        <w:rPr>
          <w:rFonts w:eastAsia="Calibri"/>
          <w:b/>
          <w:color w:val="000000" w:themeColor="text1"/>
          <w:sz w:val="24"/>
          <w:szCs w:val="24"/>
          <w:lang w:eastAsia="x-none"/>
        </w:rPr>
        <w:t>Требования к документации по ценообразованию на этапе заключения (исполнения) договора</w:t>
      </w:r>
      <w:bookmarkEnd w:id="29"/>
    </w:p>
    <w:p>
      <w:pPr>
        <w:pStyle w:val="Normal"/>
        <w:numPr>
          <w:ilvl w:val="0"/>
          <w:numId w:val="102"/>
        </w:numPr>
        <w:spacing w:before="0" w:after="0"/>
        <w:ind w:left="450" w:right="-2" w:hanging="450"/>
        <w:contextualSpacing/>
        <w:jc w:val="both"/>
        <w:rPr>
          <w:rFonts w:eastAsia="Calibri"/>
          <w:vanish/>
          <w:color w:val="000000" w:themeColor="text1"/>
          <w:sz w:val="24"/>
          <w:szCs w:val="24"/>
        </w:rPr>
      </w:pPr>
      <w:r>
        <w:rPr>
          <w:rFonts w:eastAsia="Calibri"/>
          <w:vanish/>
          <w:color w:val="000000" w:themeColor="text1"/>
          <w:sz w:val="24"/>
          <w:szCs w:val="24"/>
        </w:rPr>
      </w:r>
    </w:p>
    <w:p>
      <w:pPr>
        <w:pStyle w:val="Normal"/>
        <w:numPr>
          <w:ilvl w:val="1"/>
          <w:numId w:val="103"/>
        </w:numPr>
        <w:tabs>
          <w:tab w:val="clear" w:pos="708"/>
          <w:tab w:val="left" w:pos="349" w:leader="none"/>
        </w:tabs>
        <w:spacing w:before="0" w:after="0"/>
        <w:ind w:left="1474" w:hanging="737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bookmarkStart w:id="30" w:name="_Toc163134025"/>
      <w:r>
        <w:rPr>
          <w:rFonts w:eastAsia="Calibri"/>
          <w:color w:val="000000" w:themeColor="text1"/>
          <w:sz w:val="24"/>
          <w:szCs w:val="24"/>
        </w:rPr>
        <w:t>В рамках реализации договора сметную документацию в обоснование стоимости сопутствующих услуг (шефмонтаж, шефналадка) необходимо составлять и оформлять в соответствии с требованиями к оформлению и составлению сметной документации на оказание услуг по шефмонтажу и шефналадке, указанными в Приложении № 4 к настоящим Техническим требованиям».</w:t>
      </w:r>
      <w:bookmarkEnd w:id="30"/>
    </w:p>
    <w:p>
      <w:pPr>
        <w:pStyle w:val="Normal"/>
        <w:numPr>
          <w:ilvl w:val="0"/>
          <w:numId w:val="0"/>
        </w:numPr>
        <w:tabs>
          <w:tab w:val="clear" w:pos="708"/>
          <w:tab w:val="left" w:pos="349" w:leader="none"/>
        </w:tabs>
        <w:spacing w:before="0" w:after="0"/>
        <w:ind w:left="1474" w:hanging="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rFonts w:eastAsia="Calibri"/>
          <w:b/>
          <w:iCs/>
          <w:color w:val="000000" w:themeColor="text1"/>
          <w:sz w:val="24"/>
          <w:szCs w:val="24"/>
          <w:lang w:eastAsia="x-none"/>
        </w:rPr>
        <w:t>Приложения: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№1. Чертеж  затвора №320966 эскиз штанги, эскиз подхвата отсасывающих труб гидроагрегатов   Чирюртской ГЭС-1 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№2. Руководящий Документ ГМ-02-18;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№3. Руководящий Документ 34 02.028-2007;</w:t>
      </w:r>
    </w:p>
    <w:p>
      <w:pPr>
        <w:pStyle w:val="Normal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Приложение №4. Требования к оформлению и составлению сметной документации на работы по программе реконструкции и техническому перевооружению.</w:t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b/>
        <w:bCs/>
      </w:rPr>
    </w:pPr>
    <w:r>
      <w:rPr>
        <w:b/>
        <w:bCs/>
      </w:rPr>
      <w:t>г. Каспийск 2026г.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 xml:space="preserve">                                                                                  </w:t>
    </w:r>
    <w:r>
      <w:rPr/>
      <w:t>УТВЕРЖДАЮ</w:t>
    </w:r>
  </w:p>
  <w:p>
    <w:pPr>
      <w:pStyle w:val="Header"/>
      <w:jc w:val="both"/>
      <w:rPr/>
    </w:pPr>
    <w:r>
      <w:rPr/>
      <w:t xml:space="preserve">                                                                                             </w:t>
    </w:r>
    <w:r>
      <w:rPr/>
      <w:t>Первый заместитель  директора</w:t>
    </w:r>
  </w:p>
  <w:p>
    <w:pPr>
      <w:pStyle w:val="Header"/>
      <w:jc w:val="both"/>
      <w:rPr/>
    </w:pPr>
    <w:r>
      <w:rPr/>
      <w:t xml:space="preserve">                                                                                            </w:t>
    </w:r>
    <w:r>
      <w:rPr/>
      <w:t xml:space="preserve">- главный инженер  Филиала ПАО </w:t>
    </w:r>
  </w:p>
  <w:p>
    <w:pPr>
      <w:pStyle w:val="Header"/>
      <w:jc w:val="both"/>
      <w:rPr/>
    </w:pPr>
    <w:r>
      <w:rPr/>
      <w:t xml:space="preserve">                                                                                             </w:t>
    </w:r>
    <w:r>
      <w:rPr/>
      <w:t xml:space="preserve">«РусГидро» - «Дагестанский филиал      </w:t>
    </w:r>
  </w:p>
  <w:p>
    <w:pPr>
      <w:pStyle w:val="Header"/>
      <w:jc w:val="both"/>
      <w:rPr/>
    </w:pPr>
    <w:r>
      <w:rPr/>
      <w:t xml:space="preserve">                                                                                              </w:t>
    </w:r>
    <w:r>
      <w:rPr/>
      <w:t>________________М.Ш. Магомедов</w:t>
    </w:r>
  </w:p>
  <w:p>
    <w:pPr>
      <w:pStyle w:val="Header"/>
      <w:jc w:val="both"/>
      <w:rPr/>
    </w:pPr>
    <w:r>
      <w:rPr/>
      <w:t xml:space="preserve">                                                                                             </w:t>
    </w:r>
    <w:r>
      <w:rPr/>
      <w:t>«_____»___________________2026г.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3"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abstractNum w:abstractNumId="5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7"/>
    <w:lvlOverride w:ilvl="0">
      <w:startOverride w:val="1"/>
    </w:lvlOverride>
  </w:num>
  <w:num w:numId="57">
    <w:abstractNumId w:val="7"/>
  </w:num>
  <w:num w:numId="58">
    <w:abstractNumId w:val="7"/>
  </w:num>
  <w:num w:numId="59">
    <w:abstractNumId w:val="7"/>
  </w:num>
  <w:num w:numId="60">
    <w:abstractNumId w:val="7"/>
  </w:num>
  <w:num w:numId="61">
    <w:abstractNumId w:val="7"/>
  </w:num>
  <w:num w:numId="62">
    <w:abstractNumId w:val="7"/>
  </w:num>
  <w:num w:numId="63">
    <w:abstractNumId w:val="7"/>
  </w:num>
  <w:num w:numId="64">
    <w:abstractNumId w:val="7"/>
  </w:num>
  <w:num w:numId="65">
    <w:abstractNumId w:val="7"/>
  </w:num>
  <w:num w:numId="66">
    <w:abstractNumId w:val="7"/>
  </w:num>
  <w:num w:numId="67">
    <w:abstractNumId w:val="18"/>
    <w:lvlOverride w:ilvl="0">
      <w:startOverride w:val="1"/>
    </w:lvlOverride>
  </w:num>
  <w:num w:numId="68">
    <w:abstractNumId w:val="18"/>
  </w:num>
  <w:num w:numId="69">
    <w:abstractNumId w:val="18"/>
  </w:num>
  <w:num w:numId="70">
    <w:abstractNumId w:val="18"/>
  </w:num>
  <w:num w:numId="71">
    <w:abstractNumId w:val="18"/>
  </w:num>
  <w:num w:numId="72">
    <w:abstractNumId w:val="18"/>
  </w:num>
  <w:num w:numId="73">
    <w:abstractNumId w:val="18"/>
  </w:num>
  <w:num w:numId="74">
    <w:abstractNumId w:val="18"/>
  </w:num>
  <w:num w:numId="75">
    <w:abstractNumId w:val="18"/>
  </w:num>
  <w:num w:numId="76">
    <w:abstractNumId w:val="18"/>
  </w:num>
  <w:num w:numId="77">
    <w:abstractNumId w:val="18"/>
  </w:num>
  <w:num w:numId="78">
    <w:abstractNumId w:val="18"/>
  </w:num>
  <w:num w:numId="79">
    <w:abstractNumId w:val="18"/>
  </w:num>
  <w:num w:numId="80">
    <w:abstractNumId w:val="18"/>
  </w:num>
  <w:num w:numId="81">
    <w:abstractNumId w:val="18"/>
  </w:num>
  <w:num w:numId="82">
    <w:abstractNumId w:val="18"/>
  </w:num>
  <w:num w:numId="83">
    <w:abstractNumId w:val="18"/>
  </w:num>
  <w:num w:numId="84">
    <w:abstractNumId w:val="18"/>
  </w:num>
  <w:num w:numId="85">
    <w:abstractNumId w:val="18"/>
  </w:num>
  <w:num w:numId="86">
    <w:abstractNumId w:val="18"/>
  </w:num>
  <w:num w:numId="87">
    <w:abstractNumId w:val="18"/>
  </w:num>
  <w:num w:numId="88">
    <w:abstractNumId w:val="18"/>
  </w:num>
  <w:num w:numId="89">
    <w:abstractNumId w:val="18"/>
  </w:num>
  <w:num w:numId="90">
    <w:abstractNumId w:val="18"/>
  </w:num>
  <w:num w:numId="91">
    <w:abstractNumId w:val="18"/>
  </w:num>
  <w:num w:numId="92">
    <w:abstractNumId w:val="18"/>
  </w:num>
  <w:num w:numId="93">
    <w:abstractNumId w:val="18"/>
  </w:num>
  <w:num w:numId="94">
    <w:abstractNumId w:val="18"/>
  </w:num>
  <w:num w:numId="95">
    <w:abstractNumId w:val="18"/>
  </w:num>
  <w:num w:numId="96">
    <w:abstractNumId w:val="18"/>
  </w:num>
  <w:num w:numId="97">
    <w:abstractNumId w:val="18"/>
  </w:num>
  <w:num w:numId="98">
    <w:abstractNumId w:val="18"/>
  </w:num>
  <w:num w:numId="99">
    <w:abstractNumId w:val="18"/>
  </w:num>
  <w:num w:numId="100">
    <w:abstractNumId w:val="7"/>
  </w:num>
  <w:num w:numId="101">
    <w:abstractNumId w:val="7"/>
  </w:num>
  <w:num w:numId="102">
    <w:abstractNumId w:val="6"/>
  </w:num>
  <w:num w:numId="103">
    <w:abstractNumId w:val="7"/>
  </w:num>
</w:numbering>
</file>

<file path=word/settings.xml><?xml version="1.0" encoding="utf-8"?>
<w:settings xmlns:w="http://schemas.openxmlformats.org/wordprocessingml/2006/main">
  <w:zoom w:percent="85"/>
  <w:revisionView w:insDel="0" w:formatting="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f1d1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6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4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4" w:customStyle="1">
    <w:name w:val="line number4"/>
    <w:qFormat/>
    <w:rPr/>
  </w:style>
  <w:style w:type="character" w:styleId="Linenumber5" w:customStyle="1">
    <w:name w:val="line number5"/>
    <w:qFormat/>
    <w:rPr/>
  </w:style>
  <w:style w:type="character" w:styleId="Linenumber6">
    <w:name w:val="line number6"/>
    <w:qFormat/>
    <w:rPr/>
  </w:style>
  <w:style w:type="character" w:styleId="WW8Num2z0">
    <w:name w:val="WW8Num2z0"/>
    <w:qFormat/>
    <w:rPr/>
  </w:style>
  <w:style w:type="character" w:styleId="LineNumber">
    <w:name w:val="Line Number"/>
    <w:rPr/>
  </w:style>
  <w:style w:type="character" w:styleId="Pagenumber1">
    <w:name w:val="page number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rong1">
    <w:name w:val="Strong1"/>
    <w:qFormat/>
    <w:rPr>
      <w:b/>
      <w:bCs/>
    </w:rPr>
  </w:style>
  <w:style w:type="character" w:styleId="EndnoteReference1">
    <w:name w:val="Endnote Reference1"/>
    <w:qFormat/>
    <w:rPr>
      <w:vertAlign w:val="superscript"/>
    </w:rPr>
  </w:style>
  <w:style w:type="character" w:styleId="FootnoteReference1">
    <w:name w:val="Footnote Reference1"/>
    <w:qFormat/>
    <w:rPr>
      <w:vertAlign w:val="superscript"/>
    </w:rPr>
  </w:style>
  <w:style w:type="character" w:styleId="Style16">
    <w:name w:val="Заголовок Знак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Style17">
    <w:name w:val="Схема документа Знак"/>
    <w:qFormat/>
    <w:rPr>
      <w:rFonts w:ascii="Tahoma" w:hAnsi="Tahoma" w:cs="Tahoma"/>
      <w:sz w:val="16"/>
      <w:szCs w:val="16"/>
    </w:rPr>
  </w:style>
  <w:style w:type="character" w:styleId="Apple-converted-space">
    <w:name w:val="apple-converted-space"/>
    <w:qFormat/>
    <w:rPr/>
  </w:style>
  <w:style w:type="character" w:styleId="Apple-style-span">
    <w:name w:val="apple-style-span"/>
    <w:qFormat/>
    <w:rPr/>
  </w:style>
  <w:style w:type="character" w:styleId="Style18">
    <w:name w:val="Тема примечания Знак"/>
    <w:qFormat/>
    <w:rPr>
      <w:b/>
      <w:bCs/>
    </w:rPr>
  </w:style>
  <w:style w:type="character" w:styleId="Style1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20">
    <w:name w:val="Нижний колонтитул Знак"/>
    <w:qFormat/>
    <w:rPr>
      <w:sz w:val="28"/>
      <w:szCs w:val="28"/>
    </w:rPr>
  </w:style>
  <w:style w:type="character" w:styleId="Style21">
    <w:name w:val="Без интервала Знак"/>
    <w:qFormat/>
    <w:rPr>
      <w:rFonts w:eastAsia="Calibri"/>
      <w:sz w:val="24"/>
      <w:szCs w:val="24"/>
    </w:rPr>
  </w:style>
  <w:style w:type="character" w:styleId="91">
    <w:name w:val="Знак Знак9"/>
    <w:qFormat/>
    <w:rPr>
      <w:rFonts w:ascii="Arial" w:hAnsi="Arial" w:eastAsia="Times New Roman" w:cs="Arial"/>
      <w:b/>
      <w:bCs/>
      <w:sz w:val="26"/>
      <w:szCs w:val="26"/>
    </w:rPr>
  </w:style>
  <w:style w:type="character" w:styleId="23">
    <w:name w:val="Основной текст 2 Знак"/>
    <w:qFormat/>
    <w:rPr>
      <w:sz w:val="28"/>
      <w:szCs w:val="28"/>
    </w:rPr>
  </w:style>
  <w:style w:type="character" w:styleId="Style22">
    <w:name w:val="Основной текст с отступом Знак"/>
    <w:qFormat/>
    <w:rPr>
      <w:sz w:val="24"/>
      <w:szCs w:val="24"/>
    </w:rPr>
  </w:style>
  <w:style w:type="character" w:styleId="ListParagraphChar">
    <w:name w:val="List Paragraph Char"/>
    <w:qFormat/>
    <w:rPr>
      <w:rFonts w:ascii="Calibri" w:hAnsi="Calibri" w:cs="Calibri"/>
      <w:sz w:val="22"/>
      <w:szCs w:val="22"/>
    </w:rPr>
  </w:style>
  <w:style w:type="character" w:styleId="Style23">
    <w:name w:val="Название книги"/>
    <w:qFormat/>
    <w:rPr>
      <w:b/>
      <w:bCs/>
      <w:smallCaps/>
      <w:spacing w:val="5"/>
    </w:rPr>
  </w:style>
  <w:style w:type="character" w:styleId="Style24">
    <w:name w:val="Сильная ссылка"/>
    <w:qFormat/>
    <w:rPr>
      <w:b/>
      <w:bCs/>
      <w:smallCaps/>
      <w:color w:val="C0504D"/>
      <w:spacing w:val="5"/>
      <w:u w:val="single"/>
    </w:rPr>
  </w:style>
  <w:style w:type="character" w:styleId="Style25">
    <w:name w:val="Слабая ссылка"/>
    <w:qFormat/>
    <w:rPr>
      <w:smallCaps/>
      <w:color w:val="C0504D"/>
      <w:u w:val="single"/>
    </w:rPr>
  </w:style>
  <w:style w:type="character" w:styleId="Style26">
    <w:name w:val="Сильное выделение"/>
    <w:qFormat/>
    <w:rPr>
      <w:b/>
      <w:bCs/>
      <w:i/>
      <w:iCs/>
      <w:color w:val="4F81BD"/>
    </w:rPr>
  </w:style>
  <w:style w:type="character" w:styleId="Style27">
    <w:name w:val="Слабое выделение"/>
    <w:qFormat/>
    <w:rPr>
      <w:i/>
      <w:iCs/>
      <w:color w:val="808080"/>
    </w:rPr>
  </w:style>
  <w:style w:type="character" w:styleId="Style28">
    <w:name w:val="Знак примечания"/>
    <w:qFormat/>
    <w:rPr>
      <w:sz w:val="16"/>
      <w:szCs w:val="16"/>
    </w:rPr>
  </w:style>
  <w:style w:type="character" w:styleId="Style29">
    <w:name w:val="Основной шрифт абзаца"/>
    <w:qFormat/>
    <w:rPr/>
  </w:style>
  <w:style w:type="character" w:styleId="WW8Num28z0">
    <w:name w:val="WW8Num28z0"/>
    <w:qFormat/>
    <w:rPr/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6z0">
    <w:name w:val="WW8Num26z0"/>
    <w:qFormat/>
    <w:rPr/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0">
    <w:name w:val="WW8Num25z0"/>
    <w:qFormat/>
    <w:rPr>
      <w:rFonts w:ascii="Times New Roman" w:hAnsi="Times New Roman" w:eastAsia="Times New Roman" w:cs="Times New Roman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0">
    <w:name w:val="WW8Num24z0"/>
    <w:qFormat/>
    <w:rPr>
      <w:rFonts w:ascii="Times New Roman" w:hAnsi="Times New Roman" w:cs="Times New Roman"/>
    </w:rPr>
  </w:style>
  <w:style w:type="character" w:styleId="WW8Num23z1">
    <w:name w:val="WW8Num23z1"/>
    <w:qFormat/>
    <w:rPr>
      <w:i w:val="false"/>
    </w:rPr>
  </w:style>
  <w:style w:type="character" w:styleId="WW8Num23z0">
    <w:name w:val="WW8Num23z0"/>
    <w:qFormat/>
    <w:rPr/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0">
    <w:name w:val="WW8Num22z0"/>
    <w:qFormat/>
    <w:rPr>
      <w:rFonts w:ascii="Times New Roman" w:hAnsi="Times New Roman" w:cs="Times New Roman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3z0">
    <w:name w:val="WW8Num13z0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>
      <w:rFonts w:ascii="Times New Roman" w:hAnsi="Times New Roman" w:cs="Times New Roman"/>
      <w:b/>
    </w:rPr>
  </w:style>
  <w:style w:type="character" w:styleId="WW8Num12z0">
    <w:name w:val="WW8Num12z0"/>
    <w:qFormat/>
    <w:rPr>
      <w:u w:val="none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4z1">
    <w:name w:val="WW8Num4z1"/>
    <w:qFormat/>
    <w:rPr/>
  </w:style>
  <w:style w:type="character" w:styleId="WW8Num4z0">
    <w:name w:val="WW8Num4z0"/>
    <w:qFormat/>
    <w:rPr>
      <w:b/>
    </w:rPr>
  </w:style>
  <w:style w:type="character" w:styleId="WW8Num1z0">
    <w:name w:val="WW8Num1z0"/>
    <w:qFormat/>
    <w:rPr>
      <w:rFonts w:ascii="Times New Roman" w:hAnsi="Times New Roman" w:eastAsia="Times New Roman" w:cs="Times New Roman"/>
      <w:b w:val="false"/>
    </w:rPr>
  </w:style>
  <w:style w:type="character" w:styleId="WW8Num16z1">
    <w:name w:val="WW8Num16z1"/>
    <w:qFormat/>
    <w:rPr>
      <w:b/>
      <w:bCs/>
      <w:i w:val="false"/>
      <w:iCs/>
      <w:sz w:val="24"/>
      <w:szCs w:val="24"/>
    </w:rPr>
  </w:style>
  <w:style w:type="character" w:styleId="WW8Num16z0">
    <w:name w:val="WW8Num16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8"/>
      <w:szCs w:val="28"/>
      <w:u w:val="none"/>
      <w:em w:val="none"/>
    </w:rPr>
  </w:style>
  <w:style w:type="character" w:styleId="WW8Num14z1">
    <w:name w:val="WW8Num14z1"/>
    <w:qFormat/>
    <w:rPr>
      <w:b/>
      <w:bCs/>
      <w:i w:val="false"/>
      <w:iCs/>
      <w:sz w:val="24"/>
      <w:szCs w:val="24"/>
    </w:rPr>
  </w:style>
  <w:style w:type="character" w:styleId="WW8Num14z0">
    <w:name w:val="WW8Num14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8"/>
      <w:szCs w:val="28"/>
      <w:u w:val="none"/>
      <w:em w:val="none"/>
    </w:rPr>
  </w:style>
  <w:style w:type="character" w:styleId="WW8Num11z4">
    <w:name w:val="WW8Num11z4"/>
    <w:qFormat/>
    <w:rPr>
      <w:rFonts w:ascii="Times New Roman" w:hAnsi="Times New Roman" w:cs="Times New Roman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0">
    <w:name w:val="WW8Num10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7z1">
    <w:name w:val="WW8Num7z1"/>
    <w:qFormat/>
    <w:rPr>
      <w:i w:val="false"/>
    </w:rPr>
  </w:style>
  <w:style w:type="character" w:styleId="WW8Num7z0">
    <w:name w:val="WW8Num7z0"/>
    <w:qFormat/>
    <w:rPr/>
  </w:style>
  <w:style w:type="character" w:styleId="WW8Num6z0">
    <w:name w:val="WW8Num6z0"/>
    <w:qFormat/>
    <w:rPr>
      <w:rFonts w:ascii="Times New Roman" w:hAnsi="Times New Roman" w:cs="Times New Roman"/>
    </w:rPr>
  </w:style>
  <w:style w:type="character" w:styleId="WW8Num5z0">
    <w:name w:val="WW8Num5z0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>
      <w:b/>
    </w:rPr>
  </w:style>
  <w:style w:type="paragraph" w:styleId="Style3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3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Style32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3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4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11" w:customStyle="1">
    <w:name w:val="caption11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30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0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1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2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3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4" w:customStyle="1">
    <w:name w:val="Подподпункт"/>
    <w:basedOn w:val="Style36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5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6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7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.HEADERTEXT"/>
    <w:basedOn w:val="Normal"/>
    <w:uiPriority w:val="99"/>
    <w:qFormat/>
    <w:rsid w:val="00fa4ccd"/>
    <w:pPr/>
    <w:rPr>
      <w:rFonts w:eastAsia="Calibri" w:eastAsiaTheme="minorHAnsi"/>
      <w:color w:val="2B4279"/>
      <w:sz w:val="24"/>
      <w:szCs w:val="24"/>
    </w:rPr>
  </w:style>
  <w:style w:type="paragraph" w:styleId="Style48" w:customStyle="1">
    <w:name w:val="Содержимое врезки"/>
    <w:basedOn w:val="Normal"/>
    <w:qFormat/>
    <w:pPr/>
    <w:rPr/>
  </w:style>
  <w:style w:type="paragraph" w:styleId="Style4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50" w:customStyle="1">
    <w:name w:val="Заголовок таблицы"/>
    <w:basedOn w:val="Style49"/>
    <w:qFormat/>
    <w:pPr>
      <w:jc w:val="center"/>
    </w:pPr>
    <w:rPr>
      <w:b/>
      <w:bCs/>
    </w:rPr>
  </w:style>
  <w:style w:type="paragraph" w:styleId="Caption12">
    <w:name w:val="caption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2">
    <w:name w:val="caption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2">
    <w:name w:val="caption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2">
    <w:name w:val="caption1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2">
    <w:name w:val="caption11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2">
    <w:name w:val="caption111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2">
    <w:name w:val="caption1111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2">
    <w:name w:val="caption111111112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210">
    <w:name w:val="Абзац списка2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cs="Calibri"/>
      <w:sz w:val="22"/>
      <w:szCs w:val="22"/>
    </w:rPr>
  </w:style>
  <w:style w:type="paragraph" w:styleId="Style51">
    <w:name w:val="Схема документа"/>
    <w:basedOn w:val="Normal"/>
    <w:qFormat/>
    <w:pPr/>
    <w:rPr>
      <w:rFonts w:ascii="Tahoma" w:hAnsi="Tahoma" w:cs="Tahoma"/>
      <w:sz w:val="16"/>
      <w:szCs w:val="16"/>
    </w:rPr>
  </w:style>
  <w:style w:type="paragraph" w:styleId="37">
    <w:name w:val="Пункт_3"/>
    <w:basedOn w:val="Normal"/>
    <w:qFormat/>
    <w:pPr>
      <w:tabs>
        <w:tab w:val="clear" w:pos="708"/>
        <w:tab w:val="left" w:pos="1134" w:leader="none"/>
      </w:tabs>
      <w:spacing w:lineRule="auto" w:line="360"/>
      <w:ind w:left="1134" w:hanging="1133"/>
      <w:jc w:val="both"/>
    </w:pPr>
    <w:rPr>
      <w:szCs w:val="20"/>
    </w:rPr>
  </w:style>
  <w:style w:type="paragraph" w:styleId="110">
    <w:name w:val="Пункт1"/>
    <w:basedOn w:val="Normal"/>
    <w:qFormat/>
    <w:pPr>
      <w:tabs>
        <w:tab w:val="clear" w:pos="708"/>
        <w:tab w:val="left" w:pos="567" w:leader="none"/>
      </w:tabs>
      <w:spacing w:lineRule="auto" w:line="360" w:before="240" w:after="0"/>
      <w:ind w:left="567" w:hanging="279"/>
      <w:jc w:val="center"/>
    </w:pPr>
    <w:rPr>
      <w:rFonts w:ascii="Arial" w:hAnsi="Arial" w:cs="Arial"/>
      <w:b/>
    </w:rPr>
  </w:style>
  <w:style w:type="paragraph" w:styleId="Style52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spacing w:lineRule="auto" w:line="360"/>
      <w:ind w:left="1718" w:hanging="1008"/>
      <w:jc w:val="both"/>
    </w:pPr>
    <w:rPr>
      <w:szCs w:val="20"/>
    </w:rPr>
  </w:style>
  <w:style w:type="paragraph" w:styleId="Style53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  <w:tab w:val="left" w:pos="1844" w:leader="none"/>
      </w:tabs>
      <w:spacing w:lineRule="auto" w:line="360"/>
      <w:ind w:left="1844" w:hanging="567"/>
      <w:jc w:val="both"/>
    </w:pPr>
    <w:rPr>
      <w:b/>
      <w:szCs w:val="20"/>
    </w:rPr>
  </w:style>
  <w:style w:type="paragraph" w:styleId="Style54">
    <w:name w:val="Текст таблицы"/>
    <w:basedOn w:val="Normal"/>
    <w:qFormat/>
    <w:pPr>
      <w:spacing w:before="40" w:after="40"/>
      <w:ind w:left="57" w:right="57" w:hanging="0"/>
    </w:pPr>
    <w:rPr>
      <w:sz w:val="24"/>
      <w:szCs w:val="24"/>
    </w:rPr>
  </w:style>
  <w:style w:type="paragraph" w:styleId="Style55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/>
    </w:rPr>
  </w:style>
  <w:style w:type="paragraph" w:styleId="DefaultParagraphFontParaCharChar">
    <w:name w:val="Default Paragraph Font Para Char Char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0"/>
      <w:szCs w:val="20"/>
      <w:lang w:val="en-US"/>
    </w:rPr>
  </w:style>
  <w:style w:type="paragraph" w:styleId="Style56">
    <w:name w:val="Рецензия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Style57">
    <w:name w:val="Электронная подпись"/>
    <w:basedOn w:val="Normal"/>
    <w:qFormat/>
    <w:pPr/>
    <w:rPr>
      <w:rFonts w:eastAsia="Calibri"/>
      <w:sz w:val="24"/>
      <w:szCs w:val="24"/>
    </w:rPr>
  </w:style>
  <w:style w:type="paragraph" w:styleId="TOCHeading1">
    <w:name w:val="TOC Heading1"/>
    <w:basedOn w:val="Heading1"/>
    <w:next w:val="Normal"/>
    <w:qFormat/>
    <w:pPr>
      <w:keepLines/>
      <w:spacing w:before="480" w:after="120"/>
    </w:pPr>
    <w:rPr>
      <w:rFonts w:ascii="Cambria" w:hAnsi="Cambria" w:cs="Cambria"/>
      <w:b/>
      <w:bCs w:val="false"/>
      <w:color w:val="365F91"/>
    </w:rPr>
  </w:style>
  <w:style w:type="paragraph" w:styleId="Style58">
    <w:name w:val="Выделенная цитата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211">
    <w:name w:val="Цитата 2"/>
    <w:basedOn w:val="Normal"/>
    <w:next w:val="Normal"/>
    <w:qFormat/>
    <w:pPr/>
    <w:rPr>
      <w:rFonts w:ascii="Calibri" w:hAnsi="Calibri" w:eastAsia="Calibri" w:cs="Calibri"/>
      <w:i/>
      <w:iCs/>
      <w:color w:val="000000"/>
      <w:sz w:val="20"/>
      <w:szCs w:val="20"/>
    </w:rPr>
  </w:style>
  <w:style w:type="paragraph" w:styleId="Style59">
    <w:name w:val="Абзац списка"/>
    <w:basedOn w:val="Normal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Style60">
    <w:name w:val="Название объекта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tyle61">
    <w:name w:val="Без интервала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tyle62">
    <w:name w:val="Обычный (веб)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Style63">
    <w:name w:val="Тема примечания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Style64">
    <w:name w:val="Текст примечания"/>
    <w:basedOn w:val="Normal"/>
    <w:qFormat/>
    <w:pPr/>
    <w:rPr>
      <w:sz w:val="20"/>
      <w:szCs w:val="20"/>
    </w:rPr>
  </w:style>
  <w:style w:type="paragraph" w:styleId="Style6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66">
    <w:name w:val="Цитата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212">
    <w:name w:val="Основной текст 2"/>
    <w:basedOn w:val="Normal"/>
    <w:qFormat/>
    <w:pPr>
      <w:spacing w:lineRule="auto" w:line="480" w:before="0" w:after="120"/>
    </w:pPr>
    <w:rPr/>
  </w:style>
  <w:style w:type="paragraph" w:styleId="38">
    <w:name w:val="Основной текст с отступом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39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213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Caption11111111111111111111111111111111111111111111111">
    <w:name w:val="Caption1111111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12">
    <w:name w:val="Caption11111111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12">
    <w:name w:val="Caption1111111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12">
    <w:name w:val="Caption1111111112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13">
    <w:name w:val="Caption111111113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13">
    <w:name w:val="Caption11111113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13">
    <w:name w:val="Caption1111113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13">
    <w:name w:val="Caption111113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13">
    <w:name w:val="Caption11113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13">
    <w:name w:val="Caption1113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113">
    <w:name w:val="Caption113"/>
    <w:basedOn w:val="Normal"/>
    <w:qFormat/>
    <w:pPr>
      <w:spacing w:before="120" w:after="120"/>
    </w:pPr>
    <w:rPr>
      <w:rFonts w:cs="Arial Unicode MS"/>
      <w:i/>
      <w:iCs/>
      <w:sz w:val="24"/>
      <w:szCs w:val="24"/>
    </w:rPr>
  </w:style>
  <w:style w:type="paragraph" w:styleId="Caption13">
    <w:name w:val="Caption13"/>
    <w:basedOn w:val="Normal"/>
    <w:qFormat/>
    <w:pPr>
      <w:spacing w:before="120" w:after="120"/>
    </w:pPr>
    <w:rPr>
      <w:i/>
      <w:iCs/>
      <w:sz w:val="24"/>
      <w:szCs w:val="24"/>
    </w:rPr>
  </w:style>
  <w:style w:type="paragraph" w:styleId="Caption2">
    <w:name w:val="Caption2"/>
    <w:basedOn w:val="Normal"/>
    <w:qFormat/>
    <w:pPr>
      <w:spacing w:before="120" w:after="120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4" w:customStyle="1">
    <w:name w:val="Стиль2"/>
    <w:uiPriority w:val="99"/>
    <w:qFormat/>
    <w:rsid w:val="006629c9"/>
  </w:style>
  <w:style w:type="numbering" w:styleId="15039851201" w:customStyle="1">
    <w:name w:val="15039851201"/>
    <w:qFormat/>
  </w:style>
  <w:style w:type="numbering" w:styleId="5214129981" w:customStyle="1">
    <w:name w:val="5214129981"/>
    <w:qFormat/>
  </w:style>
  <w:style w:type="numbering" w:styleId="WW8Num2">
    <w:name w:val="WW8Num2"/>
    <w:qFormat/>
  </w:style>
  <w:style w:type="numbering" w:styleId="WW8Num9">
    <w:name w:val="WW8Num9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63CC1-A225-40C4-88E5-240F7A7B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7798</TotalTime>
  <Application>AlterOffice/2025.2.1.0$Linux_X86_64 LibreOffice_project/d2c615264c9535987c375e0f04a158be6015ce3d</Application>
  <AppVersion>15.0000</AppVersion>
  <Pages>14</Pages>
  <Words>1646</Words>
  <Characters>11907</Characters>
  <CharactersWithSpaces>13857</CharactersWithSpaces>
  <Paragraphs>372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2026-04-14T11:05:00Z</dcterms:created>
  <dc:creator>Быстров Олег Геннадьевич</dc:creator>
  <dc:description/>
  <dc:language>ru-RU</dc:language>
  <cp:lastModifiedBy>musaevim@corp.gidroogk.com</cp:lastModifiedBy>
  <cp:lastPrinted>2025-04-24T12:32:00Z</cp:lastPrinted>
  <dcterms:modified xsi:type="dcterms:W3CDTF">2026-10-28T11:27:55Z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