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5442" w:leader="none"/>
        </w:tabs>
        <w:rPr>
          <w:b/>
          <w:spacing w:val="1"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ИЗВЕЩЕНИЕ</w:t>
      </w:r>
      <w:r>
        <w:rPr>
          <w:b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ОБ А⁠‌‌​‍‌​⁠﻿﻿​﻿​​‌﻿УКЦИОНЕ В ЭЛЕКТРОННОЙ ФОРМЕ</w:t>
      </w:r>
      <w:r>
        <w:rPr>
          <w:rFonts w:ascii="Liberation Serif" w:hAnsi="Liberation Serif"/>
          <w:b/>
          <w:i/>
          <w:sz w:val="22"/>
          <w:szCs w:val="22"/>
        </w:rPr>
        <w:t xml:space="preserve"> </w:t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spacing w:val="1"/>
          <w:sz w:val="22"/>
          <w:szCs w:val="22"/>
        </w:rPr>
      </w:pPr>
      <w:r>
        <w:rPr>
          <w:bCs/>
          <w:spacing w:val="1"/>
          <w:sz w:val="22"/>
          <w:szCs w:val="22"/>
        </w:rPr>
        <w:t xml:space="preserve">на право заключения договора </w:t>
      </w:r>
      <w:bookmarkStart w:id="0" w:name="_Hlk212206054"/>
      <w:r>
        <w:rPr>
          <w:bCs/>
          <w:spacing w:val="1"/>
          <w:sz w:val="22"/>
          <w:szCs w:val="22"/>
        </w:rPr>
        <w:t xml:space="preserve">на поставк</w:t>
      </w:r>
      <w:r>
        <w:rPr>
          <w:bCs/>
          <w:spacing w:val="1"/>
          <w:sz w:val="22"/>
          <w:szCs w:val="22"/>
        </w:rPr>
        <w:t xml:space="preserve">у</w:t>
      </w:r>
      <w:r>
        <w:rPr>
          <w:bCs/>
          <w:spacing w:val="1"/>
          <w:sz w:val="22"/>
          <w:szCs w:val="22"/>
        </w:rPr>
        <w:t xml:space="preserve">:</w:t>
      </w:r>
      <w:r>
        <w:rPr>
          <w:bCs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color w:val="ff0000"/>
          <w:spacing w:val="1"/>
          <w:sz w:val="22"/>
          <w:szCs w:val="22"/>
        </w:rPr>
      </w:pPr>
      <w:r>
        <w:rPr>
          <w:bCs/>
          <w:spacing w:val="1"/>
          <w:sz w:val="22"/>
          <w:szCs w:val="22"/>
        </w:rPr>
        <w:t xml:space="preserve"> </w:t>
      </w:r>
      <w:bookmarkEnd w:id="0"/>
      <w:r>
        <w:rPr>
          <w:bCs/>
          <w:spacing w:val="1"/>
          <w:sz w:val="22"/>
          <w:szCs w:val="22"/>
        </w:rPr>
        <w:t xml:space="preserve">М</w:t>
      </w:r>
      <w:r>
        <w:rPr>
          <w:bCs/>
          <w:spacing w:val="1"/>
          <w:sz w:val="22"/>
          <w:szCs w:val="22"/>
        </w:rPr>
        <w:t xml:space="preserve">олок</w:t>
      </w:r>
      <w:r>
        <w:rPr>
          <w:bCs/>
          <w:spacing w:val="1"/>
          <w:sz w:val="22"/>
          <w:szCs w:val="22"/>
        </w:rPr>
        <w:t xml:space="preserve">о, </w:t>
      </w:r>
      <w:r>
        <w:rPr>
          <w:bCs/>
          <w:spacing w:val="1"/>
          <w:sz w:val="22"/>
          <w:szCs w:val="22"/>
        </w:rPr>
        <w:t xml:space="preserve">молочны</w:t>
      </w:r>
      <w:r>
        <w:rPr>
          <w:bCs/>
          <w:spacing w:val="1"/>
          <w:sz w:val="22"/>
          <w:szCs w:val="22"/>
        </w:rPr>
        <w:t xml:space="preserve">е</w:t>
      </w:r>
      <w:r>
        <w:rPr>
          <w:bCs/>
          <w:spacing w:val="1"/>
          <w:sz w:val="22"/>
          <w:szCs w:val="22"/>
        </w:rPr>
        <w:t xml:space="preserve"> ⁠⁠продукт</w:t>
      </w:r>
      <w:r>
        <w:rPr>
          <w:bCs/>
          <w:spacing w:val="1"/>
          <w:sz w:val="22"/>
          <w:szCs w:val="22"/>
        </w:rPr>
        <w:t xml:space="preserve">ы, яйцо столовое </w:t>
      </w:r>
      <w:r>
        <w:rPr>
          <w:bCs/>
          <w:spacing w:val="1"/>
          <w:sz w:val="22"/>
          <w:szCs w:val="22"/>
        </w:rPr>
        <w:t xml:space="preserve">для нужд МАДОУ "ДС №4"МОРОЗКО"</w:t>
      </w:r>
      <w:r>
        <w:rPr>
          <w:b/>
          <w:spacing w:val="1"/>
          <w:sz w:val="22"/>
          <w:szCs w:val="22"/>
        </w:rPr>
        <w:t xml:space="preserve">, </w:t>
      </w:r>
      <w:r>
        <w:rPr>
          <w:bCs/>
          <w:spacing w:val="1"/>
          <w:sz w:val="22"/>
          <w:szCs w:val="22"/>
        </w:rPr>
        <w:t xml:space="preserve">участниками которого могут являться только субъекты малого и среднего предпринимательства </w:t>
      </w:r>
      <w:r>
        <w:rPr>
          <w:bCs/>
          <w:color w:val="ff0000"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iCs/>
          <w:sz w:val="22"/>
          <w:szCs w:val="22"/>
          <w:lang w:eastAsia="en-US"/>
        </w:rPr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p>
      <w:pPr>
        <w:jc w:val="center"/>
        <w:spacing w:line="276" w:lineRule="auto"/>
        <w:rPr>
          <w:bCs/>
          <w:iCs/>
          <w:sz w:val="22"/>
          <w:szCs w:val="22"/>
          <w:lang w:eastAsia="en-US"/>
        </w:rPr>
        <w:outlineLvl w:val="0"/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5"/>
        <w:gridCol w:w="709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Место, дата начала и дата окончания срока подачи заявок на участие и их рассмотрения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(в соответствии с частями 9, 10 статьи 4 Федерального закона № 223-ФЗ)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 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28 октября 2026 год</w:t>
            </w:r>
            <w:r>
              <w:rPr>
                <w:b/>
                <w:bCs/>
                <w:sz w:val="22"/>
                <w:szCs w:val="22"/>
                <w:highlight w:val="yellow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ноября</w:t>
            </w:r>
            <w:r>
              <w:rPr>
                <w:b/>
                <w:bCs/>
                <w:sz w:val="22"/>
                <w:szCs w:val="22"/>
              </w:rPr>
              <w:t xml:space="preserve"> 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  <w:t xml:space="preserve">, 10.00 (местное время заказчика) 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Место, дата рассмотрения первых частей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06 ноября</w:t>
            </w:r>
            <w:r>
              <w:rPr>
                <w:b/>
                <w:bCs/>
                <w:sz w:val="22"/>
                <w:szCs w:val="22"/>
              </w:rPr>
              <w:t xml:space="preserve"> 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проведения аукциона в электронной форме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3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09 ноября </w:t>
            </w:r>
            <w:r>
              <w:rPr>
                <w:b/>
                <w:bCs/>
                <w:sz w:val="22"/>
                <w:szCs w:val="22"/>
              </w:rPr>
              <w:t xml:space="preserve">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года, 10.00 </w:t>
            </w:r>
            <w:r>
              <w:rPr>
                <w:sz w:val="22"/>
                <w:szCs w:val="22"/>
              </w:rPr>
              <w:t xml:space="preserve">(местное время заказчика)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</w:t>
            </w:r>
            <w:r>
              <w:rPr>
                <w:b/>
                <w:color w:val="000000"/>
                <w:sz w:val="22"/>
                <w:szCs w:val="22"/>
              </w:rPr>
              <w:t xml:space="preserve">рассмотрения вторых частей заявок и </w:t>
            </w:r>
            <w:r>
              <w:rPr>
                <w:b/>
                <w:bCs/>
                <w:sz w:val="22"/>
                <w:szCs w:val="22"/>
              </w:rPr>
              <w:t xml:space="preserve">подведения итогов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 ноябр</w:t>
            </w:r>
            <w:r>
              <w:rPr>
                <w:b/>
                <w:bCs/>
                <w:sz w:val="22"/>
                <w:szCs w:val="22"/>
              </w:rPr>
              <w:t xml:space="preserve">я</w:t>
            </w:r>
            <w:r>
              <w:rPr>
                <w:b/>
                <w:bCs/>
                <w:sz w:val="22"/>
                <w:szCs w:val="22"/>
              </w:rPr>
              <w:t xml:space="preserve"> 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Начало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В электронной форме, в соответствии с регламентом </w:t>
            </w:r>
            <w:r>
              <w:rPr>
                <w:sz w:val="22"/>
                <w:szCs w:val="22"/>
              </w:rPr>
              <w:t xml:space="preserve">электронной площадки в сети Интернет: </w:t>
            </w:r>
            <w:r>
              <w:t xml:space="preserve">https://tender.lot-online.ru</w:t>
            </w:r>
            <w:r>
              <w:rPr>
                <w:bCs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Окончание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ноября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rFonts w:cs="Times New Roman"/>
                <w:sz w:val="22"/>
                <w:szCs w:val="22"/>
              </w:rPr>
              <w:t xml:space="preserve">, 09.59 (местное время заказчика)</w:t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202</w:t>
      </w:r>
      <w:r>
        <w:rPr>
          <w:b/>
          <w:sz w:val="22"/>
          <w:szCs w:val="22"/>
        </w:rPr>
        <w:t xml:space="preserve">6</w:t>
      </w:r>
      <w:r>
        <w:rPr>
          <w:b/>
          <w:bCs/>
          <w:sz w:val="22"/>
          <w:szCs w:val="22"/>
        </w:rPr>
        <w:t xml:space="preserve"> г.</w:t>
      </w:r>
      <w:r>
        <w:rPr>
          <w:b/>
          <w:bCs/>
          <w:sz w:val="22"/>
          <w:szCs w:val="22"/>
        </w:rPr>
      </w:r>
    </w:p>
    <w:p>
      <w:pPr>
        <w:rPr>
          <w:rFonts w:ascii="Arial" w:hAnsi="Arial"/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br w:type="page" w:clear="all"/>
      </w:r>
      <w:r>
        <w:rPr>
          <w:rFonts w:ascii="Arial" w:hAnsi="Arial"/>
          <w:b/>
          <w:bCs/>
          <w:sz w:val="22"/>
          <w:szCs w:val="22"/>
          <w:lang w:eastAsia="en-US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7"/>
        <w:gridCol w:w="20"/>
        <w:gridCol w:w="2090"/>
        <w:gridCol w:w="24"/>
        <w:gridCol w:w="3062"/>
        <w:gridCol w:w="4007"/>
      </w:tblGrid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 Сведения о заказчике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Полное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Заказчика: </w:t>
            </w:r>
            <w:r>
              <w:rPr>
                <w:b/>
                <w:bCs/>
                <w:sz w:val="22"/>
                <w:szCs w:val="22"/>
              </w:rPr>
              <w:t xml:space="preserve">Муниципальное автономное дошкольное образовательное учреждение «Детский сад №4 «Морозко» (МАДОУ «ДС №4 «Морозко»)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Заречная, 16/1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Jilia06@inbox.ru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Денисова Юлия Андреевна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89044676198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1.1.1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Сокращенное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1.2.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места нахождения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1.3.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Почтовый адрес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1.4.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электронной почты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1.5.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Контактный телефон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 Сведения о закупке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закупки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Аукцион в электронной форме на право заключения </w:t>
            </w:r>
            <w:r>
              <w:rPr>
                <w:color w:val="000000"/>
                <w:sz w:val="22"/>
                <w:szCs w:val="22"/>
              </w:rPr>
              <w:t xml:space="preserve">на поставку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молок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о,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молочны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е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⁠⁠продукт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ы, яйцо столовое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для нужд МАДОУ "ДС №4"МОРОЗКО"</w:t>
            </w:r>
            <w:r>
              <w:rPr>
                <w:color w:val="000000"/>
                <w:sz w:val="22"/>
                <w:szCs w:val="22"/>
              </w:rPr>
              <w:t xml:space="preserve">, участниками которого могут являться только субъекты малого и среднего предпринимательства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электронной площадки в сети "Интернет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https://tender.lot-online.ru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2  594 893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Два миллиона </w:t>
            </w:r>
            <w:r>
              <w:rPr>
                <w:sz w:val="22"/>
                <w:szCs w:val="22"/>
              </w:rPr>
              <w:t xml:space="preserve">пятьсот девяносто четыре тысячи восемьсот девяносто три</w:t>
            </w:r>
            <w:r>
              <w:rPr>
                <w:sz w:val="22"/>
                <w:szCs w:val="22"/>
              </w:rPr>
              <w:t xml:space="preserve">) рубл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 копе</w:t>
            </w:r>
            <w:r>
              <w:rPr>
                <w:sz w:val="22"/>
                <w:szCs w:val="22"/>
              </w:rPr>
              <w:t xml:space="preserve">ек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Расчет начальной (максимальной) цены произведен методом сопостав</w:t>
            </w:r>
            <w:r>
              <w:rPr>
                <w:b/>
                <w:sz w:val="22"/>
                <w:szCs w:val="22"/>
              </w:rPr>
              <w:t xml:space="preserve">ления </w:t>
            </w:r>
            <w:r>
              <w:rPr>
                <w:b/>
                <w:sz w:val="22"/>
                <w:szCs w:val="22"/>
              </w:rPr>
              <w:t xml:space="preserve">рыночных цен.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 3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П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оставка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молока и молочных ⁠⁠продуктов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для нужд МАДОУ "ДС №4"МОРОЗКО"</w:t>
            </w:r>
            <w:r>
              <w:rPr>
                <w:b/>
                <w:bCs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ОКПД 2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</w:t>
            </w:r>
            <w:bookmarkStart w:id="1" w:name="_Hlk212197735"/>
            <w:r>
              <w:rPr>
                <w:bCs/>
                <w:sz w:val="22"/>
                <w:szCs w:val="22"/>
                <w:lang w:val="ba-RU" w:eastAsia="en-US"/>
              </w:rPr>
              <w:t xml:space="preserve">приложение № 1</w:t>
            </w:r>
            <w:bookmarkEnd w:id="1"/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 xml:space="preserve">01</w:t>
            </w:r>
            <w:r>
              <w:rPr>
                <w:sz w:val="22"/>
                <w:szCs w:val="22"/>
              </w:rPr>
              <w:t xml:space="preserve">.01.202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г. по 3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06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г. (включительно). </w:t>
            </w:r>
            <w:bookmarkStart w:id="2" w:name="_Hlk212206247"/>
            <w:r>
              <w:rPr>
                <w:sz w:val="22"/>
                <w:szCs w:val="22"/>
              </w:rPr>
              <w:t xml:space="preserve">Заявка на поставку продуктов питания направляется поставщику в письменном виде, не позднее, чем за 5 дней до поставки продуктов питания.</w:t>
            </w:r>
            <w:bookmarkEnd w:id="2"/>
            <w:r/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16/1, корпус №1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16/4, корпус №2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МАДОУ «ДС №4 «Морозко»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проектом договора (приложение № 2)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разъяснений участникам закупки разъяснений положений Извещения о проведении закупки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Любой участник закупки вправе направить Заказчику запрос о даче разъяснений положений Извещения о проведении закупки. Запрос должен направляться </w:t>
            </w:r>
            <w:r>
              <w:rPr>
                <w:rFonts w:cs="Times New Roman"/>
                <w:sz w:val="22"/>
                <w:szCs w:val="22"/>
              </w:rPr>
              <w:t xml:space="preserve">посредством интерфейса http://etp.zakazrf.ru </w:t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1)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запроса, но без указания на участника такой закупки, от которого поступил указанный запрос. 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2) При этом,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закупке.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left="560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Предоставление национального режима при осуществлении закупок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480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 осуществл</w:t>
            </w:r>
            <w:r>
              <w:rPr>
                <w:b/>
                <w:bCs/>
                <w:sz w:val="22"/>
                <w:szCs w:val="22"/>
              </w:rPr>
              <w:t xml:space="preserve">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</w:t>
            </w:r>
            <w:r>
              <w:rPr>
                <w:b/>
                <w:bCs/>
                <w:sz w:val="22"/>
                <w:szCs w:val="22"/>
              </w:rPr>
              <w:t xml:space="preserve">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</w:t>
            </w:r>
            <w:r>
              <w:rPr>
                <w:b/>
                <w:bCs/>
                <w:sz w:val="22"/>
                <w:szCs w:val="22"/>
              </w:rPr>
              <w:t xml:space="preserve">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</w:t>
            </w:r>
            <w:r>
              <w:rPr>
                <w:b/>
                <w:bCs/>
                <w:sz w:val="22"/>
                <w:szCs w:val="22"/>
              </w:rPr>
              <w:t xml:space="preserve">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</w:t>
            </w:r>
            <w:r>
              <w:rPr>
                <w:b/>
                <w:bCs/>
                <w:sz w:val="22"/>
                <w:szCs w:val="22"/>
              </w:rPr>
              <w:t xml:space="preserve">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установлено 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</w:t>
            </w:r>
            <w:r>
              <w:rPr>
                <w:sz w:val="22"/>
                <w:szCs w:val="22"/>
              </w:rPr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УСТАНОВЛЕНО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50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ПРЕИМУЩЕСТВО</w:t>
            </w:r>
            <w:r>
              <w:rPr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vAlign w:val="center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УСТАНОВЛЕНО</w:t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ind w:firstLine="709"/>
        <w:jc w:val="center"/>
        <w:rPr>
          <w:rFonts w:ascii="Arial" w:hAnsi="Arial"/>
          <w:b/>
          <w:bCs/>
          <w:sz w:val="22"/>
          <w:szCs w:val="22"/>
          <w:lang w:eastAsia="en-US"/>
        </w:rPr>
        <w:outlineLvl w:val="0"/>
      </w:pPr>
      <w:r>
        <w:rPr>
          <w:rFonts w:ascii="Arial" w:hAnsi="Arial"/>
          <w:b/>
          <w:bCs/>
          <w:sz w:val="22"/>
          <w:szCs w:val="22"/>
          <w:lang w:eastAsia="en-US"/>
        </w:rPr>
      </w:r>
      <w:r>
        <w:rPr>
          <w:rFonts w:ascii="Arial" w:hAnsi="Arial"/>
          <w:b/>
          <w:bCs/>
          <w:sz w:val="22"/>
          <w:szCs w:val="22"/>
          <w:lang w:eastAsia="en-US"/>
        </w:rPr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 w:clear="all"/>
      </w:r>
      <w:r>
        <w:rPr>
          <w:b/>
          <w:sz w:val="22"/>
          <w:szCs w:val="22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ind w:left="5580" w:right="-54"/>
        <w:jc w:val="right"/>
        <w:rPr>
          <w:b/>
        </w:rPr>
        <w:outlineLvl w:val="0"/>
      </w:pPr>
      <w:r>
        <w:rPr>
          <w:b/>
        </w:rPr>
        <w:t xml:space="preserve">УТВЕРЖДАЮ:</w:t>
      </w:r>
      <w:r>
        <w:rPr>
          <w:b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Заведующий МАДОУ «ДС №4 «Морозко»</w:t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______________</w:t>
      </w:r>
      <w:r>
        <w:rPr>
          <w:bCs/>
        </w:rPr>
        <w:t xml:space="preserve">Т.Л. Гвоздь</w:t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«___» _______ 20</w:t>
      </w:r>
      <w:r>
        <w:rPr>
          <w:bCs/>
        </w:rPr>
        <w:t xml:space="preserve">2</w:t>
      </w:r>
      <w:r>
        <w:rPr>
          <w:bCs/>
        </w:rPr>
        <w:t xml:space="preserve">6</w:t>
      </w:r>
      <w:r>
        <w:rPr>
          <w:bCs/>
        </w:rPr>
        <w:t xml:space="preserve">г.</w:t>
      </w:r>
      <w:r>
        <w:rPr>
          <w:bCs/>
        </w:rPr>
      </w:r>
    </w:p>
    <w:p>
      <w:pPr>
        <w:pStyle w:val="761"/>
        <w:ind w:firstLine="709"/>
        <w:jc w:val="center"/>
        <w:rPr>
          <w:bCs/>
          <w:lang w:val="ru-RU"/>
        </w:rPr>
        <w:outlineLvl w:val="0"/>
      </w:pP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jc w:val="both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ДОКУМЕНТАЦИЯ</w:t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b/>
          <w:spacing w:val="1"/>
          <w:sz w:val="28"/>
          <w:szCs w:val="28"/>
        </w:rPr>
        <w:t xml:space="preserve">ОБ АУКЦИОНЕ В ЭЛЕКТРОННОЙ ФОРМЕ</w:t>
      </w:r>
      <w:r>
        <w:rPr>
          <w:rFonts w:ascii="Liberation Serif" w:hAnsi="Liberation Serif"/>
          <w:b/>
          <w:i/>
          <w:sz w:val="20"/>
          <w:szCs w:val="20"/>
        </w:rPr>
        <w:t xml:space="preserve"> </w:t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rFonts w:ascii="Liberation Serif" w:hAnsi="Liberation Serif"/>
          <w:b/>
          <w:i/>
          <w:sz w:val="20"/>
          <w:szCs w:val="20"/>
        </w:rPr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на право заключения договора на </w:t>
      </w:r>
      <w:r>
        <w:rPr>
          <w:bCs/>
          <w:spacing w:val="1"/>
        </w:rPr>
        <w:t xml:space="preserve">поставк</w:t>
      </w:r>
      <w:r>
        <w:rPr>
          <w:bCs/>
          <w:spacing w:val="1"/>
        </w:rPr>
        <w:t xml:space="preserve">у</w:t>
      </w:r>
      <w:r>
        <w:rPr>
          <w:bCs/>
          <w:spacing w:val="1"/>
        </w:rPr>
        <w:t xml:space="preserve">:</w:t>
      </w:r>
      <w:r>
        <w:rPr>
          <w:bCs/>
          <w:spacing w:val="1"/>
        </w:rPr>
        <w:t xml:space="preserve"> </w:t>
      </w:r>
      <w:r>
        <w:rPr>
          <w:bCs/>
          <w:spacing w:val="1"/>
        </w:rPr>
        <w:t xml:space="preserve">молок</w:t>
      </w:r>
      <w:r>
        <w:rPr>
          <w:bCs/>
          <w:spacing w:val="1"/>
        </w:rPr>
        <w:t xml:space="preserve">о,</w:t>
      </w:r>
      <w:r>
        <w:rPr>
          <w:bCs/>
          <w:spacing w:val="1"/>
        </w:rPr>
        <w:t xml:space="preserve">  молочн</w:t>
      </w:r>
      <w:r>
        <w:rPr>
          <w:bCs/>
          <w:spacing w:val="1"/>
        </w:rPr>
        <w:t xml:space="preserve">ые</w:t>
      </w:r>
      <w:r>
        <w:rPr>
          <w:bCs/>
          <w:spacing w:val="1"/>
        </w:rPr>
        <w:t xml:space="preserve"> ⁠⁠продукт</w:t>
      </w:r>
      <w:r>
        <w:rPr>
          <w:bCs/>
          <w:spacing w:val="1"/>
        </w:rPr>
        <w:t xml:space="preserve">ы, яйцо столовое</w:t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для нужд МАДОУ "ДС №4"МОРОЗКО"</w:t>
      </w:r>
      <w:r>
        <w:rPr>
          <w:bCs/>
          <w:spacing w:val="1"/>
        </w:rPr>
        <w:t xml:space="preserve">, участниками которого могут являться только субъекты малого и среднего предпринимательства</w:t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/>
          <w:i/>
          <w:color w:val="000000"/>
        </w:rPr>
      </w:pPr>
      <w:r>
        <w:rPr>
          <w:b/>
          <w:i/>
          <w:color w:val="000000"/>
        </w:rPr>
      </w:r>
      <w:r>
        <w:rPr>
          <w:b/>
          <w:i/>
          <w:color w:val="000000"/>
        </w:rPr>
      </w:r>
    </w:p>
    <w:p>
      <w:pPr>
        <w:jc w:val="center"/>
        <w:tabs>
          <w:tab w:val="left" w:pos="5442" w:leader="none"/>
        </w:tabs>
        <w:rPr>
          <w:i/>
          <w:color w:val="000000"/>
        </w:rPr>
      </w:pPr>
      <w:r>
        <w:rPr>
          <w:i/>
          <w:color w:val="000000"/>
        </w:rPr>
      </w:r>
      <w:r>
        <w:rPr>
          <w:i/>
          <w:color w:val="000000"/>
        </w:rPr>
      </w:r>
    </w:p>
    <w:p>
      <w:pPr>
        <w:jc w:val="center"/>
        <w:tabs>
          <w:tab w:val="left" w:pos="5442" w:leader="none"/>
        </w:tabs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</w:r>
      <w:r>
        <w:rPr>
          <w:bCs/>
          <w:iCs/>
          <w:sz w:val="28"/>
          <w:szCs w:val="28"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  <w:rPr>
          <w:b/>
          <w:bCs/>
        </w:rPr>
      </w:pPr>
      <w:r>
        <w:rPr>
          <w:b/>
        </w:rPr>
        <w:t xml:space="preserve">202</w:t>
      </w:r>
      <w:r>
        <w:rPr>
          <w:b/>
        </w:rPr>
        <w:t xml:space="preserve">6</w:t>
      </w:r>
      <w:r>
        <w:rPr>
          <w:b/>
          <w:bCs/>
        </w:rPr>
        <w:t xml:space="preserve"> г.</w:t>
      </w:r>
      <w:r>
        <w:rPr>
          <w:b/>
          <w:bCs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4"/>
        <w:gridCol w:w="3119"/>
        <w:gridCol w:w="2638"/>
        <w:gridCol w:w="1178"/>
        <w:gridCol w:w="1971"/>
      </w:tblGrid>
      <w:tr>
        <w:tblPrEx/>
        <w:trPr>
          <w:trHeight w:val="129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br w:type="page" w:clear="all"/>
            </w: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bCs/>
                <w:sz w:val="22"/>
                <w:szCs w:val="22"/>
              </w:rPr>
              <w:t xml:space="preserve">Информационная карта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Аукцион в электронной форме (далее – аукцион в электронной форме) - это форма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торгов, проведение которой обеспечивается оператором электронной площадки; информация о закупке сообщается Заказчиком путем размещения в ЕИС извещения о проведении аукциона в электронной форме, доступного неограниченному кругу лиц, с приложением документа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ции о закупке и проекта договора; описание предмета закупки осуществляется с соблюдением требований ч. 6.1 ст. 3 Федерального закона от 18 июля 2011 года № 223-ФЗ «О закупках товаров, работ, услуг отдельными видами юридических лиц» (далее – Закон № 223-ФЗ)</w:t>
            </w:r>
            <w:r>
              <w:rPr>
                <w:rStyle w:val="755"/>
                <w:rFonts w:ascii="Times New Roman" w:hAnsi="Times New Roman"/>
                <w:sz w:val="22"/>
                <w:szCs w:val="22"/>
                <w:lang w:val="ru-RU"/>
              </w:rPr>
              <w:footnoteReference w:id="2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Победителем аукциона в электронной форме признается участник закупки, заявка которого соответствует требованиям, установленным документацией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закупке, и которое предложило наиболее низкую цену договора или в случае, если при проведении аукциона в электронной форме цена договора снижена до нуля и аукцион в электронной форме проводится на право заключить договор, наиболее высокую цену договора.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Аукцион в электронной форме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участниками которого могут быть только субъекты малого и среднего предпринимательства проводится на электронной площадке по правилам и в порядке, установ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Документация о закупке должна содержать указание на применение иных правил проведения закупки в эле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ктронной форме процедурного (технического) характера, предусмотренных регламентом электронной площадки, а также обоснование их применения. При этом в любом случае не допускается осуществление закупки по правилам, противоречащим требованиям Закона № 223-ФЗ.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указаны в пункте 2.3 настоящего Извещения.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договора: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2  594 893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Два миллиона пятьсот девяносто четыре тысячи восемьсот девяносто три</w:t>
            </w:r>
            <w:r>
              <w:rPr>
                <w:sz w:val="22"/>
                <w:szCs w:val="22"/>
              </w:rPr>
              <w:t xml:space="preserve">) рубл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08</w:t>
            </w:r>
            <w:r>
              <w:rPr>
                <w:sz w:val="22"/>
                <w:szCs w:val="22"/>
              </w:rPr>
              <w:t xml:space="preserve"> копе</w:t>
            </w:r>
            <w:r>
              <w:rPr>
                <w:sz w:val="22"/>
                <w:szCs w:val="22"/>
              </w:rPr>
              <w:t xml:space="preserve">ек.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 начальной (максимальной) цены произведен методом </w:t>
            </w:r>
            <w:sdt>
              <w:sdtPr>
                <w15:appearance w15:val="boundingBox"/>
                <w15:color w:val="ff00ff"/>
                <w:id w:val="1482041609"/>
                <w:placeholder>
                  <w:docPart w:val="B9FCEBBAD9BF42ACB20DC9C32CA4BA48"/>
                </w:placeholder>
                <w:comboBox>
                  <w:listItem w:value="Выберите элемент."/>
                  <w:listItem w:displayText="проектно-сметный" w:value="проектно-сметный"/>
                  <w:listItem w:displayText="тарифный" w:value="тарифный"/>
                  <w:listItem w:displayText="затратный" w:value="затратный"/>
                  <w:listItem w:displayText="иной" w:value="иной"/>
                  <w:listItem w:displayText="метод сопоставимых рыночных цен (анализ рынка)" w:value="метод сопоставимых рыночных цен (анализ рынка)"/>
                </w:comboBox>
                <w:rPr>
                  <w:sz w:val="22"/>
                  <w:szCs w:val="22"/>
                </w:rPr>
              </w:sdtPr>
              <w:sdtContent>
                <w:r>
                  <w:rPr>
                    <w:sz w:val="22"/>
                    <w:szCs w:val="22"/>
                  </w:rPr>
                  <w:t xml:space="preserve">метод сопоставимых рыночных цен (анализ рынка)</w:t>
                </w:r>
              </w:sdtContent>
            </w:sdt>
            <w:r/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общую цену Договора включены все р</w:t>
            </w:r>
            <w:r>
              <w:rPr>
                <w:sz w:val="22"/>
                <w:szCs w:val="22"/>
              </w:rPr>
              <w:t xml:space="preserve">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</w:t>
            </w:r>
            <w:r>
              <w:rPr>
                <w:sz w:val="22"/>
                <w:szCs w:val="22"/>
              </w:rPr>
              <w:t xml:space="preserve">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(выгрузки товара на склад Заказчика)  и иные расходы, связанные с поставкой товара.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оставка </w:t>
            </w:r>
            <w:r>
              <w:rPr>
                <w:sz w:val="22"/>
                <w:szCs w:val="22"/>
              </w:rPr>
              <w:t xml:space="preserve">молока и молочных ⁠⁠продуктов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для нужд </w:t>
            </w:r>
            <w:r>
              <w:rPr>
                <w:sz w:val="22"/>
                <w:szCs w:val="22"/>
              </w:rPr>
              <w:t xml:space="preserve">МАДОУ "ДС №4"МОРОЗКО"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8774" w:leader="underscor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поставки: </w:t>
            </w:r>
            <w:r>
              <w:rPr>
                <w:sz w:val="22"/>
                <w:szCs w:val="22"/>
                <w:lang w:eastAsia="en-US"/>
              </w:rPr>
              <w:t xml:space="preserve">с </w:t>
            </w:r>
            <w:r>
              <w:rPr>
                <w:sz w:val="22"/>
                <w:szCs w:val="22"/>
                <w:lang w:eastAsia="en-US"/>
              </w:rPr>
              <w:t xml:space="preserve">01</w:t>
            </w:r>
            <w:r>
              <w:rPr>
                <w:sz w:val="22"/>
                <w:szCs w:val="22"/>
                <w:lang w:eastAsia="en-US"/>
              </w:rPr>
              <w:t xml:space="preserve">.0</w:t>
            </w:r>
            <w:r>
              <w:rPr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  <w:lang w:eastAsia="en-US"/>
              </w:rPr>
              <w:t xml:space="preserve">.202</w:t>
            </w:r>
            <w:r>
              <w:rPr>
                <w:sz w:val="22"/>
                <w:szCs w:val="22"/>
                <w:lang w:eastAsia="en-US"/>
              </w:rPr>
              <w:t xml:space="preserve">7</w:t>
            </w:r>
            <w:r>
              <w:rPr>
                <w:sz w:val="22"/>
                <w:szCs w:val="22"/>
                <w:lang w:eastAsia="en-US"/>
              </w:rPr>
              <w:t xml:space="preserve">г. по 3</w:t>
            </w:r>
            <w:r>
              <w:rPr>
                <w:sz w:val="22"/>
                <w:szCs w:val="22"/>
                <w:lang w:eastAsia="en-US"/>
              </w:rPr>
              <w:t xml:space="preserve">0</w:t>
            </w:r>
            <w:r>
              <w:rPr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  <w:lang w:eastAsia="en-US"/>
              </w:rPr>
              <w:t xml:space="preserve">06</w:t>
            </w:r>
            <w:r>
              <w:rPr>
                <w:sz w:val="22"/>
                <w:szCs w:val="22"/>
                <w:lang w:eastAsia="en-US"/>
              </w:rPr>
              <w:t xml:space="preserve">.202</w:t>
            </w:r>
            <w:r>
              <w:rPr>
                <w:sz w:val="22"/>
                <w:szCs w:val="22"/>
                <w:lang w:eastAsia="en-US"/>
              </w:rPr>
              <w:t xml:space="preserve">7</w:t>
            </w:r>
            <w:r>
              <w:rPr>
                <w:sz w:val="22"/>
                <w:szCs w:val="22"/>
                <w:lang w:eastAsia="en-US"/>
              </w:rPr>
              <w:t xml:space="preserve">г. (включительно). Заявка на поставку продуктов питания направляется поставщику в письменном виде, не позднее, чем за 5 дней до поставки продуктов питания.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автономное дошкольное образовательное учреж</w:t>
            </w:r>
            <w:r>
              <w:rPr>
                <w:sz w:val="22"/>
                <w:szCs w:val="22"/>
              </w:rPr>
              <w:t xml:space="preserve">дение "Детский сад №4 «Морозко":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628684, Ханты-Мансийский автономный округ-Югра, город Мегион, улица Заречная 16/1</w:t>
            </w:r>
            <w:r>
              <w:rPr>
                <w:sz w:val="22"/>
                <w:szCs w:val="22"/>
              </w:rPr>
              <w:t xml:space="preserve"> корпус 1;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 16/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 корпус 2;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1.8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sz w:val="22"/>
                <w:szCs w:val="22"/>
              </w:rPr>
              <w:t xml:space="preserve">техническим заданием</w:t>
            </w:r>
            <w:r>
              <w:rPr>
                <w:sz w:val="22"/>
                <w:szCs w:val="22"/>
              </w:rPr>
              <w:t xml:space="preserve"> (приложение №1), 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проектом договора (приложение №</w:t>
            </w: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сроки и порядок оплаты товара, работ,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Расчет за поставленный товар (партию товара) осуществляется в течение 7 (семи) рабочих дней со дня подписания Зака</w:t>
            </w:r>
            <w:r>
              <w:rPr>
                <w:color w:val="000000"/>
                <w:sz w:val="22"/>
                <w:szCs w:val="22"/>
              </w:rPr>
              <w:t xml:space="preserve">зчиком товарной накладной на данный товар (партию товара) или универсального передаточного документа либо, в случаях, предусмотренных Договором, со дня подписания Акта взаимосверки обязательств на основании представленных Поставщиком счета и счета-фактуры.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Информация о валюте, используемой для формирования цены договора и расчетов с поставщиками (подрядчиками, исполнителями)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Рубль Российской Федерации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гарантии качества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В соответствии </w:t>
            </w:r>
            <w:r>
              <w:rPr>
                <w:rFonts w:cs="Times New Roman"/>
                <w:sz w:val="22"/>
                <w:szCs w:val="22"/>
              </w:rPr>
              <w:t xml:space="preserve">с </w:t>
            </w:r>
            <w:r>
              <w:rPr>
                <w:rFonts w:cs="Times New Roman"/>
                <w:sz w:val="22"/>
                <w:szCs w:val="22"/>
              </w:rPr>
              <w:t xml:space="preserve">техническим </w:t>
            </w:r>
            <w:r>
              <w:rPr>
                <w:rFonts w:cs="Times New Roman"/>
                <w:sz w:val="22"/>
                <w:szCs w:val="22"/>
              </w:rPr>
              <w:t xml:space="preserve">заданием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№1), </w:t>
            </w:r>
            <w:r>
              <w:rPr>
                <w:rFonts w:cs="Times New Roman"/>
                <w:sz w:val="22"/>
                <w:szCs w:val="22"/>
              </w:rPr>
              <w:t xml:space="preserve">проектом договора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2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  <w:t xml:space="preserve">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Участники процедуры закупки должны соответствовать требованиям, предъявляемым в соответствии с Положением о закупках и </w:t>
            </w:r>
            <w:r>
              <w:rPr>
                <w:b/>
                <w:bCs/>
                <w:sz w:val="22"/>
                <w:szCs w:val="22"/>
              </w:rPr>
              <w:t xml:space="preserve">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b/>
                <w:sz w:val="22"/>
              </w:rPr>
              <w:t xml:space="preserve">Требования к участникам закупки: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а) непроведение ликвидации участника кон</w:t>
            </w:r>
            <w:r>
              <w:rPr>
                <w:sz w:val="22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в) отсутств</w:t>
            </w:r>
            <w:r>
              <w:rPr>
                <w:sz w:val="22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sz w:val="22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sz w:val="22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е) соответствие участника конкурентной закупки с </w:t>
            </w:r>
            <w:r>
              <w:rPr>
                <w:sz w:val="22"/>
              </w:rPr>
              <w:t xml:space="preserve">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sz w:val="22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Заказчиком также установлено требование об отсутствии сведений об участниках закупки в реестре недобросовестных поставщиков, предусмотренном статьей 5 Федерального закона от 18 июля 2011 года № 223-ФЗ «О закупках товаров, работ, услуг отд</w:t>
            </w:r>
            <w:r>
              <w:rPr>
                <w:sz w:val="22"/>
                <w:szCs w:val="22"/>
                <w:lang w:eastAsia="en-US"/>
              </w:rPr>
              <w:t xml:space="preserve">ельными видами юридических лиц», и в реестре недобросовестных поставщиков, предусмотренном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ind w:firstLine="330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  <w:t xml:space="preserve">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Требования к содержанию и составу заявки на участие в аукционе в электронной форме.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аукциона в электронной форме формирует заявку на участие в аукционе в электронной </w:t>
            </w:r>
            <w:r>
              <w:rPr>
                <w:sz w:val="22"/>
                <w:szCs w:val="22"/>
              </w:rPr>
              <w:t xml:space="preserve">форме в соответствии с регламентом электронной площадки, определенной для проведения настоящего аукциона в электронной форме, требованиями Федерального закона № 223-ФЗ, Положения, а также требованиями настоящей документации об аукционе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описании условий и предложений участником аукциона в электронной форме должны п</w:t>
            </w:r>
            <w:r>
              <w:rPr>
                <w:sz w:val="22"/>
                <w:szCs w:val="22"/>
              </w:rPr>
              <w:t xml:space="preserve">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аукциона в электронной форме, не должны допускать двусмысленных толкований.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Электронные документы, входящие в состав заявки должны иметь один из распространенных форматов документов: с расширением (*.doc), (*.docx), (*.xls), (*.xlsx), (*.txt), (*.pdf), (*.jpg), либо</w:t>
            </w:r>
            <w:r>
              <w:rPr>
                <w:sz w:val="22"/>
                <w:szCs w:val="22"/>
              </w:rPr>
              <w:t xml:space="preserve">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Документы, подписанные электронной подписью (далее – ЭП) участника аукциона в электронной форме, лица, имеюще</w:t>
            </w:r>
            <w:r>
              <w:rPr>
                <w:sz w:val="22"/>
                <w:szCs w:val="22"/>
              </w:rPr>
              <w:t xml:space="preserve">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форме, лица имеющего право действовать от имени участника, заверенные печатью организации.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ЭП участника аукциона в электронной форме подтверждает, что документ отправлен от имени участника аукциона в электронной форме и является точной цифровой копией документа-оригинала. 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Файлы первой части заявки размещаются отдельно от файлов второй части заявки в соответствующих разделах на ЭТП.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</w:t>
            </w:r>
            <w:r>
              <w:rPr>
                <w:sz w:val="22"/>
                <w:szCs w:val="22"/>
              </w:rPr>
              <w:t xml:space="preserve">невозможно, не допускается.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Каждый потенциальный участник закупки вправе подать только одну заявку на участие.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в электронной форме состоит из двух частей: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  <w:lang w:val="en-US"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Первая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с участием субъектов малого и среднего предпринимательства должна содержать предложение участника конкурентной закупки в отношении предмета такой закупки, в том числе следующую информацию: 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при осуществлении закупки на поставку товара: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) согласие участника процедуры закупки на поставку товара на условиях, предусмотренных документацией (извещением) о закупке, проектом договора, в том числе означающее: согласие с товарным(ми) знаком, указание на который содержится в документации о закупке 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согласие участника процедуры закупки на поставку товара </w:t>
            </w:r>
            <w:r>
              <w:rPr>
                <w:sz w:val="22"/>
                <w:szCs w:val="22"/>
              </w:rPr>
              <w:t xml:space="preserve">на условиях, предусмотренных документацией (извещением) о закупке, проектом договора, в том числе: конкретные показатели, соответствующие значениям, установленным документацией о закупке, и товарный знак (при его наличии) предлагаемого для поставки товара 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согласие участника процедуры закупки на выполнение работ, оказание услуг на условиях, предусмотренных документацией о закупке, при условии осуществления закупки на выполнение работ, оказание услуг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при осуществлении закупки на выполнение работ, оказание услуг для выполнения, оказания которых используется товар: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 в том числе, означающее согласие на использование товара, указание на товарный знак которого, содержится в документации о закупке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2, а также конкретные показатели, соответствующие значениям, установленным документацией о закупке, и товарный знак (при его наличии) предлагаемого для использования товара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ind w:firstLine="32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Первая часть заявки на участие в аукционе должна содержать предложение участника закупки в отношении предмета закупки.</w:t>
            </w:r>
            <w:r>
              <w:rPr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содержания в первой части заявки на участие в </w:t>
            </w:r>
            <w:r>
              <w:rPr>
                <w:sz w:val="22"/>
                <w:szCs w:val="22"/>
              </w:rPr>
              <w:t xml:space="preserve">конкурсе</w:t>
            </w:r>
            <w:r>
              <w:rPr>
                <w:sz w:val="22"/>
                <w:szCs w:val="22"/>
              </w:rPr>
              <w:t xml:space="preserve"> в электронной форме, аукционе в электронной форме, запросе предложений в электронной форме сведений об участнике таких конкурса, аукциона или запроса предложений и (или) о ценовом предложении данная заявка подлежит отклонению.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Вторая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должна содержать следующую информацию: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1) наименование,</w:t>
            </w:r>
            <w:r>
              <w:rPr>
                <w:sz w:val="22"/>
                <w:szCs w:val="22"/>
              </w:rPr>
              <w:t xml:space="preserve"> фирменное наименование (при наличии), адрес юридического лица в пределах места нахождения юридического лица, учредительный документ, если участником конкурентной закупки с участием субъектов малого и среднего предпринимательства является юридическое лицо;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фамилия, имя, отчество (при наличии), пасп</w:t>
            </w:r>
            <w:r>
              <w:rPr>
                <w:sz w:val="22"/>
                <w:szCs w:val="22"/>
              </w:rPr>
              <w:t xml:space="preserve">ортные данные, адрес места жительства физического лица, зарегистрированного в качестве индивидуального предпринимателя, если участником конкурентной закупки с участием субъектов малого и среднего предпринимательства является индивидуальный предприниматель;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</w:t>
            </w:r>
            <w:r>
              <w:rPr>
                <w:sz w:val="22"/>
                <w:szCs w:val="22"/>
              </w:rPr>
              <w:t xml:space="preserve">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</w:t>
            </w:r>
            <w:r>
              <w:rPr>
                <w:sz w:val="22"/>
                <w:szCs w:val="22"/>
              </w:rPr>
              <w:t xml:space="preserve">тником конкурентной закупки с участием субъектов малого и среднего предпринимательства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копия документа, подтверждающего полномочия лица действовать от имени участника конкурентной закупки с участием субъектов малого и среднего предпринимательства, за исключением случаев подписания заявки: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индивидуальным предпринимателем, если участником такой закупки является индивидуальный предприниматель;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6) копии документов, подтверждающих соответствие участника конкурентной закупки с участием субъектов малого и среднего предпринимательства требованиям, установленным в соответствии с законодательством Российской Федерации к лицам, осуще</w:t>
            </w:r>
            <w:r>
              <w:rPr>
                <w:sz w:val="22"/>
                <w:lang w:eastAsia="ru-RU"/>
              </w:rPr>
              <w:t xml:space="preserve">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7)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</w:t>
            </w:r>
            <w:r>
              <w:rPr>
                <w:sz w:val="22"/>
                <w:lang w:eastAsia="ru-RU"/>
              </w:rPr>
              <w:t xml:space="preserve">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</w:t>
            </w:r>
            <w:r>
              <w:rPr>
                <w:sz w:val="22"/>
                <w:lang w:eastAsia="ru-RU"/>
              </w:rPr>
              <w:t xml:space="preserve">пки, документации о конкурентной 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8) информаци</w:t>
            </w:r>
            <w:r>
              <w:rPr>
                <w:sz w:val="22"/>
                <w:lang w:eastAsia="ru-RU"/>
              </w:rPr>
              <w:t xml:space="preserve">я и документы об обеспечении заявки на участие в конкурентной закупке с участием субъектов малого и среднего предпринимательства, если соответствующее требование предусмотрено извещением об осуществлении такой закупки, документацией о конкурентной закупке: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</w:t>
            </w:r>
            <w:r>
              <w:rPr>
                <w:sz w:val="22"/>
                <w:lang w:eastAsia="ru-RU"/>
              </w:rPr>
              <w:t xml:space="preserve">реквизиты специального банковского счета участника конкурентной закупки с участием субъектов малого и среднего предпринимательства, если обеспечение заявки на участие в такой закупке предоставляется участником такой закупки путем внесения денежных средств;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независимая гарантия или ее копия, если в качестве обеспечения заявки на участие в конкурентной закупке с участием субъектов малого </w:t>
            </w:r>
            <w:r>
              <w:rPr>
                <w:sz w:val="22"/>
                <w:lang w:eastAsia="ru-RU"/>
              </w:rPr>
              <w:t xml:space="preserve">и среднего предпринимательства участником такой закупки предоставляется независимая гарантия;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9) декларация, подтверждающая на дату подачи заявки на участие в конкурентной закупке с участием субъектов малого и среднего предпринимательства: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непроведение ликвидации участника кон</w:t>
            </w:r>
            <w:r>
              <w:rPr>
                <w:sz w:val="22"/>
                <w:lang w:eastAsia="ru-RU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в) отсутств</w:t>
            </w:r>
            <w:r>
              <w:rPr>
                <w:sz w:val="22"/>
                <w:lang w:eastAsia="ru-RU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sz w:val="22"/>
                <w:lang w:eastAsia="ru-RU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sz w:val="22"/>
                <w:lang w:eastAsia="ru-RU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  <w:lang w:eastAsia="ru-RU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  <w:lang w:eastAsia="ru-RU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  <w:lang w:eastAsia="ru-RU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  <w:lang w:eastAsia="ru-RU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  <w:lang w:eastAsia="ru-RU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  <w:lang w:eastAsia="ru-RU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</w:t>
            </w:r>
            <w:r>
              <w:rPr>
                <w:sz w:val="22"/>
                <w:lang w:eastAsia="ru-RU"/>
              </w:rPr>
              <w:t xml:space="preserve">документации о конкурентной закупке требованиям законодательства Российской Фе</w:t>
            </w:r>
            <w:r>
              <w:rPr>
                <w:sz w:val="22"/>
                <w:lang w:eastAsia="ru-RU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ПРИМЕНЯЕТСЯ</w:t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(В случае отсутствия возможности формирован</w:t>
            </w:r>
            <w:r>
              <w:rPr>
                <w:i/>
                <w:sz w:val="20"/>
                <w:szCs w:val="20"/>
              </w:rPr>
              <w:t xml:space="preserve">ия декларации, подтверждающей соответствие требованиям, установленным пунктом 9 настоящей документации о конкурентной закупке (извещении об осуществлении конкурентной закупки) с применением аппаратно-программных средств электронной площадки, участник закуп</w:t>
            </w:r>
            <w:r>
              <w:rPr>
                <w:i/>
                <w:sz w:val="20"/>
                <w:szCs w:val="20"/>
              </w:rPr>
              <w:t xml:space="preserve">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конкурентной закупке (извещению об осуществлении конкурентной закупки)</w:t>
            </w:r>
            <w:r>
              <w:rPr>
                <w:i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10) копии документов, подтверждающих соответствие </w:t>
            </w:r>
            <w:r>
              <w:rPr>
                <w:sz w:val="22"/>
                <w:lang w:eastAsia="ru-RU"/>
              </w:rPr>
              <w:t xml:space="preserve">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</w:t>
            </w:r>
            <w:r>
              <w:rPr>
                <w:sz w:val="22"/>
                <w:lang w:eastAsia="ru-RU"/>
              </w:rPr>
              <w:t xml:space="preserve">кой Федерации и перечень таких документов предусмотрен документацией о конкурентной 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11) </w:t>
            </w:r>
            <w:r>
              <w:rPr>
                <w:sz w:val="22"/>
                <w:szCs w:val="22"/>
                <w:lang w:val="ru-RU" w:eastAsia="ru-RU"/>
              </w:rPr>
              <w:t xml:space="preserve">наименование страны происхождения п</w:t>
            </w:r>
            <w:r>
              <w:rPr>
                <w:sz w:val="22"/>
                <w:szCs w:val="22"/>
                <w:lang w:val="ru-RU" w:eastAsia="ru-RU"/>
              </w:rPr>
              <w:t xml:space="preserve">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</w:t>
            </w:r>
            <w:r>
              <w:rPr>
                <w:sz w:val="22"/>
                <w:szCs w:val="22"/>
                <w:lang w:val="ru-RU" w:eastAsia="ru-RU"/>
              </w:rPr>
              <w:t xml:space="preserve"> № 223-ФЗ</w:t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Информацией и документами, подтверждающими страну происхождения товара в части вышеприведенных мер, и в целях учета объема закупок товаров российского происхождения, является:</w:t>
            </w:r>
            <w:r>
              <w:rPr>
                <w:sz w:val="22"/>
                <w:szCs w:val="22"/>
                <w:lang w:val="ru-RU" w:eastAsia="ru-RU"/>
              </w:rPr>
            </w:r>
          </w:p>
          <w:tbl>
            <w:tblPr>
              <w:tblStyle w:val="771"/>
              <w:tblW w:w="68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3444"/>
              <w:gridCol w:w="3364"/>
            </w:tblGrid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960561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номер реестровой записи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1665890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российского (евразийского) реестра промышленной продукции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05429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реестра российского (евразийского) программного обеспечения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7244521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eastAsia="MS Gothic" w:cs="Segoe UI Symbol"/>
                          <w:bCs/>
                          <w:sz w:val="22"/>
                          <w:szCs w:val="22"/>
                        </w:rPr>
                        <w:t xml:space="preserve">☒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наименование страны происхождения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8823986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акт экспертизы ТПП РФ или аналогичный документ, выданный в ЕАЭС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14720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☒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сертификат о происхождении товара (СТ-1)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1305064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реквизиты (дата и номер) документа о соответствии производства медизделий требованиям ГОСТ ISO 13485-2017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rStyle w:val="755"/>
                <w:szCs w:val="22"/>
              </w:rPr>
              <w:footnoteReference w:id="3"/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Предоставление в составе второй части заявки на участие в аукционе выписки из Единого реестра субъектов малого и среднего </w:t>
            </w:r>
            <w:r>
              <w:rPr>
                <w:sz w:val="22"/>
                <w:szCs w:val="22"/>
                <w:lang w:val="ru-RU" w:eastAsia="ru-RU"/>
              </w:rPr>
              <w:t xml:space="preserve">предпринимательства.</w:t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РЕКОМЕНДУЕТСЯ </w:t>
            </w:r>
            <w:r>
              <w:rPr>
                <w:sz w:val="22"/>
                <w:szCs w:val="22"/>
              </w:rPr>
              <w:t xml:space="preserve">(ДОПУСКАЕТСЯ)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454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  <w:t xml:space="preserve">. Порядок подачи заявок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>
              <w:rPr>
                <w:sz w:val="22"/>
                <w:szCs w:val="22"/>
              </w:rPr>
              <w:t xml:space="preserve">Российский аукционный дом</w:t>
            </w:r>
            <w:r>
              <w:rPr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14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</w:t>
            </w:r>
            <w:r>
              <w:rPr>
                <w:sz w:val="22"/>
                <w:szCs w:val="22"/>
              </w:rPr>
              <w:t xml:space="preserve">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не допускается Закупочной комиссией к дальнейшему участию в закупке в случаях: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 ценовом предложении участника;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об участнике закупки;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-непредставления соответствующих этапу закупки документов, или предоставления их с нарушением условий, указанных в настоящей закупочной документации; 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-несоответствия Спецификации технической части, технического пр</w:t>
            </w:r>
            <w:r>
              <w:rPr>
                <w:sz w:val="22"/>
                <w:szCs w:val="22"/>
              </w:rPr>
              <w:t xml:space="preserve">едложения (технических характеристик продукции, технических условий продукции, сроков поставки товара/выполнения работ/оказания услуг) требованиям настоящей закупочной документации (если данные технические требования, условия, определены как обязательные);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несоответствие требованиям закупочной документации для данной закупки.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>
              <w:rPr>
                <w:b/>
                <w:sz w:val="22"/>
                <w:szCs w:val="22"/>
              </w:rPr>
              <w:t xml:space="preserve">. Внесение изменений в документацию о закупке.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Разъяснение положений закупочной документации.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Внесение изменений в извещение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до окончания срока подачи заявок вправе принять решение о внесении изменений в извещение о проведении аукциона в электронной форме, документацию о закупке. При этом может быть продлен срок окончания подачи заявок.</w:t>
            </w:r>
            <w:r>
              <w:rPr>
                <w:sz w:val="22"/>
                <w:szCs w:val="22"/>
              </w:rPr>
            </w:r>
          </w:p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</w:t>
            </w:r>
            <w:r>
              <w:rPr>
                <w:sz w:val="22"/>
                <w:szCs w:val="22"/>
              </w:rPr>
              <w:t xml:space="preserve">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</w:t>
            </w:r>
            <w:r>
              <w:rPr>
                <w:sz w:val="22"/>
                <w:szCs w:val="22"/>
              </w:rPr>
              <w:t xml:space="preserve">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</w:t>
            </w:r>
            <w:r>
              <w:rPr>
                <w:sz w:val="22"/>
                <w:szCs w:val="22"/>
              </w:rPr>
              <w:t xml:space="preserve">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>
              <w:rPr>
                <w:b/>
                <w:sz w:val="22"/>
                <w:szCs w:val="22"/>
              </w:rPr>
              <w:t xml:space="preserve">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</w:t>
            </w:r>
            <w:r>
              <w:rPr>
                <w:b/>
                <w:sz w:val="22"/>
                <w:szCs w:val="22"/>
              </w:rPr>
              <w:t xml:space="preserve">. Порядок рассмотрения, критерии оценки и сопоставления заявок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.1. Заявки участников принимаются в течение срока подачи заявок, установленного закупочной документацией.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.2. Участник вправе подать только одну заявку на участие в аукционе в электронной форме. В случае установления факта подачи одним участником закупки двух и более заявок на участие в аукционе в </w:t>
            </w:r>
            <w:r>
              <w:rPr>
                <w:sz w:val="22"/>
                <w:szCs w:val="22"/>
              </w:rPr>
              <w:t xml:space="preserve">электронной форме, при условии, что поданные ранее этим участником заявки на участие в аукционе в электронной форме не отозваны, все заявки на участие в аукционе в электронной форме этого участника не рассматриваются.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.3. Участники, подавшие заявки, обязаны обеспечить конфиденциальность сведений, содержащихся в таких заявках. 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.4. Участник, подавший заявку, вправе изменить ее до окончания срока подачи заявок. Изменения, внесенные в заявку, считаются неотъемлемой ее частью. Изменения в заявку подаются в</w:t>
            </w:r>
            <w:r>
              <w:rPr>
                <w:sz w:val="22"/>
                <w:szCs w:val="22"/>
              </w:rPr>
              <w:t xml:space="preserve"> срок и в порядке, предусмотренные для подачи заявок. Внесение изменений в заявку после окончания срока подачи заявок не допускается. При этом при подаче участником закупки (новой) измененной заявки, предыдущая заявка такого участника должна быть отозвана.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.5. Участник, подавший заявку, вправе отозвать ее до окончания срока подачи заявок. Отзыв заявок после окончания срока подачи заявок не допускается.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.6. Заявка на участие в закупочной процедуре действует в течение </w:t>
            </w:r>
            <w:r>
              <w:rPr>
                <w:sz w:val="22"/>
                <w:szCs w:val="22"/>
              </w:rPr>
              <w:t xml:space="preserve">срока, указанного в заявке участника (при этом, срок, указанный в заявке участника, не должен оканчиваться ранее срока окончания подачи заявок участниками, установленного закупочной документацией по закупке, в отношении которой подается заявка участником).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.7. Аукцион в электронной форме включает в себя порядок подачи его участниками предложений о цене договора с учетом следующих требований: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«шаг аукциона» составляет от 0,5 процента до 5 процентов начальной (максимальной) цены договора;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снижение текущего минимального предложения о цене договора осуществляется на величину в пределах «шага аукциона»;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участник аукциона в электронной форме не вправе подать предложение о цене договора, равное ранее поданному этим участником предложению о цене договора или большее, чем оно, а также предложение о цене договора, равное нулю;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участник аукциона в электронной форме не вправе подать предложение о цене договора, которое ниже, чем текущее минимальное предложение о цене договора, сниженное в пределах «шага аукциона»;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участник аукциона в электронной форме не вправе подать предложение о цене договора, которое ниже, чем текущее минимальное предложение о цене договора, в случае, если оно подано этим участником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.8. В течение часа после размещения в ЕИС протокола сопоставления ценовых предложений</w:t>
            </w:r>
            <w:r>
              <w:rPr>
                <w:sz w:val="22"/>
                <w:szCs w:val="22"/>
              </w:rPr>
              <w:t xml:space="preserve"> оператор электронной площадки направляет Заказчику результаты осуществленного сопоставления ценовых предложений, информацию о ценовых предложениях каждого участника аукциона в электронной форме, вторые части заявок участников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7</w:t>
            </w:r>
            <w:r>
              <w:rPr>
                <w:sz w:val="22"/>
                <w:szCs w:val="22"/>
                <w:lang w:eastAsia="en-US"/>
              </w:rPr>
              <w:t xml:space="preserve">.9. </w:t>
            </w:r>
            <w:r>
              <w:rPr>
                <w:sz w:val="22"/>
                <w:szCs w:val="22"/>
              </w:rPr>
              <w:t xml:space="preserve">Заявки на участие в аукционе в электронной форме и участники закупки, подавшие такие заявки, рассматриваются </w:t>
            </w:r>
            <w:r>
              <w:rPr>
                <w:sz w:val="22"/>
                <w:szCs w:val="22"/>
                <w:lang w:eastAsia="en-US"/>
              </w:rPr>
              <w:t xml:space="preserve">Закупочной комиссией </w:t>
            </w:r>
            <w:r>
              <w:rPr>
                <w:sz w:val="22"/>
                <w:szCs w:val="22"/>
              </w:rPr>
              <w:t xml:space="preserve">на соответствие требованиям, установленным закупочной документацией</w:t>
            </w:r>
            <w:r>
              <w:rPr>
                <w:sz w:val="22"/>
                <w:szCs w:val="22"/>
                <w:lang w:eastAsia="en-US"/>
              </w:rPr>
              <w:t xml:space="preserve">:</w:t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общим требованиям к участникам закупки;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специальным требованиям к участникам закупки (если такие требования установлены закупочной документацией);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товаров, работ, услуг, договорных условий, предлагаемых участником закупки, требованиям, установленным закупочной документацией;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заявки участника требованиям закупочной документации;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участником всех документов и сведений, предусмотренных закупочной документацией;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достоверность документов и сведений, предоставленных в составе заявки участника.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закупочной документации может устанавливаться требование об антидемпинговых мерах, если такие требования предусмотрены Положением о закупке товаров, работ, услуг.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.12. На основании результатов рассмотрения заявок на участие в аукционе в электронной форме Закупочной комиссией принимается решение о соответствии заявки требованиям закупочной документации или об отклонении такой заявки.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8</w:t>
            </w:r>
            <w:r>
              <w:rPr>
                <w:b/>
                <w:sz w:val="22"/>
                <w:szCs w:val="22"/>
                <w:lang w:eastAsia="en-US"/>
              </w:rPr>
              <w:t xml:space="preserve">. Завершение процедуры закупки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Рассмотрение заявок (первых, вторых частей), подведение итогов </w:t>
            </w:r>
            <w:r>
              <w:rPr>
                <w:b/>
                <w:sz w:val="22"/>
                <w:szCs w:val="22"/>
              </w:rPr>
              <w:t xml:space="preserve">аукциона в электронной форме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 итогам рассмотрения первых частей заявок на участие в аукционе в элек</w:t>
            </w:r>
            <w:r>
              <w:rPr>
                <w:sz w:val="22"/>
                <w:szCs w:val="22"/>
                <w:lang w:eastAsia="en-US"/>
              </w:rPr>
              <w:t xml:space="preserve">тронной форме заказчик направляет оператору электронной площадки протокол, указанный в части 13 статьи 3.2 Закона № 223-ФЗ. В течение часа с момента получения указанного протокола оператор электронной площадки размещает его в единой информационной системе.</w:t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Оператор электронной площадки в следующем порядке направляет заказчику вторые части заявок на участие в аукционе в электронной форме сроки, установленные документацией о закупке.</w:t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Комиссия по осуществлению закупок на основании результатов рассмотрения заявок на участие в аукционе в электронной форме присваивает каждой заявке порядковый номер в порядке уменьшения степени выгодности содержащихся в них условий исп</w:t>
            </w:r>
            <w:r>
              <w:rPr>
                <w:sz w:val="22"/>
                <w:szCs w:val="22"/>
              </w:rPr>
              <w:t xml:space="preserve">олнения договора, наименьшему ценовому предложению,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отказа от проведения закупочной процедуры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ЕИС в день принятия этого решения.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.3.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аукциона в электронной форме в составе заявки, а также предложенной в ходе проведения аукциона в электронной ф</w:t>
            </w:r>
            <w:r>
              <w:rPr>
                <w:sz w:val="22"/>
                <w:szCs w:val="22"/>
              </w:rPr>
              <w:t xml:space="preserve">орме цены договора / начальной (максимальной) цены договора или иной согласованной с единственным участником аукциона 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если при проведении аукциона в электронной форме цена договора снижена до нуля и аукцион в электронной форме проводился на право заключить договор.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.4.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Договор по результатам аукциона в электронной форме заключается не ранее чем через 10 (десять) дней и не позднее чем через 20 (двадцать) дней с даты размещения в ЕИС итогового протокола, составленного по результатам аукциона в электронной форме. </w:t>
            </w:r>
            <w:r>
              <w:rPr>
                <w:bCs/>
                <w:sz w:val="22"/>
                <w:szCs w:val="22"/>
                <w:lang w:eastAsia="en-US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Договор по </w:t>
            </w:r>
            <w:r>
              <w:rPr>
                <w:bCs/>
                <w:sz w:val="22"/>
                <w:szCs w:val="22"/>
                <w:lang w:eastAsia="en-US"/>
              </w:rPr>
              <w:t xml:space="preserve">результатам конкурентной закупки с участием субъектов малого и среднего предпринимательства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</w:t>
            </w:r>
            <w:r>
              <w:rPr>
                <w:bCs/>
                <w:sz w:val="22"/>
                <w:szCs w:val="22"/>
                <w:lang w:eastAsia="en-US"/>
              </w:rPr>
              <w:t xml:space="preserve">и соответственно участника такой конкурентной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</w:t>
            </w:r>
            <w:r>
              <w:rPr>
                <w:bCs/>
                <w:sz w:val="22"/>
                <w:szCs w:val="22"/>
                <w:lang w:eastAsia="en-US"/>
              </w:rPr>
              <w:t xml:space="preserve">тветствующим документации о конкурентной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bCs/>
                <w:sz w:val="22"/>
                <w:szCs w:val="22"/>
                <w:lang w:eastAsia="en-US"/>
              </w:rPr>
              <w:t xml:space="preserve">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.5.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Обязанность участника </w:t>
            </w:r>
            <w:r>
              <w:rPr>
                <w:b/>
                <w:bCs/>
                <w:sz w:val="22"/>
                <w:szCs w:val="22"/>
              </w:rPr>
              <w:t xml:space="preserve">отслеживать информацию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580"/>
              <w:jc w:val="both"/>
              <w:widowControl w:val="off"/>
              <w:tabs>
                <w:tab w:val="num" w:pos="198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должны самостоятельно отслеживать </w:t>
            </w:r>
            <w:r>
              <w:rPr>
                <w:sz w:val="22"/>
                <w:szCs w:val="22"/>
              </w:rPr>
              <w:t xml:space="preserve">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.6.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Возможность заказчика изменить условия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ПРЕДУСМОТРЕНО:</w:t>
            </w:r>
            <w:r>
              <w:rPr>
                <w:sz w:val="22"/>
                <w:szCs w:val="22"/>
              </w:rPr>
              <w:t xml:space="preserve"> в соответствии с условиями договора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.7.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Последствия уклонения участника от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Победитель закупки признан уклонившимся от заключения договора в следующих случаях: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</w:t>
            </w:r>
            <w:r>
              <w:rPr>
                <w:sz w:val="22"/>
                <w:szCs w:val="22"/>
              </w:rPr>
              <w:t xml:space="preserve">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об аукционе в электронной форме и проектом договора.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аукциона в электронной форме цена договора снижена до нуля и аукцион в электронной форме проводился на право заключить договор).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аукциона в электронной форме, заявке которого присвоен второй номер.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794"/>
        <w:ind w:left="1134"/>
        <w:pageBreakBefore/>
        <w:rPr>
          <w:rFonts w:ascii="Times New Roman" w:hAnsi="Times New Roman"/>
          <w:sz w:val="22"/>
          <w:szCs w:val="22"/>
        </w:rPr>
      </w:pPr>
      <w:r/>
      <w:bookmarkStart w:id="3" w:name="_Toc536454773"/>
      <w:r/>
      <w:bookmarkStart w:id="4" w:name="_Ref314161369"/>
      <w:r/>
      <w:bookmarkStart w:id="5" w:name="_Toc415874697"/>
      <w:r/>
      <w:bookmarkStart w:id="6" w:name="_Ref414291069"/>
      <w:r/>
      <w:bookmarkStart w:id="7" w:name="_Ref414276712"/>
      <w:r/>
      <w:bookmarkStart w:id="8" w:name="_Hlk128567428"/>
      <w:r>
        <w:rPr>
          <w:rFonts w:ascii="Times New Roman" w:hAnsi="Times New Roman"/>
          <w:sz w:val="22"/>
          <w:szCs w:val="22"/>
        </w:rPr>
        <w:t xml:space="preserve">ОБРАЗЦЫ ФОРМ ДОКУМЕНТОВ, ВКЛЮЧАЕМЫХ В ЗАЯВКУ</w:t>
      </w:r>
      <w:bookmarkEnd w:id="3"/>
      <w:r/>
      <w:bookmarkEnd w:id="4"/>
      <w:r/>
      <w:bookmarkEnd w:id="5"/>
      <w:r/>
      <w:bookmarkEnd w:id="6"/>
      <w:r/>
      <w:bookmarkEnd w:id="7"/>
      <w:r/>
      <w:r>
        <w:rPr>
          <w:rFonts w:ascii="Times New Roman" w:hAnsi="Times New Roman"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i/>
          <w:sz w:val="22"/>
          <w:szCs w:val="22"/>
          <w:shd w:val="clear" w:color="auto" w:fill="ffff99"/>
        </w:rPr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ВНИМАНИЮ УЧАСТНИКОВ ЗАКУПКИ!</w:t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bCs/>
          <w:sz w:val="22"/>
          <w:szCs w:val="22"/>
        </w:rPr>
        <w:t xml:space="preserve"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Образцы форм документов, включаемых в первую часть заявки</w:t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  <w:t xml:space="preserve">В первой части заявки на участие в аукционе в электронной форме не допускается указание сведений об участнике аукциона (организационно-правовую форму, адрес, печати, подписи, и пр.), а также сведений о ценовом предложении!</w:t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iCs/>
          <w:sz w:val="22"/>
          <w:szCs w:val="22"/>
        </w:rPr>
        <w:t xml:space="preserve">ПЕРВАЯ ЧАСТЬ ЗАЯВКИ</w:t>
      </w:r>
      <w:r>
        <w:rPr>
          <w:b/>
          <w:sz w:val="22"/>
          <w:szCs w:val="22"/>
          <w:shd w:val="clear" w:color="auto" w:fill="ffff99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/>
      <w:bookmarkStart w:id="9" w:name="_Toc311975354"/>
      <w:r>
        <w:rPr>
          <w:sz w:val="22"/>
          <w:szCs w:val="22"/>
        </w:rPr>
        <w:t xml:space="preserve">Форма 1 </w:t>
      </w:r>
      <w:bookmarkEnd w:id="9"/>
      <w:r>
        <w:rPr>
          <w:sz w:val="22"/>
          <w:szCs w:val="22"/>
        </w:rPr>
        <w:t xml:space="preserve">первой части Заявки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«_____»___________ 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№__________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ЗАЯВКА НА УЧАСТИЕ В АУКЦИОНЕ В ЭЛЕКТРОННОЙ ФОРМЕ УЧАСТНИКАМИ КОТОРОГО МОГУТ ЯВЛЯТЬСЯ ТОЛЬКО СУБЪЕКТЫ МАЛОГО И СРЕДНЕГО ПРЕДПРИНИМАТЕЛЬСТВА</w:t>
      </w:r>
      <w:r>
        <w:rPr>
          <w:b/>
          <w:color w:val="000000"/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Кому</w:t>
      </w:r>
      <w:r>
        <w:rPr>
          <w:color w:val="000000"/>
          <w:sz w:val="22"/>
          <w:szCs w:val="22"/>
        </w:rPr>
        <w:t xml:space="preserve">: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firstLine="567"/>
        <w:jc w:val="both"/>
        <w:spacing w:before="120" w:after="200" w:line="276" w:lineRule="auto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Изучив извещение и документацию о закупке </w:t>
      </w:r>
      <w:r>
        <w:rPr>
          <w:sz w:val="22"/>
          <w:szCs w:val="22"/>
          <w:lang w:eastAsia="en-US"/>
        </w:rPr>
        <w:t xml:space="preserve">(включая все изменения и разъяснения к ней)</w:t>
      </w:r>
      <w:r>
        <w:rPr>
          <w:iCs/>
          <w:sz w:val="22"/>
          <w:szCs w:val="22"/>
          <w:lang w:eastAsia="en-US"/>
        </w:rPr>
        <w:t xml:space="preserve">, размещенные _________[</w:t>
      </w:r>
      <w:r>
        <w:rPr>
          <w:bCs/>
          <w:iCs/>
          <w:sz w:val="22"/>
          <w:szCs w:val="22"/>
          <w:shd w:val="clear" w:color="auto" w:fill="d9d9d9"/>
          <w:lang w:eastAsia="en-US"/>
        </w:rPr>
        <w:t xml:space="preserve">указывается дата официального размещения извещения, а также его номер</w:t>
      </w:r>
      <w:r>
        <w:rPr>
          <w:iCs/>
          <w:sz w:val="22"/>
          <w:szCs w:val="22"/>
          <w:lang w:eastAsia="en-US"/>
        </w:rPr>
        <w:t xml:space="preserve">], и </w:t>
      </w:r>
      <w:r>
        <w:rPr>
          <w:sz w:val="22"/>
          <w:szCs w:val="22"/>
          <w:lang w:eastAsia="en-US"/>
        </w:rPr>
        <w:t xml:space="preserve">безоговорочно </w:t>
      </w:r>
      <w:r>
        <w:rPr>
          <w:iCs/>
          <w:sz w:val="22"/>
          <w:szCs w:val="22"/>
          <w:lang w:eastAsia="en-US"/>
        </w:rPr>
        <w:t xml:space="preserve">принимая установленные в них требования </w:t>
      </w:r>
      <w:r>
        <w:rPr>
          <w:iCs/>
          <w:sz w:val="22"/>
          <w:szCs w:val="22"/>
          <w:lang w:eastAsia="en-US"/>
        </w:rPr>
        <w:t xml:space="preserve">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Мы подтверждаем свое согласие участвовать в вышеуказанной закупке на условиях, уста</w:t>
      </w:r>
      <w:r>
        <w:rPr>
          <w:iCs/>
          <w:sz w:val="22"/>
          <w:szCs w:val="22"/>
          <w:lang w:eastAsia="en-US"/>
        </w:rPr>
        <w:t xml:space="preserve">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>
        <w:rPr>
          <w:sz w:val="22"/>
          <w:szCs w:val="22"/>
          <w:lang w:eastAsia="en-US"/>
        </w:rPr>
        <w:t xml:space="preserve">с единственным участником конкурентной закупки </w:t>
      </w:r>
      <w:r>
        <w:rPr>
          <w:iCs/>
          <w:sz w:val="22"/>
          <w:szCs w:val="22"/>
          <w:lang w:eastAsia="en-US"/>
        </w:rPr>
        <w:t xml:space="preserve"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  <w:r>
        <w:rPr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соответствии с обязательными требованиями к участникам закупки подтверждаем наличие у нас специальных допусков, разрешений, лицензий и прочих разрешительных документов в соответствии с законодательством для исполнения обязательств по предмету договора.</w:t>
      </w:r>
      <w:r>
        <w:rPr>
          <w:sz w:val="22"/>
          <w:szCs w:val="22"/>
          <w:vertAlign w:val="superscript"/>
          <w:lang w:eastAsia="en-US"/>
        </w:rPr>
        <w:footnoteReference w:id="4"/>
      </w:r>
      <w:r>
        <w:rPr>
          <w:sz w:val="22"/>
          <w:szCs w:val="22"/>
          <w:lang w:eastAsia="en-US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  <w:br w:type="page" w:clear="all"/>
      </w:r>
      <w:r>
        <w:rPr>
          <w:sz w:val="22"/>
          <w:szCs w:val="22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Приложение </w:t>
      </w:r>
      <w:r>
        <w:rPr>
          <w:rFonts w:cs="Times New Roman"/>
          <w:sz w:val="20"/>
          <w:szCs w:val="20"/>
          <w:lang w:eastAsia="zh-CN"/>
        </w:rPr>
        <w:fldChar w:fldCharType="begin"/>
      </w:r>
      <w:r>
        <w:rPr>
          <w:rFonts w:cs="Times New Roman"/>
          <w:sz w:val="20"/>
          <w:szCs w:val="20"/>
          <w:lang w:eastAsia="zh-CN"/>
        </w:rPr>
        <w:instrText xml:space="preserve"> SEQ Приложение \* ARABIC </w:instrText>
      </w:r>
      <w:r>
        <w:rPr>
          <w:rFonts w:cs="Times New Roman"/>
          <w:sz w:val="20"/>
          <w:szCs w:val="20"/>
          <w:lang w:eastAsia="zh-CN"/>
        </w:rPr>
        <w:fldChar w:fldCharType="separate"/>
      </w:r>
      <w:r>
        <w:rPr>
          <w:rFonts w:cs="Times New Roman"/>
          <w:sz w:val="20"/>
          <w:szCs w:val="20"/>
          <w:lang w:eastAsia="zh-CN"/>
        </w:rPr>
        <w:t xml:space="preserve">1</w:t>
      </w:r>
      <w:r>
        <w:rPr>
          <w:rFonts w:cs="Times New Roman"/>
          <w:sz w:val="20"/>
          <w:szCs w:val="20"/>
          <w:lang w:eastAsia="zh-CN"/>
        </w:rPr>
        <w:fldChar w:fldCharType="end"/>
      </w:r>
      <w:r>
        <w:rPr>
          <w:rFonts w:cs="Times New Roman"/>
          <w:sz w:val="20"/>
          <w:szCs w:val="20"/>
          <w:lang w:eastAsia="zh-CN"/>
        </w:rPr>
        <w:t xml:space="preserve">к Форме Заявки</w:t>
      </w:r>
      <w:r>
        <w:rPr>
          <w:rFonts w:cs="Times New Roman"/>
          <w:sz w:val="20"/>
          <w:szCs w:val="20"/>
          <w:lang w:eastAsia="zh-CN"/>
        </w:rPr>
        <w:br/>
        <w:t xml:space="preserve">от «____»_____________ 20_ г. №__________</w:t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center"/>
        <w:widowControl w:val="off"/>
        <w:rPr>
          <w:rFonts w:cs="Times New Roman"/>
          <w:b/>
          <w:iCs/>
          <w:sz w:val="20"/>
          <w:szCs w:val="20"/>
          <w:lang w:eastAsia="zh-CN"/>
        </w:rPr>
      </w:pPr>
      <w:r>
        <w:rPr>
          <w:rFonts w:cs="Times New Roman"/>
          <w:b/>
          <w:iCs/>
          <w:sz w:val="20"/>
          <w:szCs w:val="20"/>
          <w:lang w:eastAsia="zh-CN"/>
        </w:rPr>
        <w:t xml:space="preserve">ТЕХНИЧЕСКОЕ ПРЕДЛОЖЕНИЕ</w:t>
      </w:r>
      <w:r>
        <w:rPr>
          <w:rFonts w:cs="Times New Roman"/>
          <w:b/>
          <w:iCs/>
          <w:sz w:val="20"/>
          <w:szCs w:val="20"/>
          <w:lang w:eastAsia="zh-CN"/>
        </w:rPr>
      </w:r>
    </w:p>
    <w:p>
      <w:pPr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360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«СВЕДЕНИЯ О ФУНКЦИОНАЛЬНЫХ, ТЕХНИЧЕСКИХ И КАЧЕСТВЕННЫХ ХАРАКТЕРИСТИКАХ ТОВАРА (РА</w:t>
      </w:r>
      <w:r>
        <w:rPr>
          <w:rFonts w:cs="Times New Roman"/>
          <w:sz w:val="20"/>
          <w:szCs w:val="20"/>
          <w:lang w:eastAsia="zh-CN"/>
        </w:rPr>
        <w:t xml:space="preserve">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ИЗВЕЩЕНИЕМ О ЗАПРОСЕ КОТИРОВОК В ЭЛЕКТРОННОЙ ФОРМЕ»</w:t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851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81"/>
        <w:gridCol w:w="1465"/>
        <w:gridCol w:w="3081"/>
        <w:gridCol w:w="579"/>
        <w:gridCol w:w="654"/>
        <w:gridCol w:w="1554"/>
        <w:gridCol w:w="1220"/>
        <w:gridCol w:w="1216"/>
      </w:tblGrid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№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пп.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товаров (работ, услуг)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Конкретные показатели, соответствующие значениям, установленным извещен</w:t>
            </w:r>
            <w:r>
              <w:rPr>
                <w:rFonts w:cs="Times New Roman"/>
                <w:sz w:val="20"/>
                <w:szCs w:val="20"/>
                <w:lang w:eastAsia="zh-CN"/>
              </w:rPr>
              <w:t xml:space="preserve">ием о запросе котировок,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Ед. изм.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Кол-во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страны происхождения товара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Цена за ед.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Сумма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1.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ind w:firstLine="33"/>
              <w:jc w:val="both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</w:tr>
    </w:tbl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center"/>
        <w:widowControl w:val="off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ВНИМАНИЮ УЧАСТНИКОВ ЗАКУПКИ: РЕКОМЕНДУЕТСЯ ВКЛЮЧАТЬ ВО ВТОРУЮ ЧАСТЬ ЗАЯВКИ!</w:t>
      </w:r>
      <w:r>
        <w:rPr>
          <w:b/>
          <w:bCs/>
          <w:sz w:val="18"/>
          <w:szCs w:val="18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Образцы форм документов, включаемых во вторую часть заявки</w:t>
      </w:r>
      <w:r>
        <w:rPr>
          <w:b/>
          <w:bCs/>
          <w:sz w:val="18"/>
          <w:szCs w:val="18"/>
        </w:rPr>
      </w:r>
    </w:p>
    <w:p>
      <w:pPr>
        <w:jc w:val="both"/>
        <w:spacing w:before="120"/>
        <w:rPr>
          <w:sz w:val="18"/>
          <w:szCs w:val="18"/>
        </w:rPr>
        <w:outlineLvl w:val="3"/>
      </w:pPr>
      <w:r>
        <w:rPr>
          <w:sz w:val="18"/>
          <w:szCs w:val="18"/>
        </w:rPr>
        <w:t xml:space="preserve">Форма 1 второй части Заявки</w:t>
      </w:r>
      <w:r>
        <w:rPr>
          <w:sz w:val="18"/>
          <w:szCs w:val="18"/>
        </w:rPr>
      </w:r>
    </w:p>
    <w:p>
      <w:pPr>
        <w:jc w:val="both"/>
        <w:spacing w:after="120"/>
        <w:rPr>
          <w:b/>
          <w:iCs/>
          <w:sz w:val="18"/>
          <w:szCs w:val="18"/>
        </w:rPr>
      </w:pPr>
      <w:r>
        <w:rPr>
          <w:sz w:val="18"/>
          <w:szCs w:val="18"/>
        </w:rPr>
        <w:t xml:space="preserve">«____» _____________ 202</w:t>
      </w:r>
      <w:r>
        <w:rPr>
          <w:sz w:val="18"/>
          <w:szCs w:val="18"/>
        </w:rPr>
        <w:t xml:space="preserve">6</w:t>
      </w:r>
      <w:r>
        <w:rPr>
          <w:sz w:val="18"/>
          <w:szCs w:val="18"/>
        </w:rPr>
        <w:t xml:space="preserve"> г. </w:t>
      </w:r>
      <w:r>
        <w:rPr>
          <w:b/>
          <w:iCs/>
          <w:sz w:val="18"/>
          <w:szCs w:val="18"/>
        </w:rPr>
      </w:r>
    </w:p>
    <w:p>
      <w:pPr>
        <w:jc w:val="center"/>
        <w:spacing w:after="240"/>
        <w:rPr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ВТОРАЯ ЧАСТЬ ЗАЯВКИ </w:t>
      </w:r>
      <w:r>
        <w:rPr>
          <w:iCs/>
          <w:sz w:val="18"/>
          <w:szCs w:val="18"/>
        </w:rPr>
        <w:t xml:space="preserve">(формируется в соответствии с пунктом 3.1 Информационной карты «Вторая часть ЗАЯВКИ»)</w:t>
      </w:r>
      <w:r>
        <w:rPr>
          <w:iCs/>
          <w:sz w:val="18"/>
          <w:szCs w:val="18"/>
        </w:rPr>
      </w:r>
    </w:p>
    <w:p>
      <w:pPr>
        <w:jc w:val="center"/>
        <w:spacing w:after="160" w:line="254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Рекомендуемая форма декларации о соответствии участника аукциона в электронной форме требованиям, установленными в п. 2.1 документации о закупке</w:t>
      </w:r>
      <w:r>
        <w:rPr>
          <w:color w:val="000000"/>
          <w:sz w:val="20"/>
          <w:szCs w:val="20"/>
        </w:rPr>
      </w:r>
    </w:p>
    <w:tbl>
      <w:tblPr>
        <w:tblW w:w="100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031"/>
      </w:tblGrid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709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Настоящим организация/физическое лицо/юридическое лицо______________________________________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 второй части заявки на участие в аукционе в электронной форме на 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(указывается наименование аукциона в электронной форме)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(реестровый номер закупки ___________________), сообщает о своем соответствии требованиям, установленным</w:t>
            </w:r>
            <w:r>
              <w:rPr>
                <w:sz w:val="20"/>
                <w:szCs w:val="20"/>
              </w:rPr>
              <w:t xml:space="preserve"> в пункте 2.1</w:t>
            </w:r>
            <w:r>
              <w:rPr>
                <w:color w:val="000000"/>
                <w:sz w:val="20"/>
                <w:szCs w:val="20"/>
              </w:rPr>
              <w:t xml:space="preserve"> Информационной карты, а именно: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а) непроведение ликвидации участника кон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в) отсутств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А также отсутствие сведений об участниках закупки в реестре недобросовестных поставщиков, предусмотренном статьей 5 Федерального закона от 18 июля 2011 года № 223-ФЗ «О закупках товаров, работ, услуг отдельными видами юридических лиц».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А</w:t>
      </w:r>
      <w:r>
        <w:rPr>
          <w:b/>
          <w:sz w:val="20"/>
          <w:szCs w:val="20"/>
        </w:rPr>
        <w:t xml:space="preserve">нкета участника </w:t>
      </w:r>
      <w:r>
        <w:rPr>
          <w:sz w:val="20"/>
          <w:szCs w:val="20"/>
        </w:rPr>
        <w:t xml:space="preserve">(рекомендуемая форма)</w:t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9"/>
        <w:gridCol w:w="5508"/>
        <w:gridCol w:w="4133"/>
      </w:tblGrid>
      <w:tr>
        <w:tblPrEx/>
        <w:trPr>
          <w:trHeight w:val="6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Сведения об участнике закупки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Полное наименование организации и ее организационно-правовая форма</w:t>
            </w:r>
            <w:r>
              <w:rPr>
                <w:sz w:val="20"/>
                <w:szCs w:val="20"/>
              </w:rPr>
              <w:t xml:space="preserve"> (для юридического лица</w:t>
            </w:r>
            <w:r>
              <w:rPr>
                <w:i/>
                <w:sz w:val="20"/>
                <w:szCs w:val="20"/>
              </w:rPr>
              <w:t xml:space="preserve">)</w:t>
            </w:r>
            <w:r>
              <w:rPr>
                <w:b/>
                <w:sz w:val="20"/>
                <w:szCs w:val="20"/>
              </w:rPr>
              <w:t xml:space="preserve">/ Ф.И.О. участника закупки </w:t>
            </w:r>
            <w:r>
              <w:rPr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Сокращенное наименование организации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Предыдущие полные и сокращенные наименования организации с указанием даты переименования и подтверждением правопреемственности.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>
              <w:rPr>
                <w:i/>
                <w:sz w:val="20"/>
                <w:szCs w:val="20"/>
              </w:rPr>
              <w:t xml:space="preserve">(на основании Свидетельства о государственной регистрации)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Учредители </w:t>
            </w:r>
            <w:r>
              <w:rPr>
                <w:sz w:val="20"/>
                <w:szCs w:val="20"/>
              </w:rPr>
              <w:t xml:space="preserve">(перечислить наименования и организационно-правовую форму всех учредителей, чья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  <w:r>
              <w:rPr>
                <w:i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>
              <w:rPr>
                <w:sz w:val="20"/>
                <w:szCs w:val="20"/>
              </w:rPr>
              <w:t xml:space="preserve">(для юридических лиц)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Срок деятельности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уставного капитала </w:t>
            </w:r>
            <w:r>
              <w:rPr>
                <w:sz w:val="20"/>
                <w:szCs w:val="20"/>
              </w:rPr>
              <w:t xml:space="preserve">( для юридических лиц)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ИНН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КПП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ОГРН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ОКПО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ОКТМО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ОКДП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ОКВЭД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Местонахождение </w:t>
            </w:r>
            <w:r>
              <w:rPr>
                <w:i/>
                <w:sz w:val="20"/>
                <w:szCs w:val="20"/>
              </w:rPr>
              <w:t xml:space="preserve">(для юридического лица)</w:t>
            </w:r>
            <w:r>
              <w:rPr>
                <w:b/>
                <w:sz w:val="20"/>
                <w:szCs w:val="20"/>
              </w:rPr>
              <w:t xml:space="preserve">/сведения о месте жительства </w:t>
            </w:r>
            <w:r>
              <w:rPr>
                <w:i/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Почтовый адрес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телефона с кодом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факса с кодом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Участника ( для приема заявок и иной документации)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страницы в Интернете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Руководитель </w:t>
            </w:r>
            <w:r>
              <w:rPr>
                <w:sz w:val="20"/>
                <w:szCs w:val="20"/>
              </w:rPr>
              <w:t xml:space="preserve">(должность, 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бухгалтер</w:t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Контактное лицо</w:t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Система налогообложения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Реквизиты уведомления о постановке на учет в ИФНС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ставки НДС 10% </w:t>
            </w:r>
            <w:r>
              <w:rPr>
                <w:sz w:val="20"/>
                <w:szCs w:val="20"/>
              </w:rPr>
              <w:t xml:space="preserve">(с приложением документов, подтверждающих право на применение пониженной ставки НДС)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освобождения от НДС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Основные виды деятельности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Лицензируемые виды деятельности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Номера лицензий, сроки их действия, наименование территорий на которых действуют лицензии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Банковские реквизиты </w:t>
            </w:r>
            <w:r>
              <w:rPr>
                <w:sz w:val="20"/>
                <w:szCs w:val="20"/>
              </w:rPr>
              <w:t xml:space="preserve">(может быть несколько)</w:t>
            </w:r>
            <w:r>
              <w:rPr>
                <w:b/>
                <w:sz w:val="20"/>
                <w:szCs w:val="20"/>
              </w:rPr>
              <w:t xml:space="preserve">: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обслуживающего банка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обслуживаемого банка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Расчетный счет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Корреспондентский счет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Код БИК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Перечень должностных лиц, уполномоченных подписывать счет-фактуры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Согласие участника закупки исполнить условия договора, указанные в документации о закупке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  <w:t xml:space="preserve">Мы, нижеподписавшееся, заверяем достоверность всех данных, указанных в анкете.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Главный бухгалтер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( Ф.И.О.) (подпись) М.П.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предприятия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( Ф.И.О.) (подпись) М.П. </w:t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подпись</w:t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bottom w:val="single" w:color="000000" w:sz="12" w:space="1"/>
        </w:pBd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0"/>
          <w:szCs w:val="20"/>
        </w:rPr>
        <w:outlineLvl w:val="3"/>
      </w:pPr>
      <w:r>
        <w:rPr>
          <w:bCs/>
          <w:sz w:val="20"/>
          <w:szCs w:val="20"/>
        </w:rPr>
        <w:t xml:space="preserve">КОНЕЦ ФОРМЫ</w:t>
      </w:r>
      <w:r>
        <w:rPr>
          <w:bCs/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2"/>
          <w:szCs w:val="22"/>
        </w:rPr>
        <w:outlineLvl w:val="3"/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spacing w:before="48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 w:clear="all"/>
      </w:r>
      <w:r>
        <w:rPr>
          <w:b/>
          <w:bCs/>
          <w:sz w:val="22"/>
          <w:szCs w:val="22"/>
        </w:rPr>
        <w:t xml:space="preserve">ВНИМАНИЮ УЧАСТНИКОВ ЗАКУПКИ: ДОКУМЕНТ РЕКОМЕНДУЕТСЯ ВКЛЮЧАТЬ ВО ВТОРУЮ ЧАСТЬ ЗАЯВКИ!</w:t>
      </w:r>
      <w:r>
        <w:rPr>
          <w:b/>
          <w:bCs/>
          <w:sz w:val="22"/>
          <w:szCs w:val="22"/>
        </w:rPr>
      </w:r>
    </w:p>
    <w:p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jc w:val="center"/>
        <w:rPr>
          <w:b/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Согласие на обработку персональных данных (представленных участниками):</w:t>
      </w:r>
      <w:r>
        <w:rPr>
          <w:b/>
          <w:sz w:val="22"/>
          <w:szCs w:val="22"/>
          <w:u w:val="single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Начало формы</w:t>
      </w:r>
      <w:r>
        <w:rPr>
          <w:i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</w:t>
      </w:r>
      <w:r>
        <w:rPr>
          <w:sz w:val="22"/>
          <w:szCs w:val="22"/>
        </w:rPr>
      </w:r>
    </w:p>
    <w:p>
      <w:pPr>
        <w:ind w:left="3540"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>
        <w:rPr>
          <w:sz w:val="22"/>
          <w:szCs w:val="22"/>
        </w:rPr>
        <w:t xml:space="preserve">Форма 2 второй части Заявки</w:t>
      </w:r>
      <w:r>
        <w:rPr>
          <w:sz w:val="22"/>
          <w:szCs w:val="22"/>
        </w:rPr>
      </w:r>
    </w:p>
    <w:p>
      <w:pPr>
        <w:jc w:val="both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«____» _____________ 202</w:t>
      </w:r>
      <w:r>
        <w:rPr>
          <w:sz w:val="22"/>
          <w:szCs w:val="22"/>
        </w:rPr>
        <w:t xml:space="preserve">6</w:t>
      </w:r>
      <w:bookmarkStart w:id="10" w:name="_GoBack"/>
      <w:r/>
      <w:bookmarkEnd w:id="10"/>
      <w:r>
        <w:rPr>
          <w:sz w:val="22"/>
          <w:szCs w:val="22"/>
        </w:rPr>
        <w:t xml:space="preserve"> г. </w:t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color w:val="1e1e1e"/>
          <w:sz w:val="22"/>
          <w:szCs w:val="22"/>
        </w:rPr>
      </w:pPr>
      <w:r>
        <w:rPr>
          <w:b/>
          <w:sz w:val="22"/>
          <w:szCs w:val="22"/>
        </w:rPr>
        <w:t xml:space="preserve">СОГЛАСИЕ</w:t>
      </w:r>
      <w:r>
        <w:rPr>
          <w:b/>
          <w:sz w:val="22"/>
          <w:szCs w:val="22"/>
        </w:rPr>
        <w:br w:type="textWrapping" w:clear="all"/>
        <w:t xml:space="preserve">на обработку персональных данных</w:t>
      </w:r>
      <w:r>
        <w:rPr>
          <w:b/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Я, нижеподписавшийся </w:t>
      </w:r>
      <w:r>
        <w:rPr>
          <w:color w:val="1e1e1e"/>
          <w:sz w:val="22"/>
          <w:szCs w:val="22"/>
        </w:rPr>
      </w:r>
    </w:p>
    <w:p>
      <w:pPr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_________________________________________________________________________</w:t>
      </w:r>
      <w:r>
        <w:rPr>
          <w:color w:val="1e1e1e"/>
          <w:sz w:val="22"/>
          <w:szCs w:val="22"/>
        </w:rPr>
      </w:r>
    </w:p>
    <w:p>
      <w:pPr>
        <w:jc w:val="center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 </w:t>
      </w:r>
      <w:r>
        <w:rPr>
          <w:color w:val="1e1e1e"/>
          <w:sz w:val="22"/>
          <w:szCs w:val="22"/>
          <w:vertAlign w:val="superscript"/>
        </w:rPr>
        <w:t xml:space="preserve">(фамилия, имя, отчество)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паспорт_____________№__________________ дата выдачи______________________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название выдавшего органа _________________________________________________, 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в соответствии с требованиями ст. 9 Федерального закона от 27.07.06</w:t>
      </w:r>
      <w:r>
        <w:rPr>
          <w:rFonts w:ascii="MS Gothic" w:hAnsi="MS Gothic" w:eastAsia="MS Gothic"/>
          <w:color w:val="1e1e1e"/>
          <w:sz w:val="22"/>
          <w:szCs w:val="22"/>
        </w:rPr>
        <w:t xml:space="preserve"> </w:t>
      </w:r>
      <w:r>
        <w:rPr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>
        <w:rPr>
          <w:color w:val="000000"/>
          <w:sz w:val="22"/>
          <w:szCs w:val="22"/>
        </w:rPr>
        <w:t xml:space="preserve">________________</w:t>
      </w:r>
      <w:r>
        <w:rPr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>
        <w:rPr>
          <w:color w:val="000000"/>
          <w:sz w:val="22"/>
          <w:szCs w:val="22"/>
        </w:rPr>
        <w:t xml:space="preserve">_______________</w:t>
      </w:r>
      <w:r>
        <w:rPr>
          <w:color w:val="1e1e1e"/>
          <w:sz w:val="22"/>
          <w:szCs w:val="22"/>
        </w:rPr>
        <w:t xml:space="preserve">. В процессе осуществления Организатором закупочной деятельности я пр</w:t>
      </w:r>
      <w:r>
        <w:rPr>
          <w:color w:val="1e1e1e"/>
          <w:sz w:val="22"/>
          <w:szCs w:val="22"/>
        </w:rPr>
        <w:t xml:space="preserve">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Организатор вправе обрабатывать мои персональные данные посредством внесения их в электронную базу данных, включения в списки (реестры).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Срок хранения моих персональных данных соответствует сроку хранения документов, связанных с осуществлением Организатором закупочной деятельности и составляет три года.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Настоящее согласие дано мной и действует с «______»_________________ 20____г. бессрочно.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</w:t>
      </w:r>
      <w:r>
        <w:rPr>
          <w:color w:val="1e1e1e"/>
          <w:sz w:val="22"/>
          <w:szCs w:val="22"/>
        </w:rPr>
        <w:t xml:space="preserve">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  <w:r>
        <w:rPr>
          <w:color w:val="1e1e1e"/>
          <w:sz w:val="22"/>
          <w:szCs w:val="22"/>
        </w:rPr>
      </w:r>
    </w:p>
    <w:p>
      <w:pPr>
        <w:jc w:val="right"/>
        <w:widowControl w:val="off"/>
        <w:rPr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</w:t>
      </w:r>
      <w:r>
        <w:rPr>
          <w:sz w:val="22"/>
          <w:szCs w:val="22"/>
        </w:rPr>
      </w:r>
    </w:p>
    <w:p>
      <w:pPr>
        <w:jc w:val="right"/>
        <w:widowControl w:val="off"/>
        <w:rPr>
          <w:color w:val="1e1e1e"/>
          <w:sz w:val="22"/>
          <w:szCs w:val="22"/>
          <w:vertAlign w:val="superscript"/>
        </w:rPr>
      </w:pPr>
      <w:r>
        <w:rPr>
          <w:color w:val="1e1e1e"/>
          <w:sz w:val="22"/>
          <w:szCs w:val="22"/>
          <w:vertAlign w:val="superscript"/>
        </w:rPr>
        <w:t xml:space="preserve">(подпись субъекта персональных данных)</w:t>
      </w:r>
      <w:bookmarkEnd w:id="8"/>
      <w:r>
        <w:rPr>
          <w:color w:val="1e1e1e"/>
          <w:sz w:val="22"/>
          <w:szCs w:val="22"/>
          <w:vertAlign w:val="superscript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line="200" w:lineRule="atLeast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r/>
      <w:r/>
    </w:p>
    <w:sectPr>
      <w:footnotePr/>
      <w:endnotePr/>
      <w:type w:val="nextPage"/>
      <w:pgSz w:w="11906" w:h="16838" w:orient="portrait"/>
      <w:pgMar w:top="851" w:right="566" w:bottom="568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Proxima Nova ExCn Rg">
    <w:panose1 w:val="02000603000000000000"/>
  </w:font>
  <w:font w:name="Cambria">
    <w:panose1 w:val="02040503050406030204"/>
  </w:font>
  <w:font w:name="Segoe UI">
    <w:panose1 w:val="020B0502040204020203"/>
  </w:font>
  <w:font w:name="Courier New">
    <w:panose1 w:val="02070309020205020404"/>
  </w:font>
  <w:font w:name="Segoe UI Symbol">
    <w:panose1 w:val="020B0502040204020203"/>
  </w:font>
  <w:font w:name="MS Gothic">
    <w:panose1 w:val="020B0609070205080204"/>
  </w:font>
  <w:font w:name="Liberation Serif">
    <w:panose1 w:val="02020603050405020304"/>
  </w:font>
  <w:font w:name="Calibri Light">
    <w:panose1 w:val="020F030202020403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 </w:t>
      </w:r>
      <w:r>
        <w:rPr>
          <w:rFonts w:cs="Times New Roman"/>
          <w:sz w:val="16"/>
          <w:szCs w:val="16"/>
          <w:lang w:val="ru-RU"/>
        </w:rPr>
        <w:t xml:space="preserve">в описание предмета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требования к товарам, информации, работам, услу</w:t>
      </w:r>
      <w:r>
        <w:rPr>
          <w:rFonts w:cs="Times New Roman"/>
          <w:sz w:val="16"/>
          <w:szCs w:val="16"/>
          <w:lang w:val="ru-RU"/>
        </w:rPr>
        <w:t xml:space="preserve">гам при условии, что такие требования влекут за собой необоснованное ограничение количества участников закупки, за исключением случаев, если не имеется другого способа, обеспечивающего более точное и четкое описание указанных характеристик предмета закупки</w:t>
      </w:r>
      <w:r>
        <w:rPr>
          <w:lang w:val="ru-RU"/>
        </w:rPr>
      </w:r>
      <w:r>
        <w:rPr>
          <w:lang w:val="ru-RU"/>
        </w:rPr>
      </w:r>
    </w:p>
  </w:footnote>
  <w:footnote w:id="3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 xml:space="preserve">В настоящем пункте определяется перечень документов, подтверждающих страну происхождения товара.</w:t>
      </w:r>
      <w:r>
        <w:rPr>
          <w:lang w:val="ru-RU"/>
        </w:rPr>
      </w:r>
    </w:p>
  </w:footnote>
  <w:footnote w:id="4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При отсутствии соответствующего обязательного требования в п. </w:t>
      </w:r>
      <w:r>
        <w:rPr>
          <w:lang w:val="ru-RU"/>
        </w:rPr>
        <w:t xml:space="preserve">2</w:t>
      </w:r>
      <w:r>
        <w:rPr>
          <w:lang w:val="ru-RU"/>
        </w:rPr>
        <w:t xml:space="preserve">.</w:t>
      </w:r>
      <w:r>
        <w:rPr>
          <w:lang w:val="ru-RU"/>
        </w:rPr>
        <w:t xml:space="preserve">1</w:t>
      </w:r>
      <w:r>
        <w:rPr>
          <w:lang w:val="ru-RU"/>
        </w:rPr>
        <w:t xml:space="preserve"> информационной карт</w:t>
      </w:r>
      <w:r>
        <w:rPr>
          <w:lang w:val="ru-RU"/>
        </w:rPr>
        <w:t xml:space="preserve">ы</w:t>
      </w:r>
      <w:r>
        <w:rPr>
          <w:lang w:val="ru-RU"/>
        </w:rPr>
        <w:t xml:space="preserve"> – данный абзац следует исключить из текста заявки.</w:t>
      </w:r>
      <w:r>
        <w:rPr>
          <w:lang w:val="ru-RU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91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2" w:hanging="360"/>
        <w:tabs>
          <w:tab w:val="num" w:pos="157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932" w:hanging="360"/>
        <w:tabs>
          <w:tab w:val="num" w:pos="1932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292" w:hanging="360"/>
        <w:tabs>
          <w:tab w:val="num" w:pos="229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652" w:hanging="360"/>
        <w:tabs>
          <w:tab w:val="num" w:pos="2652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012" w:hanging="360"/>
        <w:tabs>
          <w:tab w:val="num" w:pos="3012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372" w:hanging="360"/>
        <w:tabs>
          <w:tab w:val="num" w:pos="33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732" w:hanging="360"/>
        <w:tabs>
          <w:tab w:val="num" w:pos="3732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4092" w:hanging="360"/>
        <w:tabs>
          <w:tab w:val="num" w:pos="4092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4452" w:hanging="360"/>
        <w:tabs>
          <w:tab w:val="num" w:pos="4452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1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2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3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4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5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6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7">
      <w:start w:val="1"/>
      <w:numFmt w:val="bullet"/>
      <w:isLgl w:val="false"/>
      <w:suff w:val="tab"/>
      <w:lvlText w:val=""/>
      <w:lvlJc w:val="left"/>
      <w:pPr>
        <w:ind w:left="3240" w:hanging="360"/>
        <w:tabs>
          <w:tab w:val="num" w:pos="32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8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 w:val="0"/>
        <w:bCs w:val="0"/>
        <w:caps w:val="0"/>
        <w:smallCaps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</w:pPr>
    </w:lvl>
    <w:lvl w:ilvl="1">
      <w:start w:val="1"/>
      <w:numFmt w:val="decimal"/>
      <w:isLgl w:val="false"/>
      <w:suff w:val="tab"/>
      <w:lvlText w:val="%1.%2"/>
      <w:lvlJc w:val="left"/>
      <w:pPr>
        <w:ind w:left="2269" w:hanging="1134"/>
      </w:p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thaiNumbers"/>
      <w:isLgl w:val="false"/>
      <w:suff w:val="tab"/>
      <w:lvlText w:val="(%5)"/>
      <w:lvlJc w:val="left"/>
      <w:pPr>
        <w:ind w:left="2977" w:hanging="850"/>
      </w:pPr>
    </w:lvl>
    <w:lvl w:ilvl="5">
      <w:start w:val="1"/>
      <w:numFmt w:val="decimal"/>
      <w:isLgl w:val="false"/>
      <w:suff w:val="tab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7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8">
      <w:start w:val="1"/>
      <w:numFmt w:val="decimal"/>
      <w:isLgl w:val="false"/>
      <w:suff w:val="tab"/>
      <w:lvlText w:val=""/>
      <w:lvlJc w:val="left"/>
      <w:pPr>
        <w:ind w:left="1134" w:hanging="1134"/>
      </w:pPr>
    </w:lvl>
  </w:abstractNum>
  <w:abstractNum w:abstractNumId="5">
    <w:multiLevelType w:val="hybridMultilevel"/>
    <w:lvl w:ilvl="0">
      <w:start w:val="1"/>
      <w:numFmt w:val="decimal"/>
      <w:pStyle w:val="727"/>
      <w:isLgl w:val="false"/>
      <w:suff w:val="tab"/>
      <w:lvlText w:val="%1."/>
      <w:lvlJc w:val="left"/>
      <w:pPr>
        <w:tabs>
          <w:tab w:val="num" w:pos="1134" w:leader="none"/>
        </w:tabs>
      </w:pPr>
      <w:rPr>
        <w: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728"/>
      <w:isLgl w:val="false"/>
      <w:suff w:val="tab"/>
      <w:lvlText w:val="%1.%2."/>
      <w:lvlJc w:val="left"/>
      <w:pPr>
        <w:ind w:left="568"/>
        <w:tabs>
          <w:tab w:val="num" w:pos="2269" w:leader="none"/>
        </w:tabs>
      </w:pPr>
      <w:rPr>
        <w:i w:val="0"/>
        <w:iCs w:val="0"/>
        <w:caps w:val="0"/>
        <w:strike w:val="0"/>
        <w:vanish w:val="0"/>
        <w:color w:val="000000"/>
        <w:spacing w:val="0"/>
        <w:position w:val="0"/>
        <w:sz w:val="36"/>
        <w:szCs w:val="3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738"/>
      <w:isLgl w:val="false"/>
      <w:suff w:val="tab"/>
      <w:lvlText w:val="%1.%2.%3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743"/>
      <w:isLgl w:val="false"/>
      <w:suff w:val="tab"/>
      <w:lvlText w:val="%1.%2.%3.%4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745"/>
      <w:isLgl w:val="false"/>
      <w:suff w:val="tab"/>
      <w:lvlText w:val="%1.%2.%3.%4.%5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744"/>
      <w:isLgl w:val="false"/>
      <w:suff w:val="tab"/>
      <w:lvlText w:val="%6)"/>
      <w:lvlJc w:val="left"/>
      <w:pPr>
        <w:tabs>
          <w:tab w:val="num" w:pos="1701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709"/>
        <w:tabs>
          <w:tab w:val="num" w:pos="1069" w:leader="none"/>
        </w:tabs>
      </w:pPr>
    </w:lvl>
    <w:lvl w:ilvl="1">
      <w:start w:val="1"/>
      <w:numFmt w:val="decimal"/>
      <w:pStyle w:val="764"/>
      <w:isLgl w:val="false"/>
      <w:suff w:val="tab"/>
      <w:lvlText w:val="%1.%2."/>
      <w:lvlJc w:val="left"/>
      <w:pPr>
        <w:ind w:firstLine="709"/>
        <w:tabs>
          <w:tab w:val="num" w:pos="1429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8">
    <w:multiLevelType w:val="hybridMultilevel"/>
    <w:lvl w:ilvl="0">
      <w:start w:val="1"/>
      <w:numFmt w:val="upperRoman"/>
      <w:pStyle w:val="756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pStyle w:val="757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pStyle w:val="758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pStyle w:val="797"/>
      <w:isLgl w:val="false"/>
      <w:suff w:val="tab"/>
      <w:lvlText w:val="%1."/>
      <w:lvlJc w:val="left"/>
      <w:pPr>
        <w:ind w:left="1277" w:hanging="284"/>
        <w:tabs>
          <w:tab w:val="num" w:pos="1353" w:leader="none"/>
        </w:tabs>
      </w:pPr>
      <w:rPr>
        <w:rFonts w:ascii="Times New Roman" w:hAnsi="Times New Roman" w:eastAsia="Times New Roman"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pStyle w:val="739"/>
      <w:isLgl w:val="false"/>
      <w:suff w:val="tab"/>
      <w:lvlText w:val="%1."/>
      <w:lvlJc w:val="left"/>
      <w:pPr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4">
    <w:multiLevelType w:val="hybridMultilevel"/>
    <w:lvl w:ilvl="0">
      <w:start w:val="1"/>
      <w:numFmt w:val="decimal"/>
      <w:pStyle w:val="746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747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pStyle w:val="748"/>
      <w:isLgl w:val="false"/>
      <w:suff w:val="tab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1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31"/>
    <w:link w:val="72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31"/>
    <w:link w:val="72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31"/>
    <w:link w:val="72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31"/>
    <w:link w:val="7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26"/>
    <w:next w:val="72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3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26"/>
    <w:next w:val="72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3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26"/>
    <w:next w:val="72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3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26"/>
    <w:next w:val="72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3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26"/>
    <w:next w:val="72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3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26"/>
    <w:uiPriority w:val="34"/>
    <w:qFormat/>
    <w:pPr>
      <w:contextualSpacing/>
      <w:ind w:left="720"/>
    </w:pPr>
  </w:style>
  <w:style w:type="character" w:styleId="36">
    <w:name w:val="Title Char"/>
    <w:basedOn w:val="731"/>
    <w:link w:val="783"/>
    <w:uiPriority w:val="10"/>
    <w:rPr>
      <w:sz w:val="48"/>
      <w:szCs w:val="48"/>
    </w:rPr>
  </w:style>
  <w:style w:type="paragraph" w:styleId="37">
    <w:name w:val="Subtitle"/>
    <w:basedOn w:val="726"/>
    <w:next w:val="72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31"/>
    <w:link w:val="37"/>
    <w:uiPriority w:val="11"/>
    <w:rPr>
      <w:sz w:val="24"/>
      <w:szCs w:val="24"/>
    </w:rPr>
  </w:style>
  <w:style w:type="paragraph" w:styleId="39">
    <w:name w:val="Quote"/>
    <w:basedOn w:val="726"/>
    <w:next w:val="72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26"/>
    <w:next w:val="72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31"/>
    <w:link w:val="820"/>
    <w:uiPriority w:val="99"/>
  </w:style>
  <w:style w:type="character" w:styleId="46">
    <w:name w:val="Footer Char"/>
    <w:basedOn w:val="731"/>
    <w:link w:val="822"/>
    <w:uiPriority w:val="99"/>
  </w:style>
  <w:style w:type="paragraph" w:styleId="47">
    <w:name w:val="Caption"/>
    <w:basedOn w:val="726"/>
    <w:next w:val="72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31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53"/>
    <w:uiPriority w:val="99"/>
    <w:rPr>
      <w:sz w:val="18"/>
    </w:rPr>
  </w:style>
  <w:style w:type="character" w:styleId="180">
    <w:name w:val="Endnote Text Char"/>
    <w:link w:val="776"/>
    <w:uiPriority w:val="99"/>
    <w:rPr>
      <w:sz w:val="20"/>
    </w:rPr>
  </w:style>
  <w:style w:type="paragraph" w:styleId="182">
    <w:name w:val="toc 1"/>
    <w:basedOn w:val="726"/>
    <w:next w:val="72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26"/>
    <w:next w:val="72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26"/>
    <w:next w:val="72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26"/>
    <w:next w:val="72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26"/>
    <w:next w:val="72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26"/>
    <w:next w:val="72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26"/>
    <w:next w:val="72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26"/>
    <w:next w:val="72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26"/>
    <w:next w:val="72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26"/>
    <w:next w:val="726"/>
    <w:uiPriority w:val="99"/>
    <w:unhideWhenUsed/>
    <w:pPr>
      <w:spacing w:after="0" w:afterAutospacing="0"/>
    </w:pPr>
  </w:style>
  <w:style w:type="paragraph" w:styleId="726" w:default="1">
    <w:name w:val="Normal"/>
    <w:qFormat/>
    <w:rPr>
      <w:rFonts w:ascii="Times New Roman" w:hAnsi="Times New Roman"/>
      <w:sz w:val="24"/>
      <w:szCs w:val="24"/>
    </w:rPr>
  </w:style>
  <w:style w:type="paragraph" w:styleId="727">
    <w:name w:val="Heading 1"/>
    <w:basedOn w:val="726"/>
    <w:next w:val="726"/>
    <w:link w:val="734"/>
    <w:uiPriority w:val="9"/>
    <w:qFormat/>
    <w:pPr>
      <w:numPr>
        <w:ilvl w:val="0"/>
        <w:numId w:val="2"/>
      </w:numPr>
      <w:jc w:val="center"/>
      <w:keepLines/>
      <w:keepNext/>
      <w:pageBreakBefore/>
      <w:spacing w:before="600" w:after="360"/>
      <w:outlineLvl w:val="0"/>
    </w:pPr>
    <w:rPr>
      <w:rFonts w:ascii="Arial" w:hAnsi="Arial"/>
      <w:b/>
      <w:bCs/>
      <w:sz w:val="48"/>
      <w:szCs w:val="40"/>
      <w:lang w:val="en-US" w:eastAsia="en-US"/>
    </w:rPr>
  </w:style>
  <w:style w:type="paragraph" w:styleId="728">
    <w:name w:val="Heading 2"/>
    <w:basedOn w:val="726"/>
    <w:next w:val="726"/>
    <w:link w:val="735"/>
    <w:uiPriority w:val="9"/>
    <w:semiHidden/>
    <w:unhideWhenUsed/>
    <w:qFormat/>
    <w:pPr>
      <w:numPr>
        <w:ilvl w:val="1"/>
        <w:numId w:val="2"/>
      </w:numPr>
      <w:ind w:firstLine="567"/>
      <w:keepNext/>
      <w:spacing w:before="480" w:after="120"/>
      <w:tabs>
        <w:tab w:val="left" w:pos="1701" w:leader="none"/>
      </w:tabs>
      <w:outlineLvl w:val="1"/>
    </w:pPr>
    <w:rPr>
      <w:b/>
      <w:bCs/>
      <w:sz w:val="36"/>
      <w:szCs w:val="32"/>
      <w:lang w:val="en-US" w:eastAsia="en-US"/>
    </w:rPr>
  </w:style>
  <w:style w:type="paragraph" w:styleId="729">
    <w:name w:val="Heading 3"/>
    <w:basedOn w:val="726"/>
    <w:next w:val="726"/>
    <w:link w:val="736"/>
    <w:uiPriority w:val="9"/>
    <w:semiHidden/>
    <w:unhideWhenUsed/>
    <w:qFormat/>
    <w:pPr>
      <w:jc w:val="both"/>
      <w:keepNext/>
      <w:spacing w:before="240" w:after="60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730">
    <w:name w:val="Heading 4"/>
    <w:basedOn w:val="726"/>
    <w:next w:val="726"/>
    <w:link w:val="737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link w:val="727"/>
    <w:rPr>
      <w:rFonts w:ascii="Arial" w:hAnsi="Arial"/>
      <w:b/>
      <w:bCs/>
      <w:sz w:val="48"/>
      <w:szCs w:val="40"/>
    </w:rPr>
  </w:style>
  <w:style w:type="character" w:styleId="735" w:customStyle="1">
    <w:name w:val="Заголовок 2 Знак"/>
    <w:link w:val="728"/>
    <w:rPr>
      <w:rFonts w:ascii="Times New Roman" w:hAnsi="Times New Roman"/>
      <w:b/>
      <w:bCs/>
      <w:sz w:val="36"/>
      <w:szCs w:val="32"/>
    </w:rPr>
  </w:style>
  <w:style w:type="character" w:styleId="736" w:customStyle="1">
    <w:name w:val="Заголовок 3 Знак"/>
    <w:link w:val="729"/>
    <w:rPr>
      <w:rFonts w:ascii="Calibri Light" w:hAnsi="Calibri Light"/>
      <w:b/>
      <w:sz w:val="26"/>
      <w:lang w:val="en-US" w:eastAsia="en-US"/>
    </w:rPr>
  </w:style>
  <w:style w:type="character" w:styleId="737" w:customStyle="1">
    <w:name w:val="Заголовок 4 Знак"/>
    <w:link w:val="730"/>
    <w:semiHidden/>
    <w:rPr>
      <w:rFonts w:ascii="Calibri" w:hAnsi="Calibri"/>
      <w:b/>
      <w:sz w:val="28"/>
    </w:rPr>
  </w:style>
  <w:style w:type="paragraph" w:styleId="738" w:customStyle="1">
    <w:name w:val="Пункт-3"/>
    <w:basedOn w:val="726"/>
    <w:pPr>
      <w:numPr>
        <w:ilvl w:val="2"/>
        <w:numId w:val="2"/>
      </w:numPr>
      <w:jc w:val="both"/>
      <w:spacing w:line="288" w:lineRule="auto"/>
      <w:tabs>
        <w:tab w:val="left" w:pos="1701" w:leader="none"/>
      </w:tabs>
    </w:pPr>
    <w:rPr>
      <w:sz w:val="28"/>
      <w:szCs w:val="28"/>
    </w:rPr>
  </w:style>
  <w:style w:type="paragraph" w:styleId="739">
    <w:name w:val="List Number 2"/>
    <w:basedOn w:val="726"/>
    <w:semiHidden/>
    <w:pPr>
      <w:numPr>
        <w:ilvl w:val="0"/>
        <w:numId w:val="4"/>
      </w:numPr>
      <w:contextualSpacing/>
      <w:spacing w:after="200" w:line="276" w:lineRule="auto"/>
    </w:pPr>
    <w:rPr>
      <w:rFonts w:ascii="Calibri" w:hAnsi="Calibri"/>
      <w:sz w:val="22"/>
      <w:szCs w:val="22"/>
    </w:rPr>
  </w:style>
  <w:style w:type="paragraph" w:styleId="740">
    <w:name w:val="No Spacing"/>
    <w:uiPriority w:val="1"/>
    <w:pPr>
      <w:jc w:val="right"/>
    </w:pPr>
    <w:rPr>
      <w:rFonts w:ascii="Times New Roman" w:hAnsi="Times New Roman"/>
      <w:sz w:val="24"/>
      <w:szCs w:val="22"/>
      <w:lang w:eastAsia="en-US"/>
    </w:rPr>
  </w:style>
  <w:style w:type="character" w:styleId="741">
    <w:name w:val="Hyperlink"/>
    <w:uiPriority w:val="99"/>
    <w:rPr>
      <w:color w:val="0000ff"/>
      <w:u w:val="single"/>
    </w:rPr>
  </w:style>
  <w:style w:type="paragraph" w:styleId="742" w:customStyle="1">
    <w:name w:val="Абзац списка;Bullet List;FooterText;numbered;Список дефисный;Table-Normal;RSHB_Table-Normal;Заговок Марина;Use Case List Paragraph;Paragraphe de liste1;lp1"/>
    <w:basedOn w:val="726"/>
    <w:link w:val="801"/>
    <w:pPr>
      <w:ind w:left="708"/>
      <w:jc w:val="both"/>
      <w:spacing w:after="160"/>
    </w:pPr>
    <w:rPr>
      <w:szCs w:val="20"/>
      <w:lang w:val="en-US" w:eastAsia="en-US"/>
    </w:rPr>
  </w:style>
  <w:style w:type="paragraph" w:styleId="743" w:customStyle="1">
    <w:name w:val="Пункт-4"/>
    <w:basedOn w:val="726"/>
    <w:pPr>
      <w:numPr>
        <w:ilvl w:val="3"/>
        <w:numId w:val="2"/>
      </w:numPr>
      <w:jc w:val="both"/>
      <w:spacing w:line="288" w:lineRule="auto"/>
    </w:pPr>
    <w:rPr>
      <w:sz w:val="28"/>
      <w:szCs w:val="20"/>
    </w:rPr>
  </w:style>
  <w:style w:type="paragraph" w:styleId="744" w:customStyle="1">
    <w:name w:val="Пункт-6"/>
    <w:basedOn w:val="726"/>
    <w:pPr>
      <w:numPr>
        <w:ilvl w:val="5"/>
        <w:numId w:val="2"/>
      </w:numPr>
      <w:ind w:firstLine="567"/>
      <w:jc w:val="both"/>
      <w:spacing w:line="288" w:lineRule="auto"/>
    </w:pPr>
    <w:rPr>
      <w:sz w:val="28"/>
      <w:szCs w:val="20"/>
    </w:rPr>
  </w:style>
  <w:style w:type="paragraph" w:styleId="745" w:customStyle="1">
    <w:name w:val="Пункт-5"/>
    <w:basedOn w:val="726"/>
    <w:pPr>
      <w:numPr>
        <w:ilvl w:val="4"/>
        <w:numId w:val="2"/>
      </w:numPr>
      <w:jc w:val="both"/>
      <w:spacing w:line="288" w:lineRule="auto"/>
    </w:pPr>
    <w:rPr>
      <w:sz w:val="28"/>
      <w:szCs w:val="20"/>
    </w:rPr>
  </w:style>
  <w:style w:type="paragraph" w:styleId="746" w:customStyle="1">
    <w:name w:val="Заголовок ЗД"/>
    <w:basedOn w:val="727"/>
    <w:pPr>
      <w:numPr>
        <w:ilvl w:val="0"/>
        <w:numId w:val="3"/>
      </w:numPr>
      <w:ind w:left="643"/>
      <w:jc w:val="left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rFonts w:ascii="Times New Roman" w:hAnsi="Times New Roman"/>
      <w:bCs w:val="0"/>
      <w:sz w:val="24"/>
      <w:szCs w:val="24"/>
    </w:rPr>
  </w:style>
  <w:style w:type="paragraph" w:styleId="747" w:customStyle="1">
    <w:name w:val="Заголовок ЗД 1"/>
    <w:basedOn w:val="728"/>
    <w:pPr>
      <w:numPr>
        <w:ilvl w:val="0"/>
        <w:numId w:val="3"/>
      </w:numPr>
      <w:ind w:left="0" w:firstLine="0"/>
      <w:jc w:val="both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bCs w:val="0"/>
      <w:sz w:val="24"/>
      <w:szCs w:val="24"/>
    </w:rPr>
  </w:style>
  <w:style w:type="paragraph" w:styleId="748" w:customStyle="1">
    <w:name w:val="Подзаголовок ЗД"/>
    <w:basedOn w:val="726"/>
    <w:pPr>
      <w:numPr>
        <w:ilvl w:val="2"/>
        <w:numId w:val="3"/>
      </w:numPr>
    </w:pPr>
    <w:rPr>
      <w:b/>
    </w:rPr>
  </w:style>
  <w:style w:type="paragraph" w:styleId="749" w:customStyle="1">
    <w:name w:val="Абзац"/>
    <w:basedOn w:val="726"/>
    <w:link w:val="750"/>
    <w:pPr>
      <w:ind w:firstLine="567"/>
      <w:jc w:val="both"/>
      <w:spacing w:before="120" w:after="60"/>
    </w:pPr>
    <w:rPr>
      <w:szCs w:val="20"/>
      <w:lang w:val="en-US" w:eastAsia="en-US"/>
    </w:rPr>
  </w:style>
  <w:style w:type="character" w:styleId="750" w:customStyle="1">
    <w:name w:val="Абзац Знак"/>
    <w:link w:val="749"/>
    <w:rPr>
      <w:rFonts w:ascii="Times New Roman" w:hAnsi="Times New Roman"/>
      <w:sz w:val="24"/>
    </w:rPr>
  </w:style>
  <w:style w:type="paragraph" w:styleId="751" w:customStyle="1">
    <w:name w:val="Пункт 4"/>
    <w:basedOn w:val="730"/>
    <w:pPr>
      <w:ind w:firstLine="567"/>
      <w:jc w:val="both"/>
      <w:keepNext w:val="0"/>
      <w:spacing w:before="120"/>
      <w:tabs>
        <w:tab w:val="left" w:pos="1418" w:leader="none"/>
      </w:tabs>
    </w:pPr>
    <w:rPr>
      <w:rFonts w:ascii="Times New Roman" w:hAnsi="Times New Roman"/>
      <w:b w:val="0"/>
      <w:sz w:val="24"/>
      <w:szCs w:val="24"/>
    </w:rPr>
  </w:style>
  <w:style w:type="paragraph" w:styleId="752" w:customStyle="1">
    <w:name w:val="Пункт 2"/>
    <w:basedOn w:val="728"/>
    <w:pPr>
      <w:numPr>
        <w:ilvl w:val="0"/>
        <w:numId w:val="0"/>
      </w:numPr>
      <w:ind w:firstLine="567"/>
      <w:jc w:val="both"/>
      <w:keepNext w:val="0"/>
      <w:spacing w:before="120" w:after="60"/>
      <w:tabs>
        <w:tab w:val="left" w:pos="1134" w:leader="none"/>
        <w:tab w:val="clear" w:pos="1701" w:leader="none"/>
      </w:tabs>
    </w:pPr>
    <w:rPr>
      <w:b w:val="0"/>
      <w:iCs/>
      <w:sz w:val="24"/>
      <w:szCs w:val="24"/>
    </w:rPr>
  </w:style>
  <w:style w:type="paragraph" w:styleId="753">
    <w:name w:val="footnote text"/>
    <w:basedOn w:val="726"/>
    <w:link w:val="754"/>
    <w:uiPriority w:val="99"/>
    <w:semiHidden/>
    <w:pPr>
      <w:jc w:val="both"/>
      <w:spacing w:after="160"/>
    </w:pPr>
    <w:rPr>
      <w:sz w:val="20"/>
      <w:szCs w:val="20"/>
      <w:lang w:val="en-US" w:eastAsia="en-US"/>
    </w:rPr>
  </w:style>
  <w:style w:type="character" w:styleId="754" w:customStyle="1">
    <w:name w:val="Текст сноски Знак"/>
    <w:link w:val="753"/>
    <w:semiHidden/>
    <w:rPr>
      <w:rFonts w:ascii="Times New Roman" w:hAnsi="Times New Roman"/>
      <w:lang w:val="en-US" w:eastAsia="en-US"/>
    </w:rPr>
  </w:style>
  <w:style w:type="character" w:styleId="755">
    <w:name w:val="footnote reference"/>
    <w:uiPriority w:val="99"/>
    <w:rPr>
      <w:sz w:val="20"/>
      <w:vertAlign w:val="superscript"/>
    </w:rPr>
  </w:style>
  <w:style w:type="paragraph" w:styleId="756" w:customStyle="1">
    <w:name w:val="Главы"/>
    <w:basedOn w:val="726"/>
    <w:next w:val="726"/>
    <w:pPr>
      <w:numPr>
        <w:ilvl w:val="0"/>
        <w:numId w:val="5"/>
      </w:numPr>
      <w:ind w:left="0" w:firstLine="0"/>
      <w:jc w:val="center"/>
      <w:pageBreakBefore/>
      <w:spacing w:before="1440" w:after="720" w:line="360" w:lineRule="auto"/>
      <w:tabs>
        <w:tab w:val="clear" w:pos="567" w:leader="none"/>
        <w:tab w:val="left" w:pos="851" w:leader="none"/>
      </w:tabs>
      <w:outlineLvl w:val="0"/>
    </w:pPr>
    <w:rPr>
      <w:rFonts w:ascii="Arial" w:hAnsi="Arial"/>
      <w:b/>
      <w:caps/>
      <w:spacing w:val="40"/>
      <w:sz w:val="44"/>
      <w:szCs w:val="44"/>
    </w:rPr>
  </w:style>
  <w:style w:type="paragraph" w:styleId="757" w:customStyle="1">
    <w:name w:val="Подпункт"/>
    <w:basedOn w:val="726"/>
    <w:pPr>
      <w:numPr>
        <w:ilvl w:val="3"/>
        <w:numId w:val="5"/>
      </w:numPr>
      <w:jc w:val="both"/>
      <w:spacing w:line="360" w:lineRule="auto"/>
    </w:pPr>
    <w:rPr>
      <w:sz w:val="28"/>
      <w:szCs w:val="28"/>
    </w:rPr>
  </w:style>
  <w:style w:type="paragraph" w:styleId="758" w:customStyle="1">
    <w:name w:val="Подподпункт"/>
    <w:basedOn w:val="757"/>
    <w:pPr>
      <w:numPr>
        <w:ilvl w:val="4"/>
      </w:numPr>
      <w:ind w:hanging="792"/>
    </w:pPr>
  </w:style>
  <w:style w:type="paragraph" w:styleId="759" w:customStyle="1">
    <w:name w:val="Таблица текст"/>
    <w:basedOn w:val="726"/>
    <w:pPr>
      <w:ind w:left="57" w:right="57"/>
      <w:spacing w:before="40" w:after="40"/>
    </w:pPr>
  </w:style>
  <w:style w:type="paragraph" w:styleId="760" w:customStyle="1">
    <w:name w:val="Текст таблицы"/>
    <w:basedOn w:val="726"/>
    <w:semiHidden/>
    <w:pPr>
      <w:ind w:left="57" w:right="57"/>
      <w:spacing w:before="40" w:after="40"/>
    </w:pPr>
  </w:style>
  <w:style w:type="paragraph" w:styleId="761" w:customStyle="1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726"/>
    <w:link w:val="762"/>
    <w:pPr>
      <w:jc w:val="both"/>
    </w:pPr>
    <w:rPr>
      <w:rFonts w:ascii="Arial" w:hAnsi="Arial"/>
      <w:szCs w:val="20"/>
      <w:lang w:val="en-US" w:eastAsia="en-US"/>
    </w:rPr>
  </w:style>
  <w:style w:type="character" w:styleId="762" w:customStyle="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761"/>
    <w:rPr>
      <w:rFonts w:ascii="Arial" w:hAnsi="Arial"/>
      <w:sz w:val="24"/>
      <w:lang w:val="en-US" w:eastAsia="en-US"/>
    </w:rPr>
  </w:style>
  <w:style w:type="paragraph" w:styleId="763" w:customStyle="1">
    <w:name w:val="Обычный2"/>
    <w:pPr>
      <w:ind w:firstLine="720"/>
      <w:jc w:val="both"/>
    </w:pPr>
    <w:rPr>
      <w:rFonts w:ascii="Times New Roman" w:hAnsi="Times New Roman"/>
      <w:sz w:val="28"/>
    </w:rPr>
  </w:style>
  <w:style w:type="paragraph" w:styleId="764" w:customStyle="1">
    <w:name w:val="ConsNormal"/>
    <w:link w:val="805"/>
    <w:pPr>
      <w:numPr>
        <w:ilvl w:val="1"/>
        <w:numId w:val="6"/>
      </w:numPr>
      <w:jc w:val="both"/>
      <w:widowControl w:val="off"/>
    </w:pPr>
    <w:rPr>
      <w:rFonts w:ascii="Times New Roman" w:hAnsi="Times New Roman"/>
      <w:sz w:val="28"/>
    </w:rPr>
  </w:style>
  <w:style w:type="paragraph" w:styleId="765">
    <w:name w:val="Body Text 3"/>
    <w:basedOn w:val="726"/>
    <w:link w:val="766"/>
    <w:pPr>
      <w:spacing w:after="120"/>
    </w:pPr>
    <w:rPr>
      <w:sz w:val="16"/>
      <w:szCs w:val="20"/>
      <w:lang w:val="en-US" w:eastAsia="en-US"/>
    </w:rPr>
  </w:style>
  <w:style w:type="character" w:styleId="766" w:customStyle="1">
    <w:name w:val="Основной текст 3 Знак"/>
    <w:link w:val="765"/>
    <w:rPr>
      <w:rFonts w:ascii="Times New Roman" w:hAnsi="Times New Roman"/>
      <w:sz w:val="16"/>
    </w:rPr>
  </w:style>
  <w:style w:type="paragraph" w:styleId="767">
    <w:name w:val="Body Text Indent"/>
    <w:basedOn w:val="726"/>
    <w:link w:val="768"/>
    <w:pPr>
      <w:ind w:left="283"/>
      <w:spacing w:after="120" w:line="276" w:lineRule="auto"/>
    </w:pPr>
    <w:rPr>
      <w:rFonts w:ascii="Calibri" w:hAnsi="Calibri"/>
      <w:sz w:val="22"/>
      <w:szCs w:val="20"/>
      <w:lang w:val="en-US" w:eastAsia="en-US"/>
    </w:rPr>
  </w:style>
  <w:style w:type="character" w:styleId="768" w:customStyle="1">
    <w:name w:val="Основной текст с отступом Знак"/>
    <w:link w:val="767"/>
    <w:rPr>
      <w:rFonts w:eastAsia="Times New Roman"/>
      <w:sz w:val="22"/>
    </w:rPr>
  </w:style>
  <w:style w:type="paragraph" w:styleId="769" w:customStyle="1">
    <w:name w:val="Обычный1"/>
    <w:link w:val="770"/>
    <w:pPr>
      <w:ind w:firstLine="720"/>
      <w:jc w:val="both"/>
    </w:pPr>
    <w:rPr>
      <w:rFonts w:ascii="Times New Roman" w:hAnsi="Times New Roman"/>
      <w:sz w:val="28"/>
    </w:rPr>
  </w:style>
  <w:style w:type="character" w:styleId="770" w:customStyle="1">
    <w:name w:val="Normal Знак"/>
    <w:link w:val="769"/>
    <w:rPr>
      <w:rFonts w:ascii="Times New Roman" w:hAnsi="Times New Roman"/>
      <w:sz w:val="28"/>
      <w:lang w:bidi="ar-SA"/>
    </w:rPr>
  </w:style>
  <w:style w:type="table" w:styleId="771">
    <w:name w:val="Table Grid"/>
    <w:basedOn w:val="732"/>
    <w:uiPriority w:val="59"/>
    <w:rPr>
      <w:lang w:eastAsia="en-US"/>
    </w:rPr>
    <w:tblPr/>
  </w:style>
  <w:style w:type="paragraph" w:styleId="772" w:customStyle="1">
    <w:name w:val="ConsPlusNormal"/>
    <w:link w:val="804"/>
    <w:pPr>
      <w:ind w:firstLine="720"/>
      <w:widowControl w:val="off"/>
    </w:pPr>
    <w:rPr>
      <w:rFonts w:ascii="Arial" w:hAnsi="Arial"/>
    </w:rPr>
  </w:style>
  <w:style w:type="paragraph" w:styleId="773" w:customStyle="1">
    <w:name w:val="ConsPlusNonformat"/>
    <w:rPr>
      <w:rFonts w:ascii="Courier New" w:hAnsi="Courier New"/>
    </w:rPr>
  </w:style>
  <w:style w:type="paragraph" w:styleId="774">
    <w:name w:val="Balloon Text"/>
    <w:basedOn w:val="726"/>
    <w:link w:val="775"/>
    <w:semiHidden/>
    <w:rPr>
      <w:rFonts w:ascii="Segoe UI" w:hAnsi="Segoe UI"/>
      <w:sz w:val="18"/>
      <w:szCs w:val="20"/>
      <w:lang w:val="en-US" w:eastAsia="en-US"/>
    </w:rPr>
  </w:style>
  <w:style w:type="character" w:styleId="775" w:customStyle="1">
    <w:name w:val="Текст выноски Знак"/>
    <w:link w:val="774"/>
    <w:semiHidden/>
    <w:rPr>
      <w:rFonts w:ascii="Segoe UI" w:hAnsi="Segoe UI"/>
      <w:sz w:val="18"/>
    </w:rPr>
  </w:style>
  <w:style w:type="paragraph" w:styleId="776">
    <w:name w:val="endnote text"/>
    <w:basedOn w:val="726"/>
    <w:link w:val="777"/>
    <w:uiPriority w:val="99"/>
    <w:rPr>
      <w:sz w:val="20"/>
      <w:szCs w:val="20"/>
      <w:lang w:val="en-US" w:eastAsia="en-US"/>
    </w:rPr>
  </w:style>
  <w:style w:type="character" w:styleId="777" w:customStyle="1">
    <w:name w:val="Текст концевой сноски Знак"/>
    <w:link w:val="776"/>
    <w:rPr>
      <w:rFonts w:ascii="Times New Roman" w:hAnsi="Times New Roman"/>
    </w:rPr>
  </w:style>
  <w:style w:type="character" w:styleId="778">
    <w:name w:val="endnote reference"/>
    <w:uiPriority w:val="99"/>
    <w:rPr>
      <w:vertAlign w:val="superscript"/>
    </w:rPr>
  </w:style>
  <w:style w:type="paragraph" w:styleId="779">
    <w:name w:val="Body Text Indent 3"/>
    <w:basedOn w:val="726"/>
    <w:link w:val="780"/>
    <w:semiHidden/>
    <w:pPr>
      <w:ind w:left="283"/>
      <w:spacing w:after="120"/>
    </w:pPr>
    <w:rPr>
      <w:sz w:val="16"/>
      <w:szCs w:val="20"/>
      <w:lang w:val="en-US" w:eastAsia="en-US"/>
    </w:rPr>
  </w:style>
  <w:style w:type="character" w:styleId="780" w:customStyle="1">
    <w:name w:val="Основной текст с отступом 3 Знак"/>
    <w:link w:val="779"/>
    <w:semiHidden/>
    <w:rPr>
      <w:rFonts w:ascii="Times New Roman" w:hAnsi="Times New Roman"/>
      <w:sz w:val="16"/>
    </w:rPr>
  </w:style>
  <w:style w:type="character" w:styleId="781" w:customStyle="1">
    <w:name w:val="Сноска_"/>
    <w:link w:val="782"/>
    <w:rPr>
      <w:rFonts w:ascii="Times New Roman" w:hAnsi="Times New Roman"/>
      <w:sz w:val="19"/>
      <w:shd w:val="clear" w:color="auto" w:fill="ffffff"/>
    </w:rPr>
  </w:style>
  <w:style w:type="paragraph" w:styleId="782" w:customStyle="1">
    <w:name w:val="Сноска"/>
    <w:basedOn w:val="726"/>
    <w:link w:val="781"/>
    <w:pPr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paragraph" w:styleId="783">
    <w:name w:val="Title"/>
    <w:basedOn w:val="726"/>
    <w:next w:val="726"/>
    <w:link w:val="785"/>
    <w:uiPriority w:val="10"/>
    <w:qFormat/>
    <w:pPr>
      <w:jc w:val="center"/>
      <w:spacing w:before="240" w:after="60"/>
      <w:outlineLvl w:val="0"/>
    </w:pPr>
    <w:rPr>
      <w:rFonts w:ascii="Cambria" w:hAnsi="Cambria"/>
      <w:b/>
      <w:color w:val="000000"/>
      <w:sz w:val="32"/>
      <w:szCs w:val="20"/>
      <w:lang w:val="en-US" w:eastAsia="en-US"/>
    </w:rPr>
  </w:style>
  <w:style w:type="character" w:styleId="784" w:customStyle="1">
    <w:name w:val="Основной текст (4)_"/>
    <w:link w:val="786"/>
    <w:rPr>
      <w:rFonts w:ascii="Times New Roman" w:hAnsi="Times New Roman"/>
      <w:sz w:val="19"/>
      <w:shd w:val="clear" w:color="auto" w:fill="ffffff"/>
    </w:rPr>
  </w:style>
  <w:style w:type="character" w:styleId="785" w:customStyle="1">
    <w:name w:val="Заголовок Знак"/>
    <w:link w:val="783"/>
    <w:rPr>
      <w:rFonts w:ascii="Cambria" w:hAnsi="Cambria"/>
      <w:b/>
      <w:color w:val="000000"/>
      <w:sz w:val="32"/>
      <w:lang w:val="en-US" w:eastAsia="en-US"/>
    </w:rPr>
  </w:style>
  <w:style w:type="paragraph" w:styleId="786" w:customStyle="1">
    <w:name w:val="Основной текст (4)1"/>
    <w:basedOn w:val="726"/>
    <w:link w:val="784"/>
    <w:pPr>
      <w:ind w:hanging="140"/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character" w:styleId="787" w:customStyle="1">
    <w:name w:val="Заголовок №3_"/>
    <w:link w:val="788"/>
    <w:rPr>
      <w:rFonts w:ascii="Times New Roman" w:hAnsi="Times New Roman"/>
      <w:b/>
      <w:sz w:val="23"/>
      <w:shd w:val="clear" w:color="auto" w:fill="ffffff"/>
    </w:rPr>
  </w:style>
  <w:style w:type="paragraph" w:styleId="788" w:customStyle="1">
    <w:name w:val="Заголовок №3"/>
    <w:basedOn w:val="726"/>
    <w:link w:val="787"/>
    <w:pPr>
      <w:jc w:val="both"/>
      <w:spacing w:before="300" w:line="274" w:lineRule="exact"/>
      <w:shd w:val="clear" w:color="auto" w:fill="ffffff"/>
      <w:outlineLvl w:val="2"/>
    </w:pPr>
    <w:rPr>
      <w:b/>
      <w:sz w:val="23"/>
      <w:szCs w:val="20"/>
      <w:lang w:val="en-US" w:eastAsia="en-US"/>
    </w:rPr>
  </w:style>
  <w:style w:type="paragraph" w:styleId="789" w:customStyle="1">
    <w:name w:val="[Ростех] Текст Пункта (Уровень 4)"/>
    <w:link w:val="790"/>
    <w:pPr>
      <w:jc w:val="both"/>
      <w:spacing w:before="120"/>
      <w:outlineLvl w:val="3"/>
    </w:pPr>
    <w:rPr>
      <w:rFonts w:ascii="Proxima Nova ExCn Rg" w:hAnsi="Proxima Nova ExCn Rg"/>
      <w:sz w:val="28"/>
    </w:rPr>
  </w:style>
  <w:style w:type="character" w:styleId="790" w:customStyle="1">
    <w:name w:val="[Ростех] Текст Пункта (Уровень 4) Знак"/>
    <w:link w:val="789"/>
    <w:rPr>
      <w:rFonts w:ascii="Proxima Nova ExCn Rg" w:hAnsi="Proxima Nova ExCn Rg"/>
      <w:sz w:val="28"/>
      <w:lang w:bidi="ar-SA"/>
    </w:rPr>
  </w:style>
  <w:style w:type="paragraph" w:styleId="791">
    <w:name w:val="List Number"/>
    <w:basedOn w:val="726"/>
    <w:semiHidden/>
    <w:pPr>
      <w:numPr>
        <w:ilvl w:val="0"/>
        <w:numId w:val="1"/>
      </w:numPr>
      <w:contextualSpacing/>
      <w:ind w:left="360"/>
      <w:tabs>
        <w:tab w:val="num" w:pos="1069" w:leader="none"/>
        <w:tab w:val="num" w:pos="1134" w:leader="none"/>
      </w:tabs>
    </w:pPr>
  </w:style>
  <w:style w:type="character" w:styleId="792" w:customStyle="1">
    <w:name w:val="[Ростех] Наименование Подраздела (Уровень 3) Знак"/>
    <w:link w:val="793"/>
    <w:rPr>
      <w:rFonts w:ascii="Times New Roman" w:hAnsi="Times New Roman"/>
      <w:b/>
      <w:sz w:val="22"/>
      <w:szCs w:val="22"/>
      <w:lang w:val="ru-RU" w:eastAsia="ru-RU" w:bidi="ar-SA"/>
    </w:rPr>
  </w:style>
  <w:style w:type="paragraph" w:styleId="793" w:customStyle="1">
    <w:name w:val="[Ростех] Наименование Подраздела (Уровень 3)"/>
    <w:link w:val="792"/>
    <w:pPr>
      <w:keepLines/>
      <w:keepNext/>
      <w:spacing w:before="240"/>
      <w:outlineLvl w:val="2"/>
    </w:pPr>
    <w:rPr>
      <w:rFonts w:ascii="Times New Roman" w:hAnsi="Times New Roman"/>
      <w:b/>
      <w:sz w:val="22"/>
      <w:szCs w:val="22"/>
    </w:rPr>
  </w:style>
  <w:style w:type="paragraph" w:styleId="794" w:customStyle="1">
    <w:name w:val="[Ростех] Наименование Раздела (Уровень 2)"/>
    <w:pPr>
      <w:jc w:val="center"/>
      <w:keepLines/>
      <w:keepNext/>
      <w:spacing w:before="240"/>
      <w:outlineLvl w:val="1"/>
    </w:pPr>
    <w:rPr>
      <w:rFonts w:ascii="Proxima Nova ExCn Rg" w:hAnsi="Proxima Nova ExCn Rg"/>
      <w:b/>
      <w:sz w:val="28"/>
      <w:szCs w:val="28"/>
    </w:rPr>
  </w:style>
  <w:style w:type="character" w:styleId="795" w:customStyle="1">
    <w:name w:val="[Ростех] Простой текст (Без уровня) Знак"/>
    <w:link w:val="796"/>
    <w:rPr>
      <w:rFonts w:ascii="Times New Roman" w:hAnsi="Times New Roman"/>
      <w:sz w:val="22"/>
      <w:szCs w:val="22"/>
      <w:lang w:val="ru-RU" w:eastAsia="ru-RU" w:bidi="ar-SA"/>
    </w:rPr>
  </w:style>
  <w:style w:type="paragraph" w:styleId="796" w:customStyle="1">
    <w:name w:val="[Ростех] Простой текст (Без уровня)"/>
    <w:link w:val="795"/>
    <w:pPr>
      <w:jc w:val="both"/>
      <w:spacing w:before="120"/>
    </w:pPr>
    <w:rPr>
      <w:rFonts w:ascii="Times New Roman" w:hAnsi="Times New Roman"/>
      <w:sz w:val="22"/>
      <w:szCs w:val="22"/>
    </w:rPr>
  </w:style>
  <w:style w:type="paragraph" w:styleId="797" w:customStyle="1">
    <w:name w:val="ListNum"/>
    <w:basedOn w:val="726"/>
    <w:pPr>
      <w:numPr>
        <w:ilvl w:val="0"/>
        <w:numId w:val="9"/>
      </w:numPr>
      <w:jc w:val="both"/>
      <w:spacing w:before="60"/>
      <w:tabs>
        <w:tab w:val="left" w:pos="284" w:leader="none"/>
      </w:tabs>
    </w:pPr>
    <w:rPr>
      <w:sz w:val="22"/>
    </w:rPr>
  </w:style>
  <w:style w:type="table" w:styleId="798" w:customStyle="1">
    <w:name w:val="Сетка таблицы2"/>
    <w:basedOn w:val="732"/>
    <w:next w:val="771"/>
    <w:rPr>
      <w:lang w:eastAsia="en-US"/>
    </w:rPr>
    <w:tblPr/>
  </w:style>
  <w:style w:type="character" w:styleId="799" w:customStyle="1">
    <w:name w:val="Font Style76"/>
    <w:rPr>
      <w:rFonts w:ascii="Times New Roman" w:hAnsi="Times New Roman"/>
      <w:sz w:val="22"/>
      <w:szCs w:val="22"/>
    </w:rPr>
  </w:style>
  <w:style w:type="paragraph" w:styleId="800" w:customStyle="1">
    <w:name w:val="Style8"/>
    <w:basedOn w:val="726"/>
    <w:pPr>
      <w:jc w:val="center"/>
      <w:spacing w:line="278" w:lineRule="exact"/>
      <w:widowControl w:val="off"/>
    </w:pPr>
    <w:rPr>
      <w:lang w:eastAsia="ar-SA"/>
    </w:rPr>
  </w:style>
  <w:style w:type="character" w:styleId="801" w:customStyle="1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742"/>
    <w:rPr>
      <w:rFonts w:ascii="Times New Roman" w:hAnsi="Times New Roman"/>
      <w:sz w:val="24"/>
      <w:lang w:eastAsia="en-US"/>
    </w:rPr>
  </w:style>
  <w:style w:type="paragraph" w:styleId="802" w:customStyle="1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726"/>
    <w:link w:val="803"/>
    <w:pPr>
      <w:spacing w:before="100" w:beforeAutospacing="1" w:after="100" w:afterAutospacing="1"/>
    </w:pPr>
    <w:rPr>
      <w:lang w:val="en-US" w:eastAsia="en-US"/>
    </w:rPr>
  </w:style>
  <w:style w:type="character" w:styleId="803" w:customStyle="1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802"/>
    <w:rPr>
      <w:rFonts w:ascii="Times New Roman" w:hAnsi="Times New Roman"/>
      <w:sz w:val="24"/>
      <w:szCs w:val="24"/>
    </w:rPr>
  </w:style>
  <w:style w:type="character" w:styleId="804" w:customStyle="1">
    <w:name w:val="ConsPlusNormal Знак"/>
    <w:link w:val="772"/>
    <w:rPr>
      <w:rFonts w:ascii="Arial" w:hAnsi="Arial"/>
      <w:lang w:val="ru-RU" w:eastAsia="ru-RU" w:bidi="ar-SA"/>
    </w:rPr>
  </w:style>
  <w:style w:type="character" w:styleId="805" w:customStyle="1">
    <w:name w:val="ConsNormal Знак"/>
    <w:link w:val="764"/>
    <w:rPr>
      <w:rFonts w:ascii="Times New Roman" w:hAnsi="Times New Roman"/>
      <w:sz w:val="28"/>
      <w:lang w:bidi="ar-SA"/>
    </w:rPr>
  </w:style>
  <w:style w:type="character" w:styleId="806" w:customStyle="1">
    <w:name w:val="Знак примечания1"/>
    <w:rPr>
      <w:sz w:val="16"/>
      <w:szCs w:val="16"/>
    </w:rPr>
  </w:style>
  <w:style w:type="paragraph" w:styleId="807" w:customStyle="1">
    <w:name w:val="Содержимое таблицы"/>
    <w:basedOn w:val="726"/>
    <w:pPr>
      <w:suppressLineNumbers/>
    </w:pPr>
    <w:rPr>
      <w:sz w:val="20"/>
      <w:szCs w:val="20"/>
      <w:lang w:eastAsia="ar-SA"/>
    </w:rPr>
  </w:style>
  <w:style w:type="paragraph" w:styleId="808" w:customStyle="1">
    <w:name w:val=".FORMATTEXT"/>
    <w:pPr>
      <w:widowControl w:val="off"/>
    </w:pPr>
    <w:rPr>
      <w:rFonts w:ascii="Times New Roman" w:hAnsi="Times New Roman"/>
      <w:sz w:val="24"/>
      <w:szCs w:val="24"/>
      <w:lang w:eastAsia="ar-SA"/>
    </w:rPr>
  </w:style>
  <w:style w:type="character" w:styleId="809" w:customStyle="1">
    <w:name w:val="Цветовое выделение"/>
    <w:rPr>
      <w:b/>
      <w:bCs/>
      <w:color w:val="26282f"/>
    </w:rPr>
  </w:style>
  <w:style w:type="character" w:styleId="810" w:customStyle="1">
    <w:name w:val="Font Style11"/>
    <w:rPr>
      <w:rFonts w:ascii="Arial Narrow" w:hAnsi="Arial Narrow"/>
      <w:sz w:val="22"/>
      <w:szCs w:val="22"/>
    </w:rPr>
  </w:style>
  <w:style w:type="character" w:styleId="811" w:customStyle="1">
    <w:name w:val="Body text (2)"/>
    <w:rPr>
      <w:rFonts w:ascii="Times New Roman" w:hAnsi="Times New Roman" w:eastAsia="Times New Roman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812" w:customStyle="1">
    <w:name w:val="Font Style13"/>
    <w:rPr>
      <w:rFonts w:ascii="Times New Roman" w:hAnsi="Times New Roman"/>
      <w:b/>
      <w:bCs/>
      <w:sz w:val="20"/>
      <w:szCs w:val="20"/>
    </w:rPr>
  </w:style>
  <w:style w:type="paragraph" w:styleId="813" w:customStyle="1">
    <w:name w:val="Style3"/>
    <w:basedOn w:val="726"/>
    <w:pPr>
      <w:widowControl w:val="off"/>
    </w:pPr>
    <w:rPr>
      <w:lang w:eastAsia="ar-SA"/>
    </w:rPr>
  </w:style>
  <w:style w:type="paragraph" w:styleId="814" w:customStyle="1">
    <w:name w:val="Style5"/>
    <w:basedOn w:val="726"/>
    <w:pPr>
      <w:widowControl w:val="off"/>
    </w:pPr>
    <w:rPr>
      <w:lang w:eastAsia="ar-SA"/>
    </w:rPr>
  </w:style>
  <w:style w:type="paragraph" w:styleId="815" w:customStyle="1">
    <w:name w:val="Standard"/>
    <w:pPr>
      <w:spacing w:after="200" w:line="276" w:lineRule="auto"/>
    </w:pPr>
    <w:rPr>
      <w:sz w:val="22"/>
      <w:szCs w:val="22"/>
      <w:lang w:eastAsia="zh-CN"/>
    </w:rPr>
  </w:style>
  <w:style w:type="paragraph" w:styleId="816" w:customStyle="1">
    <w:name w:val="Text body"/>
    <w:basedOn w:val="815"/>
    <w:pPr>
      <w:spacing w:after="0" w:line="240" w:lineRule="auto"/>
      <w:widowControl w:val="off"/>
    </w:pPr>
    <w:rPr>
      <w:rFonts w:ascii="Times New Roman" w:hAnsi="Times New Roman"/>
      <w:sz w:val="28"/>
      <w:szCs w:val="28"/>
    </w:rPr>
  </w:style>
  <w:style w:type="paragraph" w:styleId="817" w:customStyle="1">
    <w:name w:val="Text body indent"/>
    <w:basedOn w:val="815"/>
    <w:pPr>
      <w:spacing w:after="120" w:line="480" w:lineRule="auto"/>
    </w:pPr>
    <w:rPr>
      <w:rFonts w:ascii="Times New Roman" w:hAnsi="Times New Roman"/>
      <w:sz w:val="20"/>
      <w:szCs w:val="20"/>
    </w:rPr>
  </w:style>
  <w:style w:type="paragraph" w:styleId="818">
    <w:name w:val="Body Text Indent 2"/>
    <w:basedOn w:val="726"/>
    <w:link w:val="819"/>
    <w:pPr>
      <w:ind w:left="283"/>
      <w:spacing w:after="120" w:line="480" w:lineRule="auto"/>
    </w:pPr>
    <w:rPr>
      <w:lang w:val="en-US" w:eastAsia="en-US"/>
    </w:rPr>
  </w:style>
  <w:style w:type="character" w:styleId="819" w:customStyle="1">
    <w:name w:val="Основной текст с отступом 2 Знак"/>
    <w:link w:val="818"/>
    <w:rPr>
      <w:rFonts w:ascii="Times New Roman" w:hAnsi="Times New Roman"/>
      <w:sz w:val="24"/>
      <w:szCs w:val="24"/>
    </w:rPr>
  </w:style>
  <w:style w:type="paragraph" w:styleId="820">
    <w:name w:val="Header"/>
    <w:basedOn w:val="726"/>
    <w:link w:val="821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21" w:customStyle="1">
    <w:name w:val="Верхний колонтитул Знак"/>
    <w:link w:val="820"/>
    <w:rPr>
      <w:rFonts w:ascii="Times New Roman" w:hAnsi="Times New Roman"/>
      <w:sz w:val="24"/>
      <w:szCs w:val="24"/>
    </w:rPr>
  </w:style>
  <w:style w:type="paragraph" w:styleId="822">
    <w:name w:val="Footer"/>
    <w:basedOn w:val="726"/>
    <w:link w:val="82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23" w:customStyle="1">
    <w:name w:val="Нижний колонтитул Знак"/>
    <w:link w:val="822"/>
    <w:rPr>
      <w:rFonts w:ascii="Times New Roman" w:hAnsi="Times New Roman"/>
      <w:sz w:val="24"/>
      <w:szCs w:val="24"/>
    </w:rPr>
  </w:style>
  <w:style w:type="character" w:styleId="824" w:customStyle="1">
    <w:name w:val="Неразрешенное упоминание1"/>
    <w:semiHidden/>
    <w:rPr>
      <w:color w:val="605e5c"/>
      <w:shd w:val="clear" w:color="auto" w:fill="e1dfdd"/>
    </w:rPr>
  </w:style>
  <w:style w:type="paragraph" w:styleId="825" w:customStyle="1">
    <w:name w:val="Обычный12"/>
    <w:link w:val="826"/>
    <w:pPr>
      <w:ind w:firstLine="720"/>
      <w:jc w:val="both"/>
      <w:spacing w:line="300" w:lineRule="auto"/>
      <w:widowControl w:val="off"/>
    </w:pPr>
    <w:rPr>
      <w:rFonts w:ascii="Times New Roman" w:hAnsi="Times New Roman"/>
      <w:sz w:val="24"/>
    </w:rPr>
  </w:style>
  <w:style w:type="character" w:styleId="826" w:customStyle="1">
    <w:name w:val="Обычный Char Char"/>
    <w:link w:val="825"/>
    <w:rPr>
      <w:rFonts w:ascii="Times New Roman" w:hAnsi="Times New Roman"/>
      <w:sz w:val="24"/>
      <w:lang w:bidi="ar-SA"/>
    </w:rPr>
  </w:style>
  <w:style w:type="paragraph" w:styleId="827" w:customStyle="1">
    <w:name w:val="FR1"/>
    <w:pPr>
      <w:spacing w:before="700"/>
      <w:widowControl w:val="off"/>
    </w:pPr>
    <w:rPr>
      <w:rFonts w:ascii="Times New Roman" w:hAnsi="Times New Roman"/>
      <w:b/>
      <w:sz w:val="28"/>
    </w:rPr>
  </w:style>
  <w:style w:type="paragraph" w:styleId="828" w:customStyle="1">
    <w:name w:val="Normal1"/>
    <w:pPr>
      <w:ind w:firstLine="720"/>
      <w:spacing w:line="300" w:lineRule="auto"/>
      <w:widowControl w:val="off"/>
    </w:pPr>
    <w:rPr>
      <w:rFonts w:ascii="Times New Roman" w:hAnsi="Times New Roman"/>
      <w:sz w:val="22"/>
    </w:rPr>
  </w:style>
  <w:style w:type="character" w:styleId="829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830">
    <w:name w:val="Unresolved Mention"/>
    <w:semiHidden/>
    <w:rPr>
      <w:color w:val="605e5c"/>
      <w:shd w:val="clear" w:color="auto" w:fill="e1dfdd"/>
    </w:rPr>
  </w:style>
  <w:style w:type="character" w:styleId="831">
    <w:name w:val="Placeholder Text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hyperlink" Target="https://tender.lot-online.ru" TargetMode="External"/><Relationship Id="rId12" Type="http://schemas.openxmlformats.org/officeDocument/2006/relationships/hyperlink" Target="https://tender.lot-online.ru" TargetMode="External"/><Relationship Id="rId13" Type="http://schemas.openxmlformats.org/officeDocument/2006/relationships/hyperlink" Target="https://tender.lot-online.ru" TargetMode="External"/><Relationship Id="rId14" Type="http://schemas.openxmlformats.org/officeDocument/2006/relationships/hyperlink" Target="https://tender.lot-online.ru" TargetMode="External"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B9FCEBBAD9BF42ACB20DC9C32CA4B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A8E79-B9EF-4795-9411-E1A19895DFDD}"/>
      </w:docPartPr>
      <w:docPartBody>
        <w:p>
          <w:pPr>
            <w:pStyle w:val="1269"/>
          </w:pPr>
          <w:r>
            <w:rPr>
              <w:rStyle w:val="1268"/>
            </w:rPr>
            <w:t xml:space="preserve">Выберите элемент.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1">
    <w:name w:val="Heading 1"/>
    <w:basedOn w:val="1264"/>
    <w:next w:val="1264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1265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1264"/>
    <w:next w:val="1264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1265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1264"/>
    <w:next w:val="1264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1265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1264"/>
    <w:next w:val="1264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1265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1264"/>
    <w:next w:val="1264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1265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1264"/>
    <w:next w:val="1264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1265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1264"/>
    <w:next w:val="1264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1265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1264"/>
    <w:next w:val="1264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1265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1264"/>
    <w:next w:val="1264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1265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1264"/>
    <w:uiPriority w:val="34"/>
    <w:qFormat/>
    <w:pPr>
      <w:contextualSpacing/>
      <w:ind w:left="720"/>
    </w:p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1264"/>
    <w:next w:val="1264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1265"/>
    <w:link w:val="272"/>
    <w:uiPriority w:val="10"/>
    <w:rPr>
      <w:sz w:val="48"/>
      <w:szCs w:val="48"/>
    </w:rPr>
  </w:style>
  <w:style w:type="paragraph" w:styleId="274">
    <w:name w:val="Subtitle"/>
    <w:basedOn w:val="1264"/>
    <w:next w:val="1264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1265"/>
    <w:link w:val="274"/>
    <w:uiPriority w:val="11"/>
    <w:rPr>
      <w:sz w:val="24"/>
      <w:szCs w:val="24"/>
    </w:rPr>
  </w:style>
  <w:style w:type="paragraph" w:styleId="276">
    <w:name w:val="Quote"/>
    <w:basedOn w:val="1264"/>
    <w:next w:val="1264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1264"/>
    <w:next w:val="1264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1264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1265"/>
    <w:link w:val="280"/>
    <w:uiPriority w:val="99"/>
  </w:style>
  <w:style w:type="paragraph" w:styleId="282">
    <w:name w:val="Footer"/>
    <w:basedOn w:val="1264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1265"/>
    <w:link w:val="282"/>
    <w:uiPriority w:val="99"/>
  </w:style>
  <w:style w:type="paragraph" w:styleId="284">
    <w:name w:val="Caption"/>
    <w:basedOn w:val="1264"/>
    <w:next w:val="1264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1265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12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386">
    <w:name w:val="List Table 7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387">
    <w:name w:val="List Table 7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388">
    <w:name w:val="List Table 7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389">
    <w:name w:val="List Table 7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390">
    <w:name w:val="List Table 7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391">
    <w:name w:val="Lined - Accent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393">
    <w:name w:val="Lined - Accent 2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394">
    <w:name w:val="Lined - Accent 3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395">
    <w:name w:val="Lined - Accent 4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396">
    <w:name w:val="Lined - Accent 5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397">
    <w:name w:val="Lined - Accent 6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398">
    <w:name w:val="Bordered &amp; Lined - Accent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400">
    <w:name w:val="Bordered &amp; Lined - Accent 2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401">
    <w:name w:val="Bordered &amp; Lined - Accent 3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402">
    <w:name w:val="Bordered &amp; Lined - Accent 4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403">
    <w:name w:val="Bordered &amp; Lined - Accent 5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404">
    <w:name w:val="Bordered &amp; Lined - Accent 6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405">
    <w:name w:val="Bordered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1264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1265"/>
    <w:uiPriority w:val="99"/>
    <w:unhideWhenUsed/>
    <w:rPr>
      <w:vertAlign w:val="superscript"/>
    </w:rPr>
  </w:style>
  <w:style w:type="paragraph" w:styleId="416">
    <w:name w:val="endnote text"/>
    <w:basedOn w:val="1264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1265"/>
    <w:uiPriority w:val="99"/>
    <w:semiHidden/>
    <w:unhideWhenUsed/>
    <w:rPr>
      <w:vertAlign w:val="superscript"/>
    </w:rPr>
  </w:style>
  <w:style w:type="paragraph" w:styleId="419">
    <w:name w:val="toc 1"/>
    <w:basedOn w:val="1264"/>
    <w:next w:val="1264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1264"/>
    <w:next w:val="1264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1264"/>
    <w:next w:val="1264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1264"/>
    <w:next w:val="1264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1264"/>
    <w:next w:val="1264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1264"/>
    <w:next w:val="1264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1264"/>
    <w:next w:val="1264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1264"/>
    <w:next w:val="1264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1264"/>
    <w:next w:val="1264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1264"/>
    <w:next w:val="1264"/>
    <w:uiPriority w:val="99"/>
    <w:unhideWhenUsed/>
    <w:pPr>
      <w:spacing w:after="0" w:afterAutospacing="0"/>
    </w:pPr>
  </w:style>
  <w:style w:type="paragraph" w:styleId="1264" w:default="1">
    <w:name w:val="Normal"/>
    <w:qFormat/>
  </w:style>
  <w:style w:type="character" w:styleId="1265" w:default="1">
    <w:name w:val="Default Paragraph Font"/>
    <w:uiPriority w:val="1"/>
    <w:semiHidden/>
    <w:unhideWhenUsed/>
  </w:style>
  <w:style w:type="table" w:styleId="12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67" w:default="1">
    <w:name w:val="No List"/>
    <w:uiPriority w:val="99"/>
    <w:semiHidden/>
    <w:unhideWhenUsed/>
  </w:style>
  <w:style w:type="character" w:styleId="1268">
    <w:name w:val="Placeholder Text"/>
    <w:basedOn w:val="1265"/>
    <w:uiPriority w:val="99"/>
    <w:semiHidden/>
    <w:rPr>
      <w:color w:val="808080"/>
    </w:rPr>
  </w:style>
  <w:style w:type="paragraph" w:styleId="1269" w:customStyle="1">
    <w:name w:val="B9FCEBBAD9BF42ACB20DC9C32CA4BA48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B715B-22D3-42FA-B476-DBCDD3C4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dc:description>DOC-MARKER-mPWdas0Dvx8JCwUS15tA3Q6H1-OAN70BBhYIkHxHQ3U</dc:description>
  <cp:lastModifiedBy>Пользователь</cp:lastModifiedBy>
  <cp:revision>11</cp:revision>
  <dcterms:created xsi:type="dcterms:W3CDTF">2025-10-28T05:27:00Z</dcterms:created>
  <dcterms:modified xsi:type="dcterms:W3CDTF">2026-10-19T09:03:14Z</dcterms:modified>
</cp:coreProperties>
</file>