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1"/>
        </w:numPr>
        <w:shd w:val="clear" w:color="auto" w:fill="FFFFFF"/>
        <w:tabs>
          <w:tab w:val="clear" w:pos="708"/>
          <w:tab w:val="left" w:pos="1134" w:leader="none"/>
        </w:tabs>
        <w:ind w:firstLine="567" w:left="0"/>
        <w:jc w:val="both"/>
        <w:rPr>
          <w:b/>
          <w:bCs/>
          <w:sz w:val="32"/>
          <w:szCs w:val="32"/>
        </w:rPr>
      </w:pPr>
      <w:r>
        <w:rPr>
          <w:b/>
          <w:bCs/>
          <w:color w:val="000000"/>
          <w:sz w:val="32"/>
          <w:szCs w:val="32"/>
        </w:rPr>
        <w:t xml:space="preserve"> </w:t>
      </w:r>
      <w:r>
        <w:rPr>
          <w:b/>
          <w:bCs/>
          <w:color w:val="000000"/>
          <w:sz w:val="32"/>
          <w:szCs w:val="32"/>
        </w:rPr>
        <w:t>П</w:t>
      </w:r>
      <w:r>
        <w:rPr>
          <w:b/>
          <w:bCs/>
          <w:sz w:val="32"/>
          <w:szCs w:val="32"/>
        </w:rPr>
        <w:t>олиграфическую продукцию по охране труда(журналы учёта)</w:t>
      </w:r>
    </w:p>
    <w:p>
      <w:pPr>
        <w:pStyle w:val="Normal"/>
        <w:ind w:hanging="0" w:left="5103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ind w:hanging="0" w:left="5103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СПЕЦИФИКАЦИЯ</w:t>
      </w:r>
    </w:p>
    <w:p>
      <w:pPr>
        <w:pStyle w:val="Normal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</w:r>
    </w:p>
    <w:tbl>
      <w:tblPr>
        <w:tblStyle w:val="23"/>
        <w:tblW w:w="10545" w:type="dxa"/>
        <w:jc w:val="left"/>
        <w:tblInd w:w="-22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788"/>
        <w:gridCol w:w="2210"/>
        <w:gridCol w:w="3964"/>
        <w:gridCol w:w="573"/>
        <w:gridCol w:w="795"/>
        <w:gridCol w:w="1021"/>
        <w:gridCol w:w="1136"/>
        <w:gridCol w:w="56"/>
      </w:tblGrid>
      <w:tr>
        <w:trPr/>
        <w:tc>
          <w:tcPr>
            <w:tcW w:w="7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  <w:lang w:val="ru-RU" w:bidi="ar-SA"/>
              </w:rPr>
              <w:t xml:space="preserve">№ </w:t>
            </w:r>
            <w:r>
              <w:rPr>
                <w:b/>
                <w:bCs/>
                <w:color w:val="000000"/>
                <w:kern w:val="0"/>
                <w:sz w:val="24"/>
                <w:szCs w:val="24"/>
                <w:lang w:val="ru-RU" w:bidi="ar-SA"/>
              </w:rPr>
              <w:t>п/п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  <w:lang w:val="ru-RU" w:bidi="ar-SA"/>
              </w:rPr>
              <w:t>Товары (работы, услуги)</w:t>
            </w:r>
          </w:p>
        </w:tc>
        <w:tc>
          <w:tcPr>
            <w:tcW w:w="39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/>
                <w:kern w:val="0"/>
                <w:sz w:val="24"/>
                <w:szCs w:val="24"/>
                <w:lang w:val="ru-RU" w:eastAsia="en-US" w:bidi="ar-SA"/>
              </w:rPr>
              <w:t>Технические характеристики</w:t>
            </w:r>
          </w:p>
        </w:tc>
        <w:tc>
          <w:tcPr>
            <w:tcW w:w="5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b/>
                <w:kern w:val="0"/>
                <w:sz w:val="24"/>
                <w:szCs w:val="24"/>
                <w:lang w:val="ru-RU" w:eastAsia="en-US" w:bidi="ar-SA"/>
              </w:rPr>
              <w:t>Ед. изм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color w:val="000000"/>
                <w:kern w:val="0"/>
                <w:sz w:val="24"/>
                <w:szCs w:val="24"/>
                <w:lang w:val="ru-RU" w:bidi="ar-SA"/>
              </w:rPr>
              <w:t>Кол-во</w:t>
            </w:r>
          </w:p>
        </w:tc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val="ru-RU" w:bidi="ar-SA"/>
              </w:rPr>
              <w:t>Цена сНДС</w:t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b/>
                <w:color w:val="000000"/>
                <w:kern w:val="0"/>
                <w:sz w:val="24"/>
                <w:szCs w:val="24"/>
                <w:lang w:val="ru-RU" w:bidi="ar-SA"/>
              </w:rPr>
              <w:t>Сумма с НДС</w:t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‍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1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Оперативный журнал </w:t>
            </w:r>
          </w:p>
        </w:tc>
        <w:tc>
          <w:tcPr>
            <w:tcW w:w="396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Ф. 100 л., печать 1+1, бумага офсетная, обложка синий бумвинил, наклейка 1+0, твердый переплет</w:t>
            </w:r>
          </w:p>
        </w:tc>
        <w:tc>
          <w:tcPr>
            <w:tcW w:w="5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Cs/>
                <w:color w:val="000000"/>
                <w:sz w:val="24"/>
                <w:szCs w:val="24"/>
                <w:lang w:val="en-US"/>
              </w:rPr>
              <w:t>35</w:t>
            </w:r>
          </w:p>
        </w:tc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‍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2</w:t>
            </w:r>
          </w:p>
        </w:tc>
        <w:tc>
          <w:tcPr>
            <w:tcW w:w="221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Журнал регистрации первичного инструктажа на рабочем месте </w:t>
            </w:r>
          </w:p>
        </w:tc>
        <w:tc>
          <w:tcPr>
            <w:tcW w:w="396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Ф. 100 л., печать 1+1, бумага офсетная, обложка синий бумвинил, наклейка 1+0, твердый переплет</w:t>
            </w:r>
          </w:p>
        </w:tc>
        <w:tc>
          <w:tcPr>
            <w:tcW w:w="57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79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Cs/>
                <w:color w:val="000000"/>
                <w:sz w:val="24"/>
                <w:szCs w:val="24"/>
                <w:lang w:val="en-US"/>
              </w:rPr>
              <w:t>22</w:t>
            </w:r>
          </w:p>
        </w:tc>
        <w:tc>
          <w:tcPr>
            <w:tcW w:w="102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113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‍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3</w:t>
            </w:r>
          </w:p>
        </w:tc>
        <w:tc>
          <w:tcPr>
            <w:tcW w:w="221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Журнал регистрации инструктажа на рабочем месте</w:t>
            </w:r>
          </w:p>
        </w:tc>
        <w:tc>
          <w:tcPr>
            <w:tcW w:w="396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Ф. 100 л., печать 1+1, бумага офсетная, обложка синий бумвинил, наклейка 1+0, твердый переплет</w:t>
            </w:r>
          </w:p>
        </w:tc>
        <w:tc>
          <w:tcPr>
            <w:tcW w:w="57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79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Cs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102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113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‍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4</w:t>
            </w:r>
          </w:p>
        </w:tc>
        <w:tc>
          <w:tcPr>
            <w:tcW w:w="221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Журнал регистрации производственного инструктажа</w:t>
            </w:r>
          </w:p>
        </w:tc>
        <w:tc>
          <w:tcPr>
            <w:tcW w:w="396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Ф. 100 л., печать 1+1, бумага офсетная, обложка синий бумвинил, наклейка 1+0, твердый переплет</w:t>
            </w:r>
          </w:p>
        </w:tc>
        <w:tc>
          <w:tcPr>
            <w:tcW w:w="57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79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Cs/>
                <w:color w:val="000000"/>
                <w:sz w:val="24"/>
                <w:szCs w:val="24"/>
                <w:lang w:val="en-US"/>
              </w:rPr>
              <w:t>20</w:t>
            </w:r>
          </w:p>
        </w:tc>
        <w:tc>
          <w:tcPr>
            <w:tcW w:w="102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113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‍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5</w:t>
            </w:r>
          </w:p>
        </w:tc>
        <w:tc>
          <w:tcPr>
            <w:tcW w:w="221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Журнал учета инструктажей по пожарной безопасности (новая форма, приказ МЧС России</w:t>
            </w:r>
          </w:p>
          <w:p>
            <w:pPr>
              <w:pStyle w:val="Normal"/>
              <w:widowControl w:val="false"/>
              <w:spacing w:lineRule="auto" w:line="276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en-US"/>
              </w:rPr>
              <w:t>от 18.11.2021 N 806)</w:t>
            </w:r>
          </w:p>
        </w:tc>
        <w:tc>
          <w:tcPr>
            <w:tcW w:w="396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Ф. 100 л., печать 1+1, бумага офсетная, обложка синий бумвинил, наклейка 1+0, твердый переплет</w:t>
            </w:r>
          </w:p>
        </w:tc>
        <w:tc>
          <w:tcPr>
            <w:tcW w:w="57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79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Cs/>
                <w:color w:val="000000"/>
                <w:sz w:val="24"/>
                <w:szCs w:val="24"/>
                <w:lang w:val="en-US"/>
              </w:rPr>
              <w:t>15</w:t>
            </w:r>
          </w:p>
        </w:tc>
        <w:tc>
          <w:tcPr>
            <w:tcW w:w="102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113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‍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6</w:t>
            </w:r>
          </w:p>
        </w:tc>
        <w:tc>
          <w:tcPr>
            <w:tcW w:w="221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Журнал обхода рабочих мест руководителями</w:t>
            </w:r>
          </w:p>
        </w:tc>
        <w:tc>
          <w:tcPr>
            <w:tcW w:w="396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bidi="ar-SA"/>
              </w:rPr>
              <w:t>Ф. 100 л., печать 1+1, бумага офсетная, обложка синий бумвинил, наклейка 1+0, твердый переплет</w:t>
            </w:r>
          </w:p>
        </w:tc>
        <w:tc>
          <w:tcPr>
            <w:tcW w:w="57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79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Cs/>
                <w:color w:val="000000"/>
                <w:sz w:val="24"/>
                <w:szCs w:val="24"/>
                <w:lang w:val="en-US"/>
              </w:rPr>
            </w:pPr>
            <w:r>
              <w:rPr>
                <w:bCs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02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113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/>
                <w:color w:val="000000"/>
                <w:sz w:val="24"/>
                <w:szCs w:val="24"/>
                <w:lang w:val="en-US"/>
              </w:rPr>
            </w:pPr>
            <w:r>
              <w:rPr>
                <w:b/>
                <w:color w:val="000000"/>
                <w:sz w:val="24"/>
                <w:szCs w:val="24"/>
                <w:lang w:val="en-US"/>
              </w:rPr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7</w:t>
            </w:r>
          </w:p>
        </w:tc>
        <w:tc>
          <w:tcPr>
            <w:tcW w:w="221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kern w:val="0"/>
                <w:sz w:val="24"/>
                <w:szCs w:val="24"/>
                <w:lang w:val="ru-RU" w:bidi="ar-SA"/>
              </w:rPr>
              <w:t>Журнал учета противоаварийных, противопожарных тренировок</w:t>
            </w:r>
          </w:p>
        </w:tc>
        <w:tc>
          <w:tcPr>
            <w:tcW w:w="3964" w:type="dxa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Ф. 100 л., печать 1+1, бумага офсетная, обложка синий бумвинил, наклейка 1+0, твердый переплет</w:t>
            </w:r>
          </w:p>
        </w:tc>
        <w:tc>
          <w:tcPr>
            <w:tcW w:w="57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79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Cs/>
                <w:color w:val="000000"/>
                <w:kern w:val="0"/>
                <w:lang w:val="en-US" w:bidi="ar-SA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en-US" w:bidi="ar-SA"/>
              </w:rPr>
              <w:t>7</w:t>
            </w:r>
          </w:p>
        </w:tc>
        <w:tc>
          <w:tcPr>
            <w:tcW w:w="102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113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8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ru-RU" w:bidi="ar-SA"/>
              </w:rPr>
              <w:t>Журнал учета работ по нарядам и распоряжениям</w:t>
            </w:r>
          </w:p>
        </w:tc>
        <w:tc>
          <w:tcPr>
            <w:tcW w:w="396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Ф. 100 л., печать 1+1, бумага офсетная, обложка синий бумвинил, наклейка 1+0, твердый переплет</w:t>
            </w:r>
          </w:p>
        </w:tc>
        <w:tc>
          <w:tcPr>
            <w:tcW w:w="5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Cs/>
                <w:color w:val="000000"/>
                <w:kern w:val="0"/>
                <w:lang w:val="en-US" w:bidi="ar-SA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en-US" w:bidi="ar-SA"/>
              </w:rPr>
              <w:t>15</w:t>
            </w:r>
          </w:p>
        </w:tc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9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ru-RU" w:bidi="ar-SA"/>
              </w:rPr>
              <w:t>Журнал регистрации проведения специальной подготовки на рабочем месте</w:t>
            </w:r>
          </w:p>
        </w:tc>
        <w:tc>
          <w:tcPr>
            <w:tcW w:w="396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Ф. 100 л., печать 1+1, бумага офсетная, обложка синий бумвинил, наклейка 1+0, твердый переплет</w:t>
            </w:r>
          </w:p>
        </w:tc>
        <w:tc>
          <w:tcPr>
            <w:tcW w:w="5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Cs/>
                <w:color w:val="000000"/>
                <w:kern w:val="0"/>
                <w:lang w:val="en-US" w:bidi="ar-SA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en-US" w:bidi="ar-SA"/>
              </w:rPr>
              <w:t>23</w:t>
            </w:r>
          </w:p>
        </w:tc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10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ru-RU" w:bidi="ar-SA"/>
              </w:rPr>
              <w:t>Журнал учета и содержания средств защиты</w:t>
            </w:r>
          </w:p>
        </w:tc>
        <w:tc>
          <w:tcPr>
            <w:tcW w:w="396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Ф. 50 л., печать 1+1, бумага офсетная, обложка синий бумвинил, наклейка 1+0, твердый переплет</w:t>
            </w:r>
          </w:p>
        </w:tc>
        <w:tc>
          <w:tcPr>
            <w:tcW w:w="5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Cs/>
                <w:color w:val="000000"/>
                <w:kern w:val="0"/>
                <w:lang w:val="en-US" w:bidi="ar-SA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en-US" w:bidi="ar-SA"/>
              </w:rPr>
              <w:t>25</w:t>
            </w:r>
          </w:p>
        </w:tc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11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ru-RU" w:bidi="ar-SA"/>
              </w:rPr>
              <w:t>Журнал регистрации вводного инструктажа по охране труда</w:t>
            </w:r>
          </w:p>
        </w:tc>
        <w:tc>
          <w:tcPr>
            <w:tcW w:w="396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Ф. 50 л., печать 1+1, бумага офсетная, обложка синий бумвинил, наклейка 1+0, твердый переплет</w:t>
            </w:r>
          </w:p>
        </w:tc>
        <w:tc>
          <w:tcPr>
            <w:tcW w:w="5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Cs/>
                <w:color w:val="000000"/>
                <w:kern w:val="0"/>
                <w:lang w:val="en-US" w:bidi="ar-SA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en-US" w:bidi="ar-SA"/>
              </w:rPr>
              <w:t>25</w:t>
            </w:r>
          </w:p>
        </w:tc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12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ru-RU" w:bidi="ar-SA"/>
              </w:rPr>
              <w:t>Журнал регистрации проведения специальной подготовки на рабочем месте</w:t>
            </w:r>
          </w:p>
        </w:tc>
        <w:tc>
          <w:tcPr>
            <w:tcW w:w="396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Ф. 50 л., печать 1+1, бумага офсетная, обложка синий бумвинил, наклейка 1+0, твердый переплет</w:t>
            </w:r>
          </w:p>
        </w:tc>
        <w:tc>
          <w:tcPr>
            <w:tcW w:w="5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Cs/>
                <w:color w:val="000000"/>
                <w:kern w:val="0"/>
                <w:lang w:val="en-US" w:bidi="ar-SA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en-US" w:bidi="ar-SA"/>
              </w:rPr>
              <w:t>12</w:t>
            </w:r>
          </w:p>
        </w:tc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13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ru-RU" w:bidi="ar-SA"/>
              </w:rPr>
              <w:t>Сменный журнал сосудов, работающих под давлением</w:t>
            </w:r>
          </w:p>
        </w:tc>
        <w:tc>
          <w:tcPr>
            <w:tcW w:w="396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Ф. 200 л., печать 1+1, бумага офсетная, обложка синий бумвинил, наклейка 1+0, твердый переплет</w:t>
              <w:tab/>
            </w:r>
          </w:p>
        </w:tc>
        <w:tc>
          <w:tcPr>
            <w:tcW w:w="5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Cs/>
                <w:color w:val="000000"/>
                <w:kern w:val="0"/>
                <w:lang w:val="ru-RU" w:bidi="ar-SA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en-US" w:bidi="ar-SA"/>
              </w:rPr>
              <w:t>10</w:t>
            </w:r>
          </w:p>
        </w:tc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14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ru-RU" w:bidi="ar-SA"/>
              </w:rPr>
              <w:t>Журнал учета технического обслуживания оборудования</w:t>
            </w:r>
          </w:p>
        </w:tc>
        <w:tc>
          <w:tcPr>
            <w:tcW w:w="396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Ф. 50 л., печать 1+1, бумага офсетная, обложка синий бумвинил, наклейка 1+0, твердый переплет</w:t>
            </w:r>
          </w:p>
        </w:tc>
        <w:tc>
          <w:tcPr>
            <w:tcW w:w="5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Cs/>
                <w:color w:val="000000"/>
                <w:kern w:val="0"/>
                <w:lang w:val="en-US" w:bidi="ar-SA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en-US" w:bidi="ar-SA"/>
              </w:rPr>
              <w:t>17</w:t>
            </w:r>
          </w:p>
        </w:tc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15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ru-RU" w:bidi="ar-SA"/>
              </w:rPr>
              <w:t>Журнал учета технического обслуживания оборудования ССИТС</w:t>
            </w:r>
          </w:p>
        </w:tc>
        <w:tc>
          <w:tcPr>
            <w:tcW w:w="396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Ф. 100 л., печать 1+1, бумага офсетная, обложка синий бумвинил, наклейка 1+0, твердый переплет</w:t>
            </w:r>
          </w:p>
        </w:tc>
        <w:tc>
          <w:tcPr>
            <w:tcW w:w="5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Cs/>
                <w:color w:val="000000"/>
                <w:kern w:val="0"/>
                <w:lang w:val="en-US" w:bidi="ar-SA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en-US" w:bidi="ar-SA"/>
              </w:rPr>
              <w:t>10</w:t>
            </w:r>
          </w:p>
        </w:tc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16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ru-RU" w:bidi="ar-SA"/>
              </w:rPr>
              <w:t>Журнал АСУ ТП</w:t>
            </w:r>
          </w:p>
        </w:tc>
        <w:tc>
          <w:tcPr>
            <w:tcW w:w="396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Ф. 100 л., печать 1+1, бумага офсетная, обложка синий бумвинил, наклейка 1+0, твердый переплет</w:t>
            </w:r>
          </w:p>
        </w:tc>
        <w:tc>
          <w:tcPr>
            <w:tcW w:w="5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Cs/>
                <w:color w:val="000000"/>
                <w:kern w:val="0"/>
                <w:lang w:val="en-US" w:bidi="ar-SA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en-US" w:bidi="ar-SA"/>
              </w:rPr>
              <w:t>5</w:t>
            </w:r>
          </w:p>
        </w:tc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17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ru-RU" w:bidi="ar-SA"/>
              </w:rPr>
              <w:t>Журнал дефектов оборудования ССИТС</w:t>
            </w:r>
          </w:p>
        </w:tc>
        <w:tc>
          <w:tcPr>
            <w:tcW w:w="396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Ф. 100 л., печать 1+1, бумага офсетная, обложка синий бумвинил, наклейка 1+0, твердый переплет</w:t>
            </w:r>
          </w:p>
        </w:tc>
        <w:tc>
          <w:tcPr>
            <w:tcW w:w="5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Cs/>
                <w:color w:val="000000"/>
                <w:kern w:val="0"/>
                <w:lang w:val="en-US" w:bidi="ar-SA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en-US" w:bidi="ar-SA"/>
              </w:rPr>
              <w:t>5</w:t>
            </w:r>
          </w:p>
        </w:tc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18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ru-RU" w:bidi="ar-SA"/>
              </w:rPr>
              <w:t>Журнал обходов и осмотров оборудования ССИТС</w:t>
            </w:r>
          </w:p>
        </w:tc>
        <w:tc>
          <w:tcPr>
            <w:tcW w:w="396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Ф. 100 л., печать 1+1, бумага офсетная, обложка синий бумвинил, наклейка 1+0, твердый переплет</w:t>
            </w:r>
          </w:p>
        </w:tc>
        <w:tc>
          <w:tcPr>
            <w:tcW w:w="5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bCs/>
                <w:color w:val="000000"/>
                <w:kern w:val="0"/>
                <w:lang w:val="en-US" w:bidi="ar-SA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en-US" w:bidi="ar-SA"/>
              </w:rPr>
              <w:t>5</w:t>
            </w:r>
          </w:p>
        </w:tc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19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ru-RU" w:bidi="ar-SA"/>
              </w:rPr>
              <w:t>Журнал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ru-RU" w:bidi="ar-SA"/>
              </w:rPr>
              <w:t>регистрации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ru-RU" w:bidi="ar-SA"/>
              </w:rPr>
              <w:t>автотранспорта</w:t>
            </w:r>
          </w:p>
        </w:tc>
        <w:tc>
          <w:tcPr>
            <w:tcW w:w="396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Ф. 200 л., печать 1+1, бумага офсетная, обложка синий бумвинил, наклейка 1+0, твердый переплет</w:t>
            </w:r>
          </w:p>
        </w:tc>
        <w:tc>
          <w:tcPr>
            <w:tcW w:w="5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en-US" w:bidi="ar-SA"/>
              </w:rPr>
              <w:t>25</w:t>
            </w:r>
          </w:p>
        </w:tc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20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2" w:before="0" w:after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eastAsia="en-US" w:bidi="ar-SA"/>
              </w:rPr>
              <w:t>Журнал</w:t>
            </w:r>
          </w:p>
          <w:p>
            <w:pPr>
              <w:pStyle w:val="Normal"/>
              <w:widowControl w:val="false"/>
              <w:suppressAutoHyphens w:val="true"/>
              <w:spacing w:lineRule="auto" w:line="252" w:before="0" w:after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eastAsia="en-US" w:bidi="ar-SA"/>
              </w:rPr>
              <w:t>регистрации</w:t>
            </w:r>
          </w:p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eastAsia="en-US" w:bidi="ar-SA"/>
              </w:rPr>
              <w:t>посетителей</w:t>
            </w:r>
          </w:p>
        </w:tc>
        <w:tc>
          <w:tcPr>
            <w:tcW w:w="3964" w:type="dxa"/>
            <w:tcBorders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Ф. 200 л., печать 1+1, бумага офсетная, обложка синий бумвинил, наклейка 1+0, твердый переплет</w:t>
            </w:r>
          </w:p>
        </w:tc>
        <w:tc>
          <w:tcPr>
            <w:tcW w:w="5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en-US" w:bidi="ar-SA"/>
              </w:rPr>
              <w:t>25</w:t>
            </w:r>
          </w:p>
        </w:tc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21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2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Общий журнал работ</w:t>
            </w:r>
          </w:p>
        </w:tc>
        <w:tc>
          <w:tcPr>
            <w:tcW w:w="39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Ф. 200 л., печать 1+1, бумага офсетная, обложка синий бумвинил, наклейка 1+0, твердый переплет</w:t>
            </w:r>
          </w:p>
        </w:tc>
        <w:tc>
          <w:tcPr>
            <w:tcW w:w="5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en-US" w:bidi="ar-SA"/>
              </w:rPr>
              <w:t>25</w:t>
            </w:r>
          </w:p>
        </w:tc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22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2" w:before="0" w:after="0"/>
              <w:jc w:val="left"/>
              <w:rPr>
                <w:sz w:val="24"/>
                <w:szCs w:val="24"/>
              </w:rPr>
            </w:pPr>
            <w:r>
              <w:rPr>
                <w:color w:val="000000"/>
                <w:kern w:val="0"/>
                <w:sz w:val="24"/>
                <w:szCs w:val="24"/>
                <w:lang w:val="ru-RU" w:eastAsia="en-US" w:bidi="ar-SA"/>
              </w:rPr>
              <w:t>Журнал бетонных работ</w:t>
            </w:r>
          </w:p>
        </w:tc>
        <w:tc>
          <w:tcPr>
            <w:tcW w:w="39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Ф. 200 л., печать 1+1, бумага офсетная, обложка синий бумвинил, наклейка 1+0, твердый переплет</w:t>
            </w:r>
          </w:p>
        </w:tc>
        <w:tc>
          <w:tcPr>
            <w:tcW w:w="5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en-US" w:bidi="ar-SA"/>
              </w:rPr>
              <w:t>15</w:t>
            </w:r>
          </w:p>
        </w:tc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23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2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Журнал сварочных работ</w:t>
            </w:r>
          </w:p>
        </w:tc>
        <w:tc>
          <w:tcPr>
            <w:tcW w:w="39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Ф. 200 л., печать 1+1, бумага офсетная, обложка синий бумвинил, наклейка 1+0, твердый переплет</w:t>
            </w:r>
          </w:p>
        </w:tc>
        <w:tc>
          <w:tcPr>
            <w:tcW w:w="5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en-US" w:bidi="ar-SA"/>
              </w:rPr>
              <w:t>15</w:t>
            </w:r>
          </w:p>
        </w:tc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24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2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Журнал входного учета и контроля качества получаемых деталей, материалов, конструкций и оборудования.</w:t>
            </w:r>
          </w:p>
        </w:tc>
        <w:tc>
          <w:tcPr>
            <w:tcW w:w="39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Ф. 200 л., печать 1+1, бумага офсетная, обложка синий бумвинил, наклейка 1+0, твердый переплет</w:t>
            </w:r>
          </w:p>
        </w:tc>
        <w:tc>
          <w:tcPr>
            <w:tcW w:w="5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en-US" w:bidi="ar-SA"/>
              </w:rPr>
              <w:t>15</w:t>
            </w:r>
          </w:p>
        </w:tc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ind w:hanging="113" w:left="-57" w:right="34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25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2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Журнал прокладки кабелей</w:t>
            </w:r>
          </w:p>
        </w:tc>
        <w:tc>
          <w:tcPr>
            <w:tcW w:w="39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Ф. 200 л., печать 1+1, бумага офсетная, обложка синий бумвинил, наклейка 1+0, твердый переплет</w:t>
            </w:r>
          </w:p>
        </w:tc>
        <w:tc>
          <w:tcPr>
            <w:tcW w:w="5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en-US" w:bidi="ar-SA"/>
              </w:rPr>
              <w:t>15</w:t>
            </w:r>
          </w:p>
        </w:tc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26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2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en-US" w:eastAsia="en-US" w:bidi="ar-SA"/>
              </w:rPr>
              <w:t>Журнал авторского надзора</w:t>
            </w:r>
          </w:p>
        </w:tc>
        <w:tc>
          <w:tcPr>
            <w:tcW w:w="39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Ф. 200 л., печать 1+1, бумага офсетная, обложка синий бумвинил, наклейка 1+0, твердый переплет</w:t>
            </w:r>
          </w:p>
        </w:tc>
        <w:tc>
          <w:tcPr>
            <w:tcW w:w="5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en-US" w:bidi="ar-SA"/>
              </w:rPr>
              <w:t>10</w:t>
            </w:r>
          </w:p>
        </w:tc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27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2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Журнал работ по монтажу строительных конструкций</w:t>
            </w:r>
          </w:p>
        </w:tc>
        <w:tc>
          <w:tcPr>
            <w:tcW w:w="39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Ф. 200 л., печать 1+1, бумага офсетная, обложка синий бумвинил, наклейка 1+0, твердый переплет</w:t>
            </w:r>
          </w:p>
        </w:tc>
        <w:tc>
          <w:tcPr>
            <w:tcW w:w="5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en-US" w:bidi="ar-SA"/>
              </w:rPr>
              <w:t>15</w:t>
            </w:r>
          </w:p>
        </w:tc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kern w:val="0"/>
                <w:lang w:val="en-US" w:eastAsia="en-US" w:bidi="ar-SA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28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2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Журнал выполнения монтажных соединений на болтах с контролируемым натяжением</w:t>
            </w:r>
          </w:p>
        </w:tc>
        <w:tc>
          <w:tcPr>
            <w:tcW w:w="39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Ф. 200 л., печать 1+1, бумага офсетная, обложка синий бумвинил, наклейка 1+0, твердый переплет</w:t>
            </w:r>
          </w:p>
        </w:tc>
        <w:tc>
          <w:tcPr>
            <w:tcW w:w="5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en-US" w:bidi="ar-SA"/>
              </w:rPr>
              <w:t>15</w:t>
            </w:r>
          </w:p>
        </w:tc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rFonts w:eastAsia="Calibri"/>
                <w:kern w:val="0"/>
                <w:lang w:val="en-US" w:eastAsia="en-US" w:bidi="ar-SA"/>
              </w:rPr>
            </w:pPr>
            <w:r>
              <w:rPr>
                <w:rFonts w:eastAsia="Calibri"/>
                <w:kern w:val="0"/>
                <w:sz w:val="24"/>
                <w:szCs w:val="24"/>
                <w:lang w:val="en-US" w:eastAsia="en-US" w:bidi="ar-SA"/>
              </w:rPr>
              <w:t>29</w:t>
            </w:r>
          </w:p>
        </w:tc>
        <w:tc>
          <w:tcPr>
            <w:tcW w:w="2210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lineRule="auto" w:line="252" w:before="0" w:after="0"/>
              <w:jc w:val="left"/>
              <w:rPr>
                <w:sz w:val="24"/>
                <w:szCs w:val="24"/>
              </w:rPr>
            </w:pPr>
            <w:r>
              <w:rPr>
                <w:kern w:val="0"/>
                <w:sz w:val="24"/>
                <w:szCs w:val="24"/>
                <w:lang w:val="ru-RU" w:eastAsia="en-US" w:bidi="ar-SA"/>
              </w:rPr>
              <w:t>Журнал производства антикоррозионных работ</w:t>
            </w:r>
          </w:p>
        </w:tc>
        <w:tc>
          <w:tcPr>
            <w:tcW w:w="3964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Ф. 200 л., печать 1+1, бумага офсетная, обложка синий бумвинил, наклейка 1+0, твердый переплет</w:t>
            </w:r>
          </w:p>
        </w:tc>
        <w:tc>
          <w:tcPr>
            <w:tcW w:w="573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шт.</w:t>
            </w:r>
          </w:p>
        </w:tc>
        <w:tc>
          <w:tcPr>
            <w:tcW w:w="795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sz w:val="24"/>
                <w:szCs w:val="24"/>
              </w:rPr>
            </w:pPr>
            <w:r>
              <w:rPr>
                <w:bCs/>
                <w:color w:val="000000"/>
                <w:kern w:val="0"/>
                <w:sz w:val="24"/>
                <w:szCs w:val="24"/>
                <w:lang w:val="en-US" w:bidi="ar-SA"/>
              </w:rPr>
              <w:t>15</w:t>
            </w:r>
          </w:p>
        </w:tc>
        <w:tc>
          <w:tcPr>
            <w:tcW w:w="1021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1136" w:type="dxa"/>
            <w:tcBorders/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center"/>
              <w:rPr>
                <w:rFonts w:eastAsia="Calibri"/>
                <w:color w:val="000000"/>
                <w:kern w:val="0"/>
                <w:lang w:val="en-US" w:eastAsia="en-US" w:bidi="ar-SA"/>
              </w:rPr>
            </w:pPr>
            <w:r>
              <w:rPr>
                <w:rFonts w:eastAsia="Calibri"/>
                <w:color w:val="000000"/>
                <w:kern w:val="0"/>
                <w:lang w:val="en-US" w:eastAsia="en-US" w:bidi="ar-SA"/>
              </w:rPr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kern w:val="0"/>
                <w:lang w:val="ru-RU" w:bidi="ar-SA"/>
              </w:rPr>
            </w:pPr>
            <w:r>
              <w:rPr>
                <w:kern w:val="0"/>
                <w:lang w:val="ru-RU" w:bidi="ar-SA"/>
              </w:rPr>
            </w:r>
          </w:p>
        </w:tc>
      </w:tr>
      <w:tr>
        <w:trPr/>
        <w:tc>
          <w:tcPr>
            <w:tcW w:w="788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val="en-US" w:eastAsia="en-US"/>
              </w:rPr>
              <w:t>‍</w:t>
            </w:r>
            <w:r>
              <w:rPr>
                <w:rFonts w:eastAsia="Calibri"/>
                <w:sz w:val="24"/>
                <w:szCs w:val="24"/>
                <w:lang w:val="en-US" w:eastAsia="en-US"/>
              </w:rPr>
              <w:t>30</w:t>
            </w:r>
          </w:p>
        </w:tc>
        <w:tc>
          <w:tcPr>
            <w:tcW w:w="2210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hd w:val="clear" w:color="auto" w:fill="FFFFFF"/>
              <w:ind w:hanging="0" w:right="14"/>
              <w:jc w:val="left"/>
              <w:rPr>
                <w:sz w:val="24"/>
                <w:szCs w:val="24"/>
              </w:rPr>
            </w:pPr>
            <w:r>
              <w:rPr>
                <w:rFonts w:eastAsia="Calibri" w:eastAsiaTheme="minorHAnsi"/>
                <w:b w:val="false"/>
                <w:bCs w:val="false"/>
                <w:color w:val="000000" w:themeColor="text1"/>
                <w:sz w:val="24"/>
                <w:szCs w:val="24"/>
              </w:rPr>
              <w:t>Журнал освидетельствования работников</w:t>
            </w:r>
          </w:p>
          <w:p>
            <w:pPr>
              <w:pStyle w:val="Normal"/>
              <w:widowControl w:val="false"/>
              <w:shd w:val="clear" w:color="auto" w:fill="FFFFFF"/>
              <w:ind w:hanging="0" w:right="14"/>
              <w:jc w:val="left"/>
              <w:rPr>
                <w:sz w:val="24"/>
                <w:szCs w:val="24"/>
              </w:rPr>
            </w:pPr>
            <w:r>
              <w:rPr>
                <w:rFonts w:eastAsia="Calibri" w:eastAsiaTheme="minorHAnsi"/>
                <w:b w:val="false"/>
                <w:bCs w:val="false"/>
                <w:color w:val="000000" w:themeColor="text1"/>
                <w:sz w:val="24"/>
                <w:szCs w:val="24"/>
              </w:rPr>
              <w:t>Филиала</w:t>
            </w:r>
          </w:p>
        </w:tc>
        <w:tc>
          <w:tcPr>
            <w:tcW w:w="3964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contextualSpacing/>
              <w:jc w:val="both"/>
              <w:rPr>
                <w:sz w:val="24"/>
                <w:szCs w:val="24"/>
              </w:rPr>
            </w:pPr>
            <w:r>
              <w:rPr>
                <w:rFonts w:eastAsia="Calibri"/>
                <w:kern w:val="0"/>
                <w:sz w:val="24"/>
                <w:szCs w:val="24"/>
                <w:lang w:val="ru-RU" w:eastAsia="en-US" w:bidi="ar-SA"/>
              </w:rPr>
              <w:t>Ф. 200 л., печать 1+1, бумага офсетная, обложка синий бумвинил, наклейка 1+0, твердый переплет</w:t>
            </w:r>
          </w:p>
        </w:tc>
        <w:tc>
          <w:tcPr>
            <w:tcW w:w="573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pacing w:lineRule="auto" w:line="252"/>
              <w:ind w:hanging="0" w:left="-141"/>
              <w:jc w:val="center"/>
              <w:rPr>
                <w:color w:val="000000"/>
                <w:sz w:val="24"/>
                <w:szCs w:val="24"/>
                <w:lang w:eastAsia="en-US"/>
              </w:rPr>
            </w:pPr>
            <w:r>
              <w:rPr>
                <w:color w:val="000000"/>
                <w:sz w:val="24"/>
                <w:szCs w:val="24"/>
                <w:lang w:eastAsia="en-US"/>
              </w:rPr>
              <w:t>шт.</w:t>
            </w:r>
          </w:p>
        </w:tc>
        <w:tc>
          <w:tcPr>
            <w:tcW w:w="79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02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113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  <w:tr>
        <w:trPr/>
        <w:tc>
          <w:tcPr>
            <w:tcW w:w="7535" w:type="dxa"/>
            <w:gridSpan w:val="4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suppressAutoHyphens w:val="true"/>
              <w:spacing w:before="0" w:after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‍                                                                                                       </w:t>
            </w: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795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021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  <w:tc>
          <w:tcPr>
            <w:tcW w:w="1136" w:type="dxa"/>
            <w:tcBorders>
              <w:top w:val="nil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tcW w:w="56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Normal"/>
              <w:widowControl w:val="false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p>
      <w:pPr>
        <w:pStyle w:val="Normal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</w:r>
    </w:p>
    <w:tbl>
      <w:tblPr>
        <w:tblW w:w="13477" w:type="dxa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5954"/>
        <w:gridCol w:w="6315"/>
        <w:gridCol w:w="1208"/>
      </w:tblGrid>
      <w:tr>
        <w:trPr/>
        <w:tc>
          <w:tcPr>
            <w:tcW w:w="5954" w:type="dxa"/>
            <w:tcBorders/>
            <w:shd w:color="auto" w:fill="auto" w:val="clear"/>
          </w:tcPr>
          <w:p>
            <w:pPr>
              <w:pStyle w:val="Normal"/>
              <w:widowControl w:val="false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6315" w:type="dxa"/>
            <w:tcBorders/>
            <w:shd w:color="auto" w:fill="auto" w:val="clear"/>
          </w:tcPr>
          <w:p>
            <w:pPr>
              <w:pStyle w:val="Normal"/>
              <w:widowControl w:val="false"/>
              <w:suppressAutoHyphens w:val="true"/>
              <w:bidi w:val="0"/>
              <w:spacing w:lineRule="auto" w:line="240" w:before="0" w:after="0"/>
              <w:jc w:val="left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  <w:highlight w:val="yellow"/>
              </w:rPr>
            </w:r>
          </w:p>
        </w:tc>
        <w:tc>
          <w:tcPr>
            <w:tcW w:w="1208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</w:r>
          </w:p>
        </w:tc>
      </w:tr>
    </w:tbl>
    <w:p>
      <w:pPr>
        <w:pStyle w:val="Normal"/>
        <w:jc w:val="center"/>
        <w:rPr>
          <w:sz w:val="28"/>
          <w:szCs w:val="24"/>
        </w:rPr>
      </w:pPr>
      <w:r>
        <w:rPr>
          <w:sz w:val="28"/>
          <w:szCs w:val="24"/>
        </w:rPr>
      </w:r>
    </w:p>
    <w:sectPr>
      <w:type w:val="nextPage"/>
      <w:pgSz w:w="11906" w:h="16838"/>
      <w:pgMar w:left="990" w:right="851" w:gutter="0" w:header="0" w:top="1134" w:footer="0" w:bottom="22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ambria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roman"/>
    <w:pitch w:val="variable"/>
  </w:font>
  <w:font w:name="Verdana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trackRevisions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uiPriority="0" w:semiHidden="1" w:unhideWhenUsed="1"/>
    <w:lsdException w:name="header" w:uiPriority="0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semiHidden="1" w:unhideWhenUsed="1"/>
    <w:lsdException w:name="line number" w:semiHidden="1" w:unhideWhenUsed="1"/>
    <w:lsdException w:name="page number" w:uiPriority="0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uiPriority="0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uiPriority="0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2f64f5"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ing1">
    <w:name w:val="Heading 1"/>
    <w:basedOn w:val="Normal"/>
    <w:next w:val="Normal"/>
    <w:link w:val="1"/>
    <w:qFormat/>
    <w:rsid w:val="002f64f5"/>
    <w:pPr>
      <w:keepNext w:val="true"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Heading3">
    <w:name w:val="Heading 3"/>
    <w:basedOn w:val="Normal"/>
    <w:next w:val="Normal"/>
    <w:link w:val="3"/>
    <w:qFormat/>
    <w:rsid w:val="002f64f5"/>
    <w:pPr>
      <w:keepNext w:val="true"/>
      <w:keepLines/>
      <w:spacing w:before="200" w:after="0"/>
      <w:outlineLvl w:val="2"/>
    </w:pPr>
    <w:rPr>
      <w:rFonts w:ascii="Cambria" w:hAnsi="Cambria"/>
      <w:b/>
      <w:bCs/>
      <w:color w:val="4F81BD"/>
      <w:lang w:val="x-none" w:eastAsia="x-none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qFormat/>
    <w:rsid w:val="002f64f5"/>
    <w:rPr>
      <w:rFonts w:ascii="Arial" w:hAnsi="Arial" w:eastAsia="Times New Roman" w:cs="Arial"/>
      <w:b/>
      <w:bCs/>
      <w:kern w:val="2"/>
      <w:sz w:val="32"/>
      <w:szCs w:val="32"/>
      <w:lang w:eastAsia="ru-RU"/>
    </w:rPr>
  </w:style>
  <w:style w:type="character" w:styleId="3" w:customStyle="1">
    <w:name w:val="Заголовок 3 Знак"/>
    <w:basedOn w:val="DefaultParagraphFont"/>
    <w:qFormat/>
    <w:rsid w:val="002f64f5"/>
    <w:rPr>
      <w:rFonts w:ascii="Cambria" w:hAnsi="Cambria" w:eastAsia="Times New Roman" w:cs="Times New Roman"/>
      <w:b/>
      <w:bCs/>
      <w:color w:val="4F81BD"/>
      <w:sz w:val="20"/>
      <w:szCs w:val="20"/>
      <w:lang w:val="x-none" w:eastAsia="x-none"/>
    </w:rPr>
  </w:style>
  <w:style w:type="character" w:styleId="Style7" w:customStyle="1">
    <w:name w:val="Заголовок Знак"/>
    <w:basedOn w:val="DefaultParagraphFont"/>
    <w:qFormat/>
    <w:rsid w:val="002f64f5"/>
    <w:rPr>
      <w:rFonts w:ascii="Times New Roman" w:hAnsi="Times New Roman" w:eastAsia="Times New Roman" w:cs="Times New Roman"/>
      <w:b/>
      <w:bCs/>
      <w:sz w:val="24"/>
      <w:szCs w:val="24"/>
      <w:lang w:eastAsia="ru-RU"/>
    </w:rPr>
  </w:style>
  <w:style w:type="character" w:styleId="2" w:customStyle="1">
    <w:name w:val="Основной текст с отступом 2 Знак"/>
    <w:basedOn w:val="DefaultParagraphFont"/>
    <w:link w:val="BodyTextIndent2"/>
    <w:qFormat/>
    <w:rsid w:val="002f64f5"/>
    <w:rPr>
      <w:rFonts w:ascii="Times New Roman" w:hAnsi="Times New Roman" w:eastAsia="Times New Roman" w:cs="Times New Roman"/>
      <w:sz w:val="24"/>
      <w:szCs w:val="20"/>
      <w:lang w:eastAsia="ru-RU"/>
    </w:rPr>
  </w:style>
  <w:style w:type="character" w:styleId="Style8" w:customStyle="1">
    <w:name w:val="Текст выноски Знак"/>
    <w:basedOn w:val="DefaultParagraphFont"/>
    <w:link w:val="BalloonText"/>
    <w:semiHidden/>
    <w:qFormat/>
    <w:rsid w:val="002f64f5"/>
    <w:rPr>
      <w:rFonts w:ascii="Tahoma" w:hAnsi="Tahoma" w:eastAsia="Times New Roman" w:cs="Tahoma"/>
      <w:sz w:val="16"/>
      <w:szCs w:val="16"/>
      <w:lang w:eastAsia="ru-RU"/>
    </w:rPr>
  </w:style>
  <w:style w:type="character" w:styleId="21" w:customStyle="1">
    <w:name w:val="Основной текст 2 Знак"/>
    <w:basedOn w:val="DefaultParagraphFont"/>
    <w:link w:val="BodyText2"/>
    <w:qFormat/>
    <w:rsid w:val="002f64f5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9" w:customStyle="1">
    <w:name w:val="Основной текст Знак"/>
    <w:basedOn w:val="DefaultParagraphFont"/>
    <w:qFormat/>
    <w:rsid w:val="002f64f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0" w:customStyle="1">
    <w:name w:val="Нижний колонтитул Знак"/>
    <w:basedOn w:val="DefaultParagraphFont"/>
    <w:qFormat/>
    <w:rsid w:val="002f64f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Pagenumber">
    <w:name w:val="page number"/>
    <w:basedOn w:val="DefaultParagraphFont"/>
    <w:qFormat/>
    <w:rsid w:val="002f64f5"/>
    <w:rPr/>
  </w:style>
  <w:style w:type="character" w:styleId="31" w:customStyle="1">
    <w:name w:val="Основной текст 3 Знак"/>
    <w:basedOn w:val="DefaultParagraphFont"/>
    <w:link w:val="BodyText3"/>
    <w:qFormat/>
    <w:rsid w:val="002f64f5"/>
    <w:rPr>
      <w:rFonts w:ascii="Times New Roman" w:hAnsi="Times New Roman" w:eastAsia="Times New Roman" w:cs="Times New Roman"/>
      <w:sz w:val="16"/>
      <w:szCs w:val="16"/>
      <w:lang w:val="x-none" w:eastAsia="x-none"/>
    </w:rPr>
  </w:style>
  <w:style w:type="character" w:styleId="Annotationreference">
    <w:name w:val="annotation reference"/>
    <w:qFormat/>
    <w:rsid w:val="002f64f5"/>
    <w:rPr>
      <w:sz w:val="16"/>
      <w:szCs w:val="16"/>
    </w:rPr>
  </w:style>
  <w:style w:type="character" w:styleId="Style11" w:customStyle="1">
    <w:name w:val="Текст примечания Знак"/>
    <w:basedOn w:val="DefaultParagraphFont"/>
    <w:link w:val="Annotationtext"/>
    <w:qFormat/>
    <w:rsid w:val="002f64f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2" w:customStyle="1">
    <w:name w:val="Тема примечания Знак"/>
    <w:basedOn w:val="Style11"/>
    <w:link w:val="Annotationsubject"/>
    <w:qFormat/>
    <w:rsid w:val="002f64f5"/>
    <w:rPr>
      <w:rFonts w:ascii="Times New Roman" w:hAnsi="Times New Roman" w:eastAsia="Times New Roman" w:cs="Times New Roman"/>
      <w:b/>
      <w:bCs/>
      <w:sz w:val="20"/>
      <w:szCs w:val="20"/>
      <w:lang w:val="x-none" w:eastAsia="x-none"/>
    </w:rPr>
  </w:style>
  <w:style w:type="character" w:styleId="Style13" w:customStyle="1">
    <w:name w:val="Основной текст с отступом Знак"/>
    <w:basedOn w:val="DefaultParagraphFont"/>
    <w:qFormat/>
    <w:rsid w:val="002f64f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4" w:customStyle="1">
    <w:name w:val="комментарий"/>
    <w:uiPriority w:val="99"/>
    <w:qFormat/>
    <w:rsid w:val="002f64f5"/>
    <w:rPr>
      <w:rFonts w:cs="Times New Roman"/>
      <w:b/>
      <w:bCs/>
      <w:i/>
      <w:iCs/>
      <w:shd w:fill="FFFF99" w:val="clear"/>
    </w:rPr>
  </w:style>
  <w:style w:type="character" w:styleId="Style15" w:customStyle="1">
    <w:name w:val="Текст сноски Знак"/>
    <w:basedOn w:val="DefaultParagraphFont"/>
    <w:uiPriority w:val="99"/>
    <w:qFormat/>
    <w:rsid w:val="002f64f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Style16">
    <w:name w:val="Символ сноски"/>
    <w:uiPriority w:val="99"/>
    <w:qFormat/>
    <w:rsid w:val="002f64f5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7" w:customStyle="1">
    <w:name w:val="Схема документа Знак"/>
    <w:basedOn w:val="DefaultParagraphFont"/>
    <w:link w:val="DocumentMap"/>
    <w:semiHidden/>
    <w:qFormat/>
    <w:rsid w:val="002f64f5"/>
    <w:rPr>
      <w:rFonts w:ascii="Tahoma" w:hAnsi="Tahoma" w:eastAsia="Times New Roman" w:cs="Tahoma"/>
      <w:sz w:val="20"/>
      <w:szCs w:val="20"/>
      <w:shd w:fill="000080" w:val="clear"/>
      <w:lang w:eastAsia="ru-RU"/>
    </w:rPr>
  </w:style>
  <w:style w:type="character" w:styleId="Style18" w:customStyle="1">
    <w:name w:val="Верхний колонтитул Знак"/>
    <w:basedOn w:val="DefaultParagraphFont"/>
    <w:qFormat/>
    <w:rsid w:val="002f64f5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FontStyle13" w:customStyle="1">
    <w:name w:val="Font Style13"/>
    <w:qFormat/>
    <w:rsid w:val="00d868a4"/>
    <w:rPr>
      <w:rFonts w:ascii="Times New Roman" w:hAnsi="Times New Roman" w:cs="Times New Roman"/>
      <w:sz w:val="18"/>
      <w:szCs w:val="18"/>
    </w:rPr>
  </w:style>
  <w:style w:type="character" w:styleId="Copytarget" w:customStyle="1">
    <w:name w:val="copy_target"/>
    <w:basedOn w:val="DefaultParagraphFont"/>
    <w:qFormat/>
    <w:rsid w:val="00d868a4"/>
    <w:rPr/>
  </w:style>
  <w:style w:type="character" w:styleId="LineNumber">
    <w:name w:val="Line Number"/>
    <w:rPr/>
  </w:style>
  <w:style w:type="paragraph" w:styleId="Style1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BodyText">
    <w:name w:val="Body Text"/>
    <w:basedOn w:val="Normal"/>
    <w:link w:val="Style9"/>
    <w:rsid w:val="002f64f5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/>
  </w:style>
  <w:style w:type="paragraph" w:styleId="Title">
    <w:name w:val="Title"/>
    <w:basedOn w:val="Normal"/>
    <w:link w:val="Style7"/>
    <w:qFormat/>
    <w:rsid w:val="002f64f5"/>
    <w:pPr>
      <w:jc w:val="center"/>
    </w:pPr>
    <w:rPr>
      <w:b/>
      <w:bCs/>
      <w:sz w:val="24"/>
      <w:szCs w:val="24"/>
    </w:rPr>
  </w:style>
  <w:style w:type="paragraph" w:styleId="Style21" w:customStyle="1">
    <w:name w:val="Таблицы (моноширинный)"/>
    <w:basedOn w:val="Normal"/>
    <w:next w:val="Normal"/>
    <w:qFormat/>
    <w:rsid w:val="002f64f5"/>
    <w:pPr>
      <w:jc w:val="both"/>
    </w:pPr>
    <w:rPr>
      <w:rFonts w:ascii="Courier New" w:hAnsi="Courier New" w:cs="Courier New"/>
    </w:rPr>
  </w:style>
  <w:style w:type="paragraph" w:styleId="BodyTextIndent2">
    <w:name w:val="Body Text Indent 2"/>
    <w:basedOn w:val="Normal"/>
    <w:link w:val="2"/>
    <w:qFormat/>
    <w:rsid w:val="002f64f5"/>
    <w:pPr>
      <w:ind w:hanging="0" w:left="1843"/>
      <w:jc w:val="both"/>
    </w:pPr>
    <w:rPr>
      <w:sz w:val="24"/>
    </w:rPr>
  </w:style>
  <w:style w:type="paragraph" w:styleId="BalloonText">
    <w:name w:val="Balloon Text"/>
    <w:basedOn w:val="Normal"/>
    <w:link w:val="Style8"/>
    <w:semiHidden/>
    <w:qFormat/>
    <w:rsid w:val="002f64f5"/>
    <w:pPr/>
    <w:rPr>
      <w:rFonts w:ascii="Tahoma" w:hAnsi="Tahoma" w:cs="Tahoma"/>
      <w:sz w:val="16"/>
      <w:szCs w:val="16"/>
    </w:rPr>
  </w:style>
  <w:style w:type="paragraph" w:styleId="BodyText2">
    <w:name w:val="Body Text 2"/>
    <w:basedOn w:val="Normal"/>
    <w:link w:val="21"/>
    <w:qFormat/>
    <w:rsid w:val="002f64f5"/>
    <w:pPr>
      <w:widowControl/>
      <w:spacing w:lineRule="auto" w:line="480" w:before="0" w:after="120"/>
    </w:pPr>
    <w:rPr>
      <w:sz w:val="24"/>
      <w:szCs w:val="24"/>
    </w:rPr>
  </w:style>
  <w:style w:type="paragraph" w:styleId="Style22">
    <w:name w:val="Колонтитул"/>
    <w:basedOn w:val="Normal"/>
    <w:qFormat/>
    <w:pPr/>
    <w:rPr/>
  </w:style>
  <w:style w:type="paragraph" w:styleId="Footer">
    <w:name w:val="Footer"/>
    <w:basedOn w:val="Normal"/>
    <w:link w:val="Style10"/>
    <w:rsid w:val="002f64f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BodyText3">
    <w:name w:val="Body Text 3"/>
    <w:basedOn w:val="Normal"/>
    <w:link w:val="31"/>
    <w:qFormat/>
    <w:rsid w:val="002f64f5"/>
    <w:pPr>
      <w:spacing w:before="0" w:after="120"/>
    </w:pPr>
    <w:rPr>
      <w:sz w:val="16"/>
      <w:szCs w:val="16"/>
      <w:lang w:val="x-none" w:eastAsia="x-none"/>
    </w:rPr>
  </w:style>
  <w:style w:type="paragraph" w:styleId="Annotationtext">
    <w:name w:val="annotation text"/>
    <w:basedOn w:val="Normal"/>
    <w:link w:val="Style11"/>
    <w:qFormat/>
    <w:rsid w:val="002f64f5"/>
    <w:pPr/>
    <w:rPr/>
  </w:style>
  <w:style w:type="paragraph" w:styleId="Annotationsubject">
    <w:name w:val="annotation subject"/>
    <w:basedOn w:val="Annotationtext"/>
    <w:next w:val="Annotationtext"/>
    <w:link w:val="Style12"/>
    <w:qFormat/>
    <w:rsid w:val="002f64f5"/>
    <w:pPr/>
    <w:rPr>
      <w:b/>
      <w:bCs/>
      <w:lang w:val="x-none" w:eastAsia="x-none"/>
    </w:rPr>
  </w:style>
  <w:style w:type="paragraph" w:styleId="ListParagraph">
    <w:name w:val="List Paragraph"/>
    <w:basedOn w:val="Normal"/>
    <w:qFormat/>
    <w:rsid w:val="002f64f5"/>
    <w:pPr>
      <w:spacing w:before="0" w:after="0"/>
      <w:ind w:hanging="0" w:left="720"/>
      <w:contextualSpacing/>
    </w:pPr>
    <w:rPr/>
  </w:style>
  <w:style w:type="paragraph" w:styleId="Style23" w:customStyle="1">
    <w:name w:val="Знак Знак Знак Знак Знак Знак Знак Знак Знак"/>
    <w:basedOn w:val="Normal"/>
    <w:uiPriority w:val="99"/>
    <w:qFormat/>
    <w:rsid w:val="002f64f5"/>
    <w:pPr>
      <w:widowControl/>
      <w:spacing w:lineRule="exact" w:line="240" w:before="0" w:after="160"/>
      <w:jc w:val="both"/>
    </w:pPr>
    <w:rPr>
      <w:rFonts w:ascii="Verdana" w:hAnsi="Verdana"/>
      <w:sz w:val="22"/>
      <w:lang w:val="en-US" w:eastAsia="en-US"/>
    </w:rPr>
  </w:style>
  <w:style w:type="paragraph" w:styleId="Style24" w:customStyle="1">
    <w:name w:val="Подпункт договора"/>
    <w:basedOn w:val="Normal"/>
    <w:qFormat/>
    <w:rsid w:val="002f64f5"/>
    <w:pPr>
      <w:widowControl/>
      <w:tabs>
        <w:tab w:val="clear" w:pos="708"/>
        <w:tab w:val="left" w:pos="360" w:leader="none"/>
      </w:tabs>
      <w:jc w:val="both"/>
    </w:pPr>
    <w:rPr>
      <w:rFonts w:ascii="Arial" w:hAnsi="Arial"/>
    </w:rPr>
  </w:style>
  <w:style w:type="paragraph" w:styleId="ConsNormal" w:customStyle="1">
    <w:name w:val="ConsNormal"/>
    <w:qFormat/>
    <w:rsid w:val="002f64f5"/>
    <w:pPr>
      <w:widowControl/>
      <w:suppressAutoHyphens w:val="true"/>
      <w:bidi w:val="0"/>
      <w:spacing w:lineRule="auto" w:line="240" w:before="0" w:after="0"/>
      <w:ind w:firstLine="720" w:right="19772"/>
      <w:jc w:val="left"/>
    </w:pPr>
    <w:rPr>
      <w:rFonts w:ascii="Arial" w:hAnsi="Arial" w:eastAsia="Times New Roman" w:cs="Times New Roman"/>
      <w:color w:val="auto"/>
      <w:kern w:val="0"/>
      <w:sz w:val="32"/>
      <w:szCs w:val="20"/>
      <w:lang w:val="ru-RU" w:eastAsia="en-US" w:bidi="ar-SA"/>
    </w:rPr>
  </w:style>
  <w:style w:type="paragraph" w:styleId="BodyTextIndent">
    <w:name w:val="Body Text Indent"/>
    <w:basedOn w:val="Normal"/>
    <w:link w:val="Style13"/>
    <w:rsid w:val="002f64f5"/>
    <w:pPr>
      <w:spacing w:before="0" w:after="120"/>
      <w:ind w:hanging="0" w:left="283"/>
    </w:pPr>
    <w:rPr/>
  </w:style>
  <w:style w:type="paragraph" w:styleId="Style25" w:customStyle="1">
    <w:name w:val="Знак"/>
    <w:basedOn w:val="Normal"/>
    <w:qFormat/>
    <w:rsid w:val="002f64f5"/>
    <w:pPr>
      <w:widowControl/>
      <w:spacing w:lineRule="exact" w:line="240" w:before="0" w:after="160"/>
    </w:pPr>
    <w:rPr>
      <w:rFonts w:ascii="Verdana" w:hAnsi="Verdana" w:cs="Verdana"/>
      <w:lang w:val="en-US" w:eastAsia="en-US"/>
    </w:rPr>
  </w:style>
  <w:style w:type="paragraph" w:styleId="FootnoteText">
    <w:name w:val="Footnote Text"/>
    <w:basedOn w:val="Normal"/>
    <w:link w:val="Style15"/>
    <w:uiPriority w:val="99"/>
    <w:rsid w:val="002f64f5"/>
    <w:pPr/>
    <w:rPr/>
  </w:style>
  <w:style w:type="paragraph" w:styleId="ListBullet3">
    <w:name w:val="List Bullet 3"/>
    <w:basedOn w:val="Normal"/>
    <w:uiPriority w:val="99"/>
    <w:unhideWhenUsed/>
    <w:qFormat/>
    <w:rsid w:val="002f64f5"/>
    <w:pPr>
      <w:widowControl/>
      <w:tabs>
        <w:tab w:val="clear" w:pos="708"/>
        <w:tab w:val="left" w:pos="1418" w:leader="none"/>
      </w:tabs>
      <w:spacing w:lineRule="auto" w:line="360" w:before="120" w:after="0"/>
      <w:ind w:firstLine="720"/>
      <w:jc w:val="both"/>
    </w:pPr>
    <w:rPr>
      <w:rFonts w:eastAsia="Calibri"/>
      <w:i/>
      <w:iCs/>
      <w:sz w:val="24"/>
      <w:szCs w:val="24"/>
    </w:rPr>
  </w:style>
  <w:style w:type="paragraph" w:styleId="-" w:customStyle="1">
    <w:name w:val="Контракт-пункт"/>
    <w:basedOn w:val="Normal"/>
    <w:qFormat/>
    <w:rsid w:val="002f64f5"/>
    <w:pPr>
      <w:widowControl/>
      <w:tabs>
        <w:tab w:val="clear" w:pos="708"/>
        <w:tab w:val="left" w:pos="851" w:leader="none"/>
      </w:tabs>
      <w:spacing w:lineRule="auto" w:line="360"/>
      <w:ind w:hanging="851" w:left="851"/>
      <w:jc w:val="both"/>
    </w:pPr>
    <w:rPr>
      <w:rFonts w:eastAsia="Calibri"/>
      <w:sz w:val="28"/>
      <w:szCs w:val="28"/>
    </w:rPr>
  </w:style>
  <w:style w:type="paragraph" w:styleId="DocumentMap">
    <w:name w:val="Document Map"/>
    <w:basedOn w:val="Normal"/>
    <w:link w:val="Style17"/>
    <w:semiHidden/>
    <w:qFormat/>
    <w:rsid w:val="002f64f5"/>
    <w:pPr>
      <w:shd w:val="clear" w:color="auto" w:fill="000080"/>
    </w:pPr>
    <w:rPr>
      <w:rFonts w:ascii="Tahoma" w:hAnsi="Tahoma" w:cs="Tahoma"/>
    </w:rPr>
  </w:style>
  <w:style w:type="paragraph" w:styleId="Revision">
    <w:name w:val="Revision"/>
    <w:uiPriority w:val="99"/>
    <w:semiHidden/>
    <w:qFormat/>
    <w:rsid w:val="002f64f5"/>
    <w:pPr>
      <w:widowControl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Header">
    <w:name w:val="Header"/>
    <w:basedOn w:val="Normal"/>
    <w:link w:val="Style18"/>
    <w:rsid w:val="002f64f5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6" w:customStyle="1">
    <w:name w:val="Пункт договора"/>
    <w:basedOn w:val="Normal"/>
    <w:qFormat/>
    <w:rsid w:val="002f64f5"/>
    <w:pPr>
      <w:jc w:val="both"/>
    </w:pPr>
    <w:rPr>
      <w:rFonts w:ascii="Arial" w:hAnsi="Arial"/>
    </w:rPr>
  </w:style>
  <w:style w:type="paragraph" w:styleId="11" w:customStyle="1">
    <w:name w:val="Знак Знак Знак Знак Знак Знак Знак Знак Знак1"/>
    <w:basedOn w:val="Normal"/>
    <w:qFormat/>
    <w:rsid w:val="002f64f5"/>
    <w:pPr>
      <w:widowControl/>
      <w:spacing w:lineRule="exact" w:line="240" w:before="0" w:after="160"/>
      <w:jc w:val="both"/>
    </w:pPr>
    <w:rPr>
      <w:rFonts w:ascii="Verdana" w:hAnsi="Verdana"/>
      <w:sz w:val="22"/>
      <w:lang w:val="en-US" w:eastAsia="en-US"/>
    </w:rPr>
  </w:style>
  <w:style w:type="paragraph" w:styleId="Style27">
    <w:name w:val="Содержимое таблицы"/>
    <w:basedOn w:val="Normal"/>
    <w:qFormat/>
    <w:pPr>
      <w:widowControl w:val="false"/>
      <w:suppressLineNumbers/>
    </w:pPr>
    <w:rPr/>
  </w:style>
  <w:style w:type="paragraph" w:styleId="Style28">
    <w:name w:val="Заголовок таблицы"/>
    <w:basedOn w:val="Style27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a">
    <w:name w:val="Table Grid"/>
    <w:basedOn w:val="a1"/>
    <w:rsid w:val="002f64f5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2">
    <w:name w:val="Сетка таблицы1"/>
    <w:basedOn w:val="a1"/>
    <w:uiPriority w:val="39"/>
    <w:rsid w:val="003a1e2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23">
    <w:name w:val="Сетка таблицы2"/>
    <w:basedOn w:val="a1"/>
    <w:uiPriority w:val="39"/>
    <w:rsid w:val="001d7cb8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C8731A-8205-44F8-9AFE-88AF43A57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Application>AlterOffice/2026.2.0.0$Linux_X86_64 LibreOffice_project/bc4ef1adf80b36c7a6365f8ed6cbf29021361edd</Application>
  <AppVersion>15.0000</AppVersion>
  <DocSecurity>4</DocSecurity>
  <Pages>3</Pages>
  <Words>707</Words>
  <Characters>4024</Characters>
  <CharactersWithSpaces>4664</CharactersWithSpaces>
  <Paragraphs>166</Paragraphs>
  <Company>РусГидро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2025-10-23T10:45:00Z</dcterms:created>
  <dc:creator>Алиева Зульфия Гамзатовна</dc:creator>
  <dc:description/>
  <dc:language>ru-RU</dc:language>
  <cp:lastModifiedBy>magomedovkg@corp.gidroogk.com</cp:lastModifiedBy>
  <cp:lastPrinted>2025-12-01T09:48:50Z</cp:lastPrinted>
  <dcterms:modified xsi:type="dcterms:W3CDTF">2026-10-28T15:29:55Z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