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AD9" w:rsidRDefault="0059075E">
      <w:pPr>
        <w:ind w:left="5103"/>
        <w:jc w:val="center"/>
      </w:pPr>
      <w:r>
        <w:t xml:space="preserve"> </w:t>
      </w:r>
    </w:p>
    <w:p w:rsidR="00D23AD9" w:rsidRDefault="00D23AD9">
      <w:pPr>
        <w:pStyle w:val="af2"/>
        <w:spacing w:line="276" w:lineRule="auto"/>
      </w:pPr>
    </w:p>
    <w:p w:rsidR="00D23AD9" w:rsidRDefault="00D23AD9">
      <w:pPr>
        <w:pStyle w:val="af2"/>
        <w:spacing w:line="276" w:lineRule="auto"/>
      </w:pPr>
    </w:p>
    <w:p w:rsidR="00D23AD9" w:rsidRDefault="00D23AD9">
      <w:pPr>
        <w:pStyle w:val="af2"/>
        <w:spacing w:line="276" w:lineRule="auto"/>
      </w:pPr>
    </w:p>
    <w:p w:rsidR="00D23AD9" w:rsidRDefault="00D23AD9">
      <w:pPr>
        <w:pStyle w:val="af2"/>
        <w:spacing w:line="276" w:lineRule="auto"/>
      </w:pPr>
    </w:p>
    <w:p w:rsidR="00D23AD9" w:rsidRDefault="0059075E">
      <w:pPr>
        <w:pStyle w:val="af2"/>
        <w:spacing w:line="276" w:lineRule="auto"/>
        <w:outlineLvl w:val="9"/>
      </w:pPr>
      <w:r>
        <w:t>техническое задание</w:t>
      </w:r>
    </w:p>
    <w:p w:rsidR="00D23AD9" w:rsidRDefault="0059075E">
      <w:pPr>
        <w:pStyle w:val="af3"/>
        <w:spacing w:line="276" w:lineRule="auto"/>
      </w:pPr>
      <w:r>
        <w:t xml:space="preserve">на выполнение работ по корректировке проектно-сметной документации на создание РАСЦО Республики Ингушетия </w:t>
      </w:r>
      <w:r>
        <w:br w:type="page"/>
      </w:r>
    </w:p>
    <w:p w:rsidR="00D23AD9" w:rsidRDefault="0059075E">
      <w:pPr>
        <w:pStyle w:val="af4"/>
        <w:spacing w:line="276" w:lineRule="auto"/>
        <w:ind w:firstLine="0"/>
        <w:jc w:val="center"/>
        <w:rPr>
          <w:color w:val="auto"/>
        </w:rPr>
      </w:pPr>
      <w:r>
        <w:rPr>
          <w:b/>
          <w:bCs/>
          <w:color w:val="auto"/>
          <w:sz w:val="28"/>
          <w:szCs w:val="28"/>
        </w:rPr>
        <w:lastRenderedPageBreak/>
        <w:t>СОДЕРЖАНИЕ</w:t>
      </w:r>
      <w:r>
        <w:rPr>
          <w:color w:val="auto"/>
        </w:rPr>
        <w:t>:</w:t>
      </w:r>
    </w:p>
    <w:sdt>
      <w:sdtPr>
        <w:id w:val="-1637865191"/>
        <w:docPartObj>
          <w:docPartGallery w:val="Table of Contents"/>
          <w:docPartUnique/>
        </w:docPartObj>
      </w:sdtPr>
      <w:sdtEndPr/>
      <w:sdtContent>
        <w:p w:rsidR="00D23AD9" w:rsidRDefault="0059075E">
          <w:pPr>
            <w:pStyle w:val="16"/>
            <w:tabs>
              <w:tab w:val="right" w:leader="dot" w:pos="9070"/>
            </w:tabs>
          </w:pPr>
          <w:r>
            <w:fldChar w:fldCharType="begin"/>
          </w:r>
          <w:r>
            <w:rPr>
              <w:rStyle w:val="ad"/>
              <w:webHidden/>
            </w:rPr>
            <w:instrText xml:space="preserve"> TOC \z \o "1-3" \u \h</w:instrText>
          </w:r>
          <w:r>
            <w:rPr>
              <w:rStyle w:val="ad"/>
            </w:rPr>
            <w:fldChar w:fldCharType="separate"/>
          </w:r>
          <w:hyperlink w:anchor="__RefHeading___Toc15852_1778912248" w:tooltip="ОБЩИЕ СВЕДЕНИЯ">
            <w:r>
              <w:rPr>
                <w:rStyle w:val="ad"/>
                <w:webHidden/>
              </w:rPr>
              <w:t xml:space="preserve">1 ОБЩИЕ </w:t>
            </w:r>
            <w:r>
              <w:rPr>
                <w:rStyle w:val="ad"/>
                <w:webHidden/>
              </w:rPr>
              <w:t>СВЕДЕНИЯ</w:t>
            </w:r>
            <w:r>
              <w:rPr>
                <w:rStyle w:val="ad"/>
                <w:webHidden/>
              </w:rPr>
              <w:tab/>
              <w:t>4</w:t>
            </w:r>
          </w:hyperlink>
        </w:p>
        <w:p w:rsidR="00D23AD9" w:rsidRDefault="0059075E">
          <w:pPr>
            <w:pStyle w:val="20"/>
            <w:tabs>
              <w:tab w:val="right" w:leader="dot" w:pos="9070"/>
            </w:tabs>
          </w:pPr>
          <w:hyperlink w:anchor="__RefHeading___Toc15854_1778912248" w:tooltip=" Полное наименование системы и ее условное обозначение">
            <w:r>
              <w:rPr>
                <w:rStyle w:val="ad"/>
                <w:webHidden/>
              </w:rPr>
              <w:t>1.1  Полное наименование системы и ее условное обозначение</w:t>
            </w:r>
            <w:r>
              <w:rPr>
                <w:rStyle w:val="ad"/>
                <w:webHidden/>
              </w:rPr>
              <w:tab/>
              <w:t>4</w:t>
            </w:r>
          </w:hyperlink>
        </w:p>
        <w:p w:rsidR="00D23AD9" w:rsidRDefault="0059075E">
          <w:pPr>
            <w:pStyle w:val="20"/>
            <w:tabs>
              <w:tab w:val="right" w:leader="dot" w:pos="9070"/>
            </w:tabs>
          </w:pPr>
          <w:hyperlink w:anchor="__RefHeading___Toc15856_1778912248" w:tooltip="Наименование Заказчика">
            <w:r>
              <w:rPr>
                <w:rStyle w:val="ad"/>
                <w:webHidden/>
              </w:rPr>
              <w:t>1.2 Наименование Заказчика</w:t>
            </w:r>
            <w:r>
              <w:rPr>
                <w:rStyle w:val="ad"/>
                <w:webHidden/>
              </w:rPr>
              <w:tab/>
              <w:t>4</w:t>
            </w:r>
          </w:hyperlink>
        </w:p>
        <w:p w:rsidR="00D23AD9" w:rsidRDefault="0059075E">
          <w:pPr>
            <w:pStyle w:val="20"/>
            <w:tabs>
              <w:tab w:val="right" w:leader="dot" w:pos="9070"/>
            </w:tabs>
          </w:pPr>
          <w:hyperlink w:anchor="__RefHeading___Toc15858_1778912248" w:tooltip="Наименование Исполнителя">
            <w:r>
              <w:rPr>
                <w:rStyle w:val="ad"/>
                <w:webHidden/>
              </w:rPr>
              <w:t>1.3 Наименование Исполнителя</w:t>
            </w:r>
            <w:r>
              <w:rPr>
                <w:rStyle w:val="ad"/>
                <w:webHidden/>
              </w:rPr>
              <w:tab/>
              <w:t>4</w:t>
            </w:r>
          </w:hyperlink>
        </w:p>
        <w:p w:rsidR="00D23AD9" w:rsidRDefault="0059075E">
          <w:pPr>
            <w:pStyle w:val="20"/>
            <w:tabs>
              <w:tab w:val="right" w:leader="dot" w:pos="9070"/>
            </w:tabs>
          </w:pPr>
          <w:hyperlink w:anchor="__RefHeading___Toc15860_1778912248" w:tooltip="Перечень документов, на основании которых производится реконструкция системы">
            <w:r>
              <w:rPr>
                <w:rStyle w:val="ad"/>
                <w:webHidden/>
              </w:rPr>
              <w:t>1.4 Перечень документов, на основании которых производится реконструкция системы</w:t>
            </w:r>
            <w:r>
              <w:rPr>
                <w:rStyle w:val="ad"/>
                <w:webHidden/>
              </w:rPr>
              <w:tab/>
              <w:t>4</w:t>
            </w:r>
          </w:hyperlink>
        </w:p>
        <w:p w:rsidR="00D23AD9" w:rsidRDefault="0059075E">
          <w:pPr>
            <w:pStyle w:val="20"/>
            <w:tabs>
              <w:tab w:val="right" w:leader="dot" w:pos="9070"/>
            </w:tabs>
          </w:pPr>
          <w:hyperlink w:anchor="__RefHeading___Toc15862_1778912248" w:tooltip="Сроки выполнения работ">
            <w:r>
              <w:rPr>
                <w:rStyle w:val="ad"/>
                <w:webHidden/>
              </w:rPr>
              <w:t>1.5 Сроки выполнения работ</w:t>
            </w:r>
            <w:r>
              <w:rPr>
                <w:rStyle w:val="ad"/>
                <w:webHidden/>
              </w:rPr>
              <w:tab/>
              <w:t>6</w:t>
            </w:r>
          </w:hyperlink>
        </w:p>
        <w:p w:rsidR="00D23AD9" w:rsidRDefault="0059075E">
          <w:pPr>
            <w:pStyle w:val="20"/>
            <w:tabs>
              <w:tab w:val="right" w:leader="dot" w:pos="9070"/>
            </w:tabs>
          </w:pPr>
          <w:hyperlink w:anchor="__RefHeading___Toc15864_1778912248" w:tooltip="Источники финансирования">
            <w:r>
              <w:rPr>
                <w:rStyle w:val="ad"/>
                <w:webHidden/>
              </w:rPr>
              <w:t>1.6 Источники финансирования</w:t>
            </w:r>
            <w:r>
              <w:rPr>
                <w:rStyle w:val="ad"/>
                <w:webHidden/>
              </w:rPr>
              <w:tab/>
              <w:t>6</w:t>
            </w:r>
          </w:hyperlink>
        </w:p>
        <w:p w:rsidR="00D23AD9" w:rsidRDefault="0059075E">
          <w:pPr>
            <w:pStyle w:val="20"/>
            <w:tabs>
              <w:tab w:val="right" w:leader="dot" w:pos="9070"/>
            </w:tabs>
          </w:pPr>
          <w:hyperlink w:anchor="__RefHeading___Toc15866_1778912248" w:tooltip="Порядок предоставления Заказчиком исходных данных">
            <w:r>
              <w:rPr>
                <w:rStyle w:val="ad"/>
                <w:webHidden/>
              </w:rPr>
              <w:t>1.7 Порядок предоставления Заказчиком</w:t>
            </w:r>
            <w:r>
              <w:rPr>
                <w:rStyle w:val="ad"/>
                <w:webHidden/>
              </w:rPr>
              <w:t xml:space="preserve"> исходных данных</w:t>
            </w:r>
            <w:r>
              <w:rPr>
                <w:rStyle w:val="ad"/>
                <w:webHidden/>
              </w:rPr>
              <w:tab/>
              <w:t>6</w:t>
            </w:r>
          </w:hyperlink>
        </w:p>
        <w:p w:rsidR="00D23AD9" w:rsidRDefault="0059075E">
          <w:pPr>
            <w:pStyle w:val="20"/>
            <w:tabs>
              <w:tab w:val="right" w:leader="dot" w:pos="9070"/>
            </w:tabs>
          </w:pPr>
          <w:hyperlink w:anchor="__RefHeading___Toc15868_1778912248" w:tooltip="Определения, обозначения и сокращения">
            <w:r>
              <w:rPr>
                <w:rStyle w:val="ad"/>
                <w:webHidden/>
              </w:rPr>
              <w:t>1.8 Определения, обозначения и сокращения</w:t>
            </w:r>
            <w:r>
              <w:rPr>
                <w:rStyle w:val="ad"/>
                <w:webHidden/>
              </w:rPr>
              <w:tab/>
              <w:t>7</w:t>
            </w:r>
          </w:hyperlink>
        </w:p>
        <w:p w:rsidR="00D23AD9" w:rsidRDefault="0059075E">
          <w:pPr>
            <w:pStyle w:val="16"/>
            <w:tabs>
              <w:tab w:val="right" w:leader="dot" w:pos="9070"/>
            </w:tabs>
          </w:pPr>
          <w:hyperlink w:anchor="__RefHeading___Toc15870_1778912248" w:tooltip="ЦЕЛИ И НАЗНАЧЕНИЕ СОЗДАНИЯ СИСТЕМЫ">
            <w:r>
              <w:rPr>
                <w:rStyle w:val="ad"/>
                <w:webHidden/>
              </w:rPr>
              <w:t>2 ЦЕЛИ И НАЗНАЧЕНИЕ СОЗДАНИЯ СИСТЕМЫ</w:t>
            </w:r>
            <w:r>
              <w:rPr>
                <w:rStyle w:val="ad"/>
                <w:webHidden/>
              </w:rPr>
              <w:tab/>
              <w:t>8</w:t>
            </w:r>
          </w:hyperlink>
        </w:p>
        <w:p w:rsidR="00D23AD9" w:rsidRDefault="0059075E">
          <w:pPr>
            <w:pStyle w:val="20"/>
            <w:tabs>
              <w:tab w:val="right" w:leader="dot" w:pos="9070"/>
            </w:tabs>
          </w:pPr>
          <w:hyperlink w:anchor="__RefHeading___Toc15872_1778912248" w:tooltip="2.1 Назначение системы">
            <w:r>
              <w:rPr>
                <w:rStyle w:val="ad"/>
                <w:webHidden/>
              </w:rPr>
              <w:t>2.1 Назначение системы</w:t>
            </w:r>
            <w:r>
              <w:rPr>
                <w:rStyle w:val="ad"/>
                <w:webHidden/>
              </w:rPr>
              <w:tab/>
              <w:t>8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874_1778912248" w:tooltip="Задачи системы оповещения">
            <w:r>
              <w:rPr>
                <w:rStyle w:val="ad"/>
                <w:webHidden/>
              </w:rPr>
              <w:t>2.1.1 Задачи си</w:t>
            </w:r>
            <w:r>
              <w:rPr>
                <w:rStyle w:val="ad"/>
                <w:webHidden/>
              </w:rPr>
              <w:t>стемы оповещения</w:t>
            </w:r>
            <w:r>
              <w:rPr>
                <w:rStyle w:val="ad"/>
                <w:webHidden/>
              </w:rPr>
              <w:tab/>
              <w:t>8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876_1778912248" w:tooltip="Задачи, решаемые в ходе корректировки проектно-технической документации">
            <w:r>
              <w:rPr>
                <w:rStyle w:val="ad"/>
                <w:webHidden/>
              </w:rPr>
              <w:t>2.1.2 Задачи, решаемые в ходе корректировки проектно-технической документации</w:t>
            </w:r>
            <w:r>
              <w:rPr>
                <w:rStyle w:val="ad"/>
                <w:webHidden/>
              </w:rPr>
              <w:tab/>
              <w:t>8</w:t>
            </w:r>
          </w:hyperlink>
        </w:p>
        <w:p w:rsidR="00D23AD9" w:rsidRDefault="0059075E">
          <w:pPr>
            <w:pStyle w:val="16"/>
            <w:tabs>
              <w:tab w:val="right" w:leader="dot" w:pos="9070"/>
            </w:tabs>
          </w:pPr>
          <w:hyperlink w:anchor="__RefHeading___Toc15878_1778912248" w:tooltip="ХАРАКТЕРИСТИКА СУЩЕСТВУЮЩЕЙ РЕГИОНАЛЬНОЙ СИСТЕМЫ ОПОВЕЩЕНИЯ НАСЕЛЕНИЯ РЕСПУБЛИКИ ИНГУШЕТИЯ">
            <w:r>
              <w:rPr>
                <w:rStyle w:val="ad"/>
                <w:webHidden/>
              </w:rPr>
              <w:t>3 ХАРАКТЕРИСТИКА СУЩЕСТВУЮЩЕЙ РЕГИОНАЛЬНОЙ СИСТЕМЫ ОПОВЕЩЕНИЯ НАСЕЛЕНИЯ РЕСПУБЛИКИ ИНГУШЕТИЯ</w:t>
            </w:r>
            <w:r>
              <w:rPr>
                <w:rStyle w:val="ad"/>
                <w:webHidden/>
              </w:rPr>
              <w:tab/>
              <w:t>11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880_1778912248" w:tooltip="Характеристика региона">
            <w:r>
              <w:rPr>
                <w:rStyle w:val="ad"/>
                <w:webHidden/>
              </w:rPr>
              <w:t>3.1 Характеристика региона</w:t>
            </w:r>
            <w:r>
              <w:rPr>
                <w:rStyle w:val="ad"/>
                <w:webHidden/>
              </w:rPr>
              <w:tab/>
              <w:t>11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882_1778912248" w:tooltip="Сведения о существующей РСОН">
            <w:r>
              <w:rPr>
                <w:rStyle w:val="ad"/>
                <w:webHidden/>
              </w:rPr>
              <w:t>3.2 Сведения о существующей РСОН</w:t>
            </w:r>
            <w:r>
              <w:rPr>
                <w:rStyle w:val="ad"/>
                <w:webHidden/>
              </w:rPr>
              <w:tab/>
              <w:t>13</w:t>
            </w:r>
          </w:hyperlink>
        </w:p>
        <w:p w:rsidR="00D23AD9" w:rsidRDefault="0059075E">
          <w:pPr>
            <w:pStyle w:val="16"/>
            <w:tabs>
              <w:tab w:val="right" w:leader="dot" w:pos="9070"/>
            </w:tabs>
          </w:pPr>
          <w:hyperlink w:anchor="__RefHeading___Toc15884_1778912248" w:tooltip="ТРЕБОВАНИЯ К РЕГИОНАЛЬНОЙ СИСТЕМЕ ОПОВЕЩЕНИЯ НАСЕЛЕНИЯ РЕСПУБЛИКИ ИНГУШЕТИЯ">
            <w:r>
              <w:rPr>
                <w:rStyle w:val="ad"/>
                <w:webHidden/>
              </w:rPr>
              <w:t>4 ТРЕБОВАНИЯ К РЕГИОНАЛЬНОЙ СИСТЕМЕ ОПОВЕЩЕНИЯ НАСЕЛЕНИЯ РЕСПУБЛИКИ ИНГУШЕТИЯ</w:t>
            </w:r>
            <w:r>
              <w:rPr>
                <w:rStyle w:val="ad"/>
                <w:webHidden/>
              </w:rPr>
              <w:tab/>
              <w:t>16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886_1778912248" w:tooltip="Требования к системе в целом">
            <w:r>
              <w:rPr>
                <w:rStyle w:val="ad"/>
                <w:webHidden/>
              </w:rPr>
              <w:t>4.1 Требования к системе в целом</w:t>
            </w:r>
            <w:r>
              <w:rPr>
                <w:rStyle w:val="ad"/>
                <w:webHidden/>
              </w:rPr>
              <w:tab/>
              <w:t>16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888_1778912248" w:tooltip="Требования к развитию структуры и функционирования системы">
            <w:r>
              <w:rPr>
                <w:rStyle w:val="ad"/>
                <w:webHidden/>
              </w:rPr>
              <w:t>4.1.1 Требования к развитию структуры и функцио</w:t>
            </w:r>
            <w:r>
              <w:rPr>
                <w:rStyle w:val="ad"/>
                <w:webHidden/>
              </w:rPr>
              <w:t>нирования системы</w:t>
            </w:r>
            <w:r>
              <w:rPr>
                <w:rStyle w:val="ad"/>
                <w:webHidden/>
              </w:rPr>
              <w:tab/>
              <w:t>16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890_1778912248" w:tooltip=" Требования к функциям, выполняемым РСОН Республики Ингушетия">
            <w:r>
              <w:rPr>
                <w:rStyle w:val="ad"/>
                <w:webHidden/>
              </w:rPr>
              <w:t>4.1.2  Требования к функциям, выполняемым РСОН Республики Ингушетия</w:t>
            </w:r>
            <w:r>
              <w:rPr>
                <w:rStyle w:val="ad"/>
                <w:webHidden/>
              </w:rPr>
              <w:tab/>
              <w:t>16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892_1778912248" w:tooltip="Требования к информационному обмену между компонентами системы">
            <w:r>
              <w:rPr>
                <w:rStyle w:val="ad"/>
                <w:webHidden/>
              </w:rPr>
              <w:t>4.1.3 Требования к информационному обмену между компонентами системы</w:t>
            </w:r>
            <w:r>
              <w:rPr>
                <w:rStyle w:val="ad"/>
                <w:webHidden/>
              </w:rPr>
              <w:tab/>
              <w:t>18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894_1778912248" w:tooltip="Показатели назначения">
            <w:r>
              <w:rPr>
                <w:rStyle w:val="ad"/>
                <w:webHidden/>
              </w:rPr>
              <w:t xml:space="preserve">4.2 Показатели </w:t>
            </w:r>
            <w:r>
              <w:rPr>
                <w:rStyle w:val="ad"/>
                <w:webHidden/>
              </w:rPr>
              <w:t>назначения</w:t>
            </w:r>
            <w:r>
              <w:rPr>
                <w:rStyle w:val="ad"/>
                <w:webHidden/>
              </w:rPr>
              <w:tab/>
              <w:t>19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896_1778912248" w:tooltip="Требования к надежности">
            <w:r>
              <w:rPr>
                <w:rStyle w:val="ad"/>
                <w:webHidden/>
              </w:rPr>
              <w:t>4.3 Требования к надежности</w:t>
            </w:r>
            <w:r>
              <w:rPr>
                <w:rStyle w:val="ad"/>
                <w:webHidden/>
              </w:rPr>
              <w:tab/>
              <w:t>19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898_1778912248" w:tooltip="Требования к сохранности информации при потере питания и отказе составных частей">
            <w:r>
              <w:rPr>
                <w:rStyle w:val="ad"/>
                <w:webHidden/>
              </w:rPr>
              <w:t>4.4 Требования к сохранности информации при потере питания и отказе составных частей</w:t>
            </w:r>
            <w:r>
              <w:rPr>
                <w:rStyle w:val="ad"/>
                <w:webHidden/>
              </w:rPr>
              <w:tab/>
              <w:t>21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900_1778912248" w:tooltip="Требования к эргономике и технической эстетике">
            <w:r>
              <w:rPr>
                <w:rStyle w:val="ad"/>
                <w:webHidden/>
              </w:rPr>
              <w:t>4.5 Требования к эргономике и технической</w:t>
            </w:r>
            <w:r>
              <w:rPr>
                <w:rStyle w:val="ad"/>
                <w:webHidden/>
              </w:rPr>
              <w:t xml:space="preserve"> эстетике</w:t>
            </w:r>
            <w:r>
              <w:rPr>
                <w:rStyle w:val="ad"/>
                <w:webHidden/>
              </w:rPr>
              <w:tab/>
              <w:t>23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902_1778912248" w:tooltip="Требования к функциям (задачам), выполняемым системой">
            <w:r>
              <w:rPr>
                <w:rStyle w:val="ad"/>
                <w:webHidden/>
              </w:rPr>
              <w:t>4.6 Требования к функциям (задачам), выполняемым системой</w:t>
            </w:r>
            <w:r>
              <w:rPr>
                <w:rStyle w:val="ad"/>
                <w:webHidden/>
              </w:rPr>
              <w:tab/>
              <w:t>23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904_1778912248" w:tooltip="Требования к информационному обеспечению">
            <w:r>
              <w:rPr>
                <w:rStyle w:val="ad"/>
                <w:webHidden/>
              </w:rPr>
              <w:t>4.6.1 Требования к информационному обеспечению</w:t>
            </w:r>
            <w:r>
              <w:rPr>
                <w:rStyle w:val="ad"/>
                <w:webHidden/>
              </w:rPr>
              <w:tab/>
              <w:t>23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906_1778912248" w:tooltip="Требования к средствам оповещения">
            <w:r>
              <w:rPr>
                <w:rStyle w:val="ad"/>
                <w:webHidden/>
              </w:rPr>
              <w:t>4.6.2 Требования к средствам оповещения</w:t>
            </w:r>
            <w:r>
              <w:rPr>
                <w:rStyle w:val="ad"/>
                <w:webHidden/>
              </w:rPr>
              <w:tab/>
              <w:t>23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908_1778912248" w:tooltip="Требования электробезопасности">
            <w:r>
              <w:rPr>
                <w:rStyle w:val="ad"/>
                <w:webHidden/>
              </w:rPr>
              <w:t>4.6.3 Требования электробезопасности</w:t>
            </w:r>
            <w:r>
              <w:rPr>
                <w:rStyle w:val="ad"/>
                <w:webHidden/>
              </w:rPr>
              <w:tab/>
              <w:t>24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910_1778912248" w:tooltip="Требования к размещению технических средств оповещения">
            <w:r>
              <w:rPr>
                <w:rStyle w:val="ad"/>
                <w:webHidden/>
              </w:rPr>
              <w:t>4.6.4 Требования к размещению технич</w:t>
            </w:r>
            <w:r>
              <w:rPr>
                <w:rStyle w:val="ad"/>
                <w:webHidden/>
              </w:rPr>
              <w:t>еских средств оповещения</w:t>
            </w:r>
            <w:r>
              <w:rPr>
                <w:rStyle w:val="ad"/>
                <w:webHidden/>
              </w:rPr>
              <w:tab/>
              <w:t>24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912_1778912248" w:tooltip="Требования к каналам связи">
            <w:r>
              <w:rPr>
                <w:rStyle w:val="ad"/>
                <w:webHidden/>
              </w:rPr>
              <w:t>4.6.5 Требования к каналам связи</w:t>
            </w:r>
            <w:r>
              <w:rPr>
                <w:rStyle w:val="ad"/>
                <w:webHidden/>
              </w:rPr>
              <w:tab/>
              <w:t>24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914_1778912248" w:tooltip="Требования к видам обеспечения">
            <w:r>
              <w:rPr>
                <w:rStyle w:val="ad"/>
                <w:webHidden/>
              </w:rPr>
              <w:t>4.7 Требов</w:t>
            </w:r>
            <w:r>
              <w:rPr>
                <w:rStyle w:val="ad"/>
                <w:webHidden/>
              </w:rPr>
              <w:t>ания к видам обеспечения</w:t>
            </w:r>
            <w:r>
              <w:rPr>
                <w:rStyle w:val="ad"/>
                <w:webHidden/>
              </w:rPr>
              <w:tab/>
              <w:t>25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916_1778912248" w:tooltip="Требования к информационному обеспечению системы">
            <w:r>
              <w:rPr>
                <w:rStyle w:val="ad"/>
                <w:webHidden/>
              </w:rPr>
              <w:t>4.7.1 Требования к информационному обеспечению системы</w:t>
            </w:r>
            <w:r>
              <w:rPr>
                <w:rStyle w:val="ad"/>
                <w:webHidden/>
              </w:rPr>
              <w:tab/>
              <w:t>25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918_1778912248" w:tooltip="Требования к программному обеспечению системы">
            <w:r>
              <w:rPr>
                <w:rStyle w:val="ad"/>
                <w:webHidden/>
              </w:rPr>
              <w:t>4.7.2 Требования к программному обеспечению системы</w:t>
            </w:r>
            <w:r>
              <w:rPr>
                <w:rStyle w:val="ad"/>
                <w:webHidden/>
              </w:rPr>
              <w:tab/>
              <w:t>26</w:t>
            </w:r>
          </w:hyperlink>
        </w:p>
        <w:p w:rsidR="00D23AD9" w:rsidRDefault="0059075E">
          <w:pPr>
            <w:pStyle w:val="30"/>
            <w:tabs>
              <w:tab w:val="right" w:leader="dot" w:pos="9070"/>
            </w:tabs>
          </w:pPr>
          <w:hyperlink w:anchor="__RefHeading___Toc15920_1778912248" w:tooltip="Требования к организационному обеспечению">
            <w:r>
              <w:rPr>
                <w:rStyle w:val="ad"/>
                <w:webHidden/>
              </w:rPr>
              <w:t>4.7.3 Требования к организационному обеспечению</w:t>
            </w:r>
            <w:r>
              <w:rPr>
                <w:rStyle w:val="ad"/>
                <w:webHidden/>
              </w:rPr>
              <w:tab/>
            </w:r>
            <w:r>
              <w:rPr>
                <w:rStyle w:val="ad"/>
                <w:webHidden/>
              </w:rPr>
              <w:t>27</w:t>
            </w:r>
          </w:hyperlink>
        </w:p>
        <w:p w:rsidR="00D23AD9" w:rsidRDefault="0059075E">
          <w:pPr>
            <w:pStyle w:val="16"/>
            <w:tabs>
              <w:tab w:val="right" w:leader="dot" w:pos="9070"/>
            </w:tabs>
          </w:pPr>
          <w:hyperlink w:anchor="__RefHeading___Toc15922_1778912248" w:tooltip="СОСТАВ И СОДЕРЖАНИЕ РАБОТ ПО РЕКОНСТРУКЦИИ РЕГИОНАЛЬНОЙ СИСТЕМЫ ОПОВЕЩЕНИЯ НАСЕЛЕНИЯ">
            <w:r>
              <w:rPr>
                <w:rStyle w:val="ad"/>
                <w:webHidden/>
              </w:rPr>
              <w:t>5 СОСТАВ И СОДЕРЖАНИЕ РАБОТ ПО РЕКОНСТРУКЦИИ РЕГИОНАЛЬНОЙ СИСТЕМЫ ОПОВЕЩЕНИЯ НАСЕЛЕНИЯ</w:t>
            </w:r>
            <w:r>
              <w:rPr>
                <w:rStyle w:val="ad"/>
                <w:webHidden/>
              </w:rPr>
              <w:tab/>
              <w:t>28</w:t>
            </w:r>
          </w:hyperlink>
        </w:p>
        <w:p w:rsidR="00D23AD9" w:rsidRDefault="0059075E">
          <w:pPr>
            <w:pStyle w:val="16"/>
            <w:tabs>
              <w:tab w:val="right" w:leader="dot" w:pos="9070"/>
            </w:tabs>
          </w:pPr>
          <w:hyperlink w:anchor="__RefHeading___Toc15924_1778912248" w:tooltip="ПОРЯДОК РЕКОНСТРУКЦИИ РЕГИОНАЛЬНОЙ СИСТЕМЫ ОПОВЕЩЕНИЯ НАСЕЛЕНИЯ">
            <w:r>
              <w:rPr>
                <w:rStyle w:val="ad"/>
                <w:webHidden/>
              </w:rPr>
              <w:t>6 ПОРЯДОК РЕКОНСТРУКЦИИ РЕГИОНАЛЬНОЙ СИСТЕМЫ ОПОВЕЩЕНИЯ НАСЕЛЕНИЯ</w:t>
            </w:r>
            <w:r>
              <w:rPr>
                <w:rStyle w:val="ad"/>
                <w:webHidden/>
              </w:rPr>
              <w:tab/>
              <w:t>29</w:t>
            </w:r>
          </w:hyperlink>
        </w:p>
        <w:p w:rsidR="00D23AD9" w:rsidRDefault="0059075E">
          <w:pPr>
            <w:pStyle w:val="16"/>
            <w:tabs>
              <w:tab w:val="right" w:leader="dot" w:pos="9070"/>
            </w:tabs>
          </w:pPr>
          <w:hyperlink w:anchor="__RefHeading___Toc15926_1778912248" w:tooltip="ПОРЯДОК КОНТРОЛЯ И ПРИЕМКИ ПРОЕКТНО-ТЕХНИЧЕСКОЙ ДОКУМЕНТАЦИИ">
            <w:r>
              <w:rPr>
                <w:rStyle w:val="ad"/>
                <w:webHidden/>
              </w:rPr>
              <w:t>7 ПОРЯДОК КОНТРОЛЯ И ПРИЕМКИ ПРОЕКТНО-ТЕХНИЧЕСКОЙ ДОКУМЕНТАЦИИ</w:t>
            </w:r>
            <w:r>
              <w:rPr>
                <w:rStyle w:val="ad"/>
                <w:webHidden/>
              </w:rPr>
              <w:tab/>
              <w:t>30</w:t>
            </w:r>
          </w:hyperlink>
        </w:p>
        <w:p w:rsidR="00D23AD9" w:rsidRDefault="0059075E">
          <w:pPr>
            <w:pStyle w:val="16"/>
            <w:tabs>
              <w:tab w:val="right" w:leader="dot" w:pos="9070"/>
            </w:tabs>
          </w:pPr>
          <w:hyperlink w:anchor="__RefHeading___Toc15928_1778912248" w:tooltip="ТРЕБОВАНИЯ К СОСТАВУ И СОДЕРЖАНИЮ РАБОТ ПО ПОДГОТОВКЕ ПУНКТОВ УПРАВЛЕНИЯ РЕГИОНАЛЬНОЙ СИСТЕМЫ ОПОВЕЩЕНИЯ НАСЕЛЕНИЯ К ВВОДУ В ДЕЙСТВИЕ">
            <w:r>
              <w:rPr>
                <w:rStyle w:val="ad"/>
                <w:webHidden/>
              </w:rPr>
              <w:t>8 ТРЕБОВАНИЯ К СОСТАВУ И СОДЕРЖАНИЮ РАБОТ ПО ПОДГОТОВКЕ ПУНКТОВ УПРАВЛЕНИЯ РЕГИОНАЛЬНОЙ СИСТЕМЫ ОПОВЕЩЕНИЯ НАСЕЛЕНИЯ К ВВОДУ В ДЕЙСТВИЕ</w:t>
            </w:r>
            <w:r>
              <w:rPr>
                <w:rStyle w:val="ad"/>
                <w:webHidden/>
              </w:rPr>
              <w:tab/>
              <w:t>31</w:t>
            </w:r>
          </w:hyperlink>
        </w:p>
        <w:p w:rsidR="00D23AD9" w:rsidRDefault="0059075E">
          <w:pPr>
            <w:pStyle w:val="16"/>
            <w:tabs>
              <w:tab w:val="right" w:leader="dot" w:pos="9070"/>
            </w:tabs>
          </w:pPr>
          <w:hyperlink w:anchor="__RefHeading___Toc15930_1778912248" w:tooltip="ТРЕБОВАНИЯ К ДОКУМЕНТИРОВАНИЮ">
            <w:r>
              <w:rPr>
                <w:rStyle w:val="ad"/>
                <w:webHidden/>
              </w:rPr>
              <w:t>9 ТРЕБОВАНИЯ К ДОКУМЕНТИРОВАНИЮ</w:t>
            </w:r>
            <w:r>
              <w:rPr>
                <w:rStyle w:val="ad"/>
                <w:webHidden/>
              </w:rPr>
              <w:tab/>
              <w:t>32</w:t>
            </w:r>
          </w:hyperlink>
        </w:p>
        <w:p w:rsidR="00D23AD9" w:rsidRDefault="0059075E">
          <w:pPr>
            <w:pStyle w:val="20"/>
            <w:tabs>
              <w:tab w:val="right" w:leader="dot" w:pos="9070"/>
            </w:tabs>
          </w:pPr>
          <w:hyperlink w:anchor="__RefHeading___Toc15932_1778912248" w:tooltip="9.1 Состав документации">
            <w:r>
              <w:rPr>
                <w:rStyle w:val="ad"/>
                <w:webHidden/>
              </w:rPr>
              <w:t>9.1 Состав документации</w:t>
            </w:r>
            <w:r>
              <w:rPr>
                <w:rStyle w:val="ad"/>
                <w:webHidden/>
              </w:rPr>
              <w:tab/>
              <w:t>32</w:t>
            </w:r>
          </w:hyperlink>
        </w:p>
        <w:p w:rsidR="00D23AD9" w:rsidRDefault="0059075E">
          <w:pPr>
            <w:pStyle w:val="20"/>
            <w:tabs>
              <w:tab w:val="right" w:leader="dot" w:pos="9070"/>
            </w:tabs>
          </w:pPr>
          <w:hyperlink w:anchor="__RefHeading___Toc15934_1778912248" w:tooltip="9.2 Порядок внесения изменений в проектно-техническую документацию">
            <w:r>
              <w:rPr>
                <w:rStyle w:val="ad"/>
                <w:webHidden/>
              </w:rPr>
              <w:t>9.2 Порядок внесения изменений в проектно-техническую документацию</w:t>
            </w:r>
            <w:r>
              <w:rPr>
                <w:rStyle w:val="ad"/>
                <w:webHidden/>
              </w:rPr>
              <w:tab/>
              <w:t>32</w:t>
            </w:r>
          </w:hyperlink>
        </w:p>
        <w:p w:rsidR="00D23AD9" w:rsidRDefault="0059075E">
          <w:pPr>
            <w:pStyle w:val="16"/>
            <w:tabs>
              <w:tab w:val="right" w:leader="dot" w:pos="9070"/>
            </w:tabs>
          </w:pPr>
          <w:hyperlink w:anchor="__RefHeading___Toc15936_1778912248" w:tooltip="ТРЕБОВАНИЯ К ИСПОЛНИТЕЛЮ">
            <w:r>
              <w:rPr>
                <w:rStyle w:val="ad"/>
                <w:webHidden/>
              </w:rPr>
              <w:t>10 ТРЕБОВАНИЯ К ИСПОЛНИТЕЛЮ</w:t>
            </w:r>
            <w:r>
              <w:rPr>
                <w:rStyle w:val="ad"/>
                <w:webHidden/>
              </w:rPr>
              <w:tab/>
              <w:t>33</w:t>
            </w:r>
          </w:hyperlink>
        </w:p>
        <w:p w:rsidR="00D23AD9" w:rsidRDefault="0059075E">
          <w:pPr>
            <w:pStyle w:val="16"/>
            <w:tabs>
              <w:tab w:val="right" w:leader="dot" w:pos="9070"/>
            </w:tabs>
          </w:pPr>
          <w:hyperlink w:anchor="__RefHeading___Toc15938_1778912248" w:tooltip="ПРИЛОЖЕНИЕ А">
            <w:r>
              <w:rPr>
                <w:rStyle w:val="ad"/>
                <w:webHidden/>
              </w:rPr>
              <w:t>ПРИЛОЖЕНИЕ А</w:t>
            </w:r>
            <w:r>
              <w:rPr>
                <w:rStyle w:val="ad"/>
                <w:webHidden/>
              </w:rPr>
              <w:tab/>
              <w:t>34</w:t>
            </w:r>
          </w:hyperlink>
        </w:p>
        <w:p w:rsidR="00D23AD9" w:rsidRDefault="0059075E">
          <w:pPr>
            <w:pStyle w:val="16"/>
            <w:tabs>
              <w:tab w:val="right" w:leader="dot" w:pos="9070"/>
            </w:tabs>
          </w:pPr>
          <w:hyperlink w:anchor="__RefHeading___Toc15940_1778912248" w:tooltip="Перечень и адреса существующих объектов РСОН Республики Ингушетия">
            <w:r>
              <w:rPr>
                <w:rStyle w:val="ad"/>
                <w:webHidden/>
              </w:rPr>
              <w:t>Перечень и адреса существующих объектов</w:t>
            </w:r>
            <w:r>
              <w:rPr>
                <w:rStyle w:val="ad"/>
                <w:webHidden/>
              </w:rPr>
              <w:t xml:space="preserve"> РСОН Республики Ингушетия</w:t>
            </w:r>
            <w:r>
              <w:rPr>
                <w:rStyle w:val="ad"/>
                <w:webHidden/>
              </w:rPr>
              <w:tab/>
              <w:t>34</w:t>
            </w:r>
          </w:hyperlink>
          <w:r>
            <w:rPr>
              <w:rStyle w:val="ad"/>
            </w:rPr>
            <w:fldChar w:fldCharType="end"/>
          </w:r>
        </w:p>
      </w:sdtContent>
    </w:sdt>
    <w:p w:rsidR="00D23AD9" w:rsidRDefault="00D23AD9">
      <w:pPr>
        <w:pStyle w:val="16"/>
        <w:rPr>
          <w:rFonts w:ascii="Calibri" w:hAnsi="Calibri" w:cs="Calibri"/>
          <w:sz w:val="22"/>
          <w:szCs w:val="22"/>
          <w:lang w:val="en-US" w:eastAsia="en-US"/>
        </w:rPr>
        <w:sectPr w:rsidR="00D23AD9">
          <w:headerReference w:type="even" r:id="rId7"/>
          <w:headerReference w:type="default" r:id="rId8"/>
          <w:headerReference w:type="first" r:id="rId9"/>
          <w:pgSz w:w="11906" w:h="16838"/>
          <w:pgMar w:top="1134" w:right="1134" w:bottom="1134" w:left="1701" w:header="709" w:footer="0" w:gutter="0"/>
          <w:cols w:space="720"/>
          <w:formProt w:val="0"/>
          <w:titlePg/>
          <w:docGrid w:linePitch="360"/>
        </w:sectPr>
      </w:pPr>
    </w:p>
    <w:p w:rsidR="00D23AD9" w:rsidRDefault="0059075E">
      <w:pPr>
        <w:pStyle w:val="1"/>
        <w:ind w:firstLine="851"/>
      </w:pPr>
      <w:bookmarkStart w:id="0" w:name="__RefHeading___Toc15852_1778912248"/>
      <w:bookmarkStart w:id="1" w:name="_Toc242096624"/>
      <w:bookmarkEnd w:id="0"/>
      <w:r>
        <w:t>ОБЩИЕ СВЕДЕНИЯ</w:t>
      </w:r>
      <w:bookmarkEnd w:id="1"/>
    </w:p>
    <w:p w:rsidR="00D23AD9" w:rsidRDefault="0059075E">
      <w:pPr>
        <w:pStyle w:val="2"/>
        <w:numPr>
          <w:ilvl w:val="1"/>
          <w:numId w:val="16"/>
        </w:numPr>
      </w:pPr>
      <w:bookmarkStart w:id="2" w:name="__RefHeading___Toc15854_1778912248"/>
      <w:bookmarkEnd w:id="2"/>
      <w:r>
        <w:t xml:space="preserve"> </w:t>
      </w:r>
      <w:bookmarkStart w:id="3" w:name="_Toc242096625"/>
      <w:r>
        <w:t>Полное наименование системы и ее условное обозначение</w:t>
      </w:r>
      <w:bookmarkEnd w:id="3"/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Полное наименование системы: Региональная система о</w:t>
      </w:r>
      <w:r>
        <w:rPr>
          <w:sz w:val="28"/>
          <w:szCs w:val="28"/>
        </w:rPr>
        <w:t>повещения населения Республики Ингушетия.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Краткое наименование системы: РСОН Республики Ингушетия.</w:t>
      </w:r>
    </w:p>
    <w:p w:rsidR="00D23AD9" w:rsidRDefault="00D23AD9">
      <w:pPr>
        <w:pStyle w:val="11"/>
        <w:ind w:firstLine="0"/>
      </w:pPr>
    </w:p>
    <w:p w:rsidR="00D23AD9" w:rsidRDefault="0059075E">
      <w:pPr>
        <w:pStyle w:val="2"/>
        <w:numPr>
          <w:ilvl w:val="1"/>
          <w:numId w:val="16"/>
        </w:numPr>
      </w:pPr>
      <w:bookmarkStart w:id="4" w:name="__RefHeading___Toc15856_1778912248"/>
      <w:bookmarkStart w:id="5" w:name="_Toc242096627"/>
      <w:bookmarkEnd w:id="4"/>
      <w:r>
        <w:t>Наименование Заказчика</w:t>
      </w:r>
      <w:bookmarkEnd w:id="5"/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Государственный заказчик: Министерство по делам гражданской обороны и чрезвычайным ситуациям Республики Ингушетия;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Заказчик: </w:t>
      </w:r>
      <w:r>
        <w:rPr>
          <w:sz w:val="28"/>
          <w:szCs w:val="28"/>
        </w:rPr>
        <w:t>Публичное акционерное общество «Ростелеком».</w:t>
      </w:r>
    </w:p>
    <w:p w:rsidR="00D23AD9" w:rsidRDefault="00D23AD9">
      <w:pPr>
        <w:pStyle w:val="11"/>
        <w:spacing w:line="276" w:lineRule="auto"/>
        <w:rPr>
          <w:sz w:val="28"/>
          <w:szCs w:val="28"/>
        </w:rPr>
      </w:pPr>
    </w:p>
    <w:p w:rsidR="00D23AD9" w:rsidRDefault="0059075E">
      <w:pPr>
        <w:pStyle w:val="2"/>
        <w:numPr>
          <w:ilvl w:val="1"/>
          <w:numId w:val="16"/>
        </w:numPr>
      </w:pPr>
      <w:bookmarkStart w:id="6" w:name="__RefHeading___Toc15858_1778912248"/>
      <w:bookmarkStart w:id="7" w:name="_Toc242096628"/>
      <w:bookmarkEnd w:id="6"/>
      <w:r>
        <w:t>Наименование Исполнителя</w:t>
      </w:r>
      <w:bookmarkEnd w:id="7"/>
    </w:p>
    <w:p w:rsidR="00D23AD9" w:rsidRDefault="00D23AD9">
      <w:pPr>
        <w:pStyle w:val="11"/>
      </w:pPr>
    </w:p>
    <w:p w:rsidR="00D23AD9" w:rsidRDefault="0059075E">
      <w:pPr>
        <w:pStyle w:val="2"/>
        <w:numPr>
          <w:ilvl w:val="1"/>
          <w:numId w:val="16"/>
        </w:numPr>
      </w:pPr>
      <w:bookmarkStart w:id="8" w:name="__RefHeading___Toc15860_1778912248"/>
      <w:bookmarkStart w:id="9" w:name="_Toc242096629"/>
      <w:bookmarkEnd w:id="8"/>
      <w:r>
        <w:t>Перечень документов, на основании которых производится реконструкция системы</w:t>
      </w:r>
      <w:bookmarkEnd w:id="9"/>
      <w:r>
        <w:t xml:space="preserve"> 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21.12.1994 г. № 68-ФЗ «О защите населения и территорий от чрезвычайных ситуаций </w:t>
      </w:r>
      <w:r>
        <w:rPr>
          <w:sz w:val="28"/>
          <w:szCs w:val="28"/>
        </w:rPr>
        <w:t>природного и техногенного характера» (с изменениями и дополнениями);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Федеральный закон от 12.02.1998 г. № 28-ФЗ «О гражданской обороне» (с изменениями и дополнениями);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Закон РФ от 27.12.1991 г. № 2124-1 «О средствах массовой информации» (с изменениями и до</w:t>
      </w:r>
      <w:r>
        <w:rPr>
          <w:sz w:val="28"/>
          <w:szCs w:val="28"/>
        </w:rPr>
        <w:t>полнениями);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Федеральный закон от 21.07.1997 г. № 116-ФЗ «О промышленной безопасности опасных производственных объектов» (с изменениями и дополнениями);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Федеральный закон от 07.07.2003 г. № 126-ФЗ «О связи» (с изменениями и дополнениями);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Федеральный закон</w:t>
      </w:r>
      <w:r>
        <w:rPr>
          <w:sz w:val="28"/>
          <w:szCs w:val="28"/>
        </w:rPr>
        <w:t xml:space="preserve"> от 06.10.2003 г. № 131-ФЗ «Об общих принципах организации местного самоуправления в Российской Федерации» (с изменениями и дополнениями);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от 16 ноября 2015 г. № 1236</w:t>
      </w:r>
      <w:r>
        <w:rPr>
          <w:sz w:val="28"/>
          <w:szCs w:val="28"/>
        </w:rPr>
        <w:br/>
        <w:t>«Об утверждении Правил формирования и ведения единого реес</w:t>
      </w:r>
      <w:r>
        <w:rPr>
          <w:sz w:val="28"/>
          <w:szCs w:val="28"/>
        </w:rPr>
        <w:t>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Постановл</w:t>
      </w:r>
      <w:r>
        <w:rPr>
          <w:sz w:val="28"/>
          <w:szCs w:val="28"/>
        </w:rPr>
        <w:t>ение Правительства РФ от 17 мая 2023 г. № 769 «О порядке создания, реконструкции и поддержания в состоянии постоянной готовности к использованию систем оповещения населения»;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от 24.03.1997 г. № 334 «О порядке сбора и обмена в</w:t>
      </w:r>
      <w:r>
        <w:rPr>
          <w:sz w:val="28"/>
          <w:szCs w:val="28"/>
        </w:rPr>
        <w:t xml:space="preserve"> Российской Федерации информации в области защиты населения и территорий от чрезвычайных ситуаций природного и техногенного характера» (с изменениями и дополнениями);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от 30.12.2003 г. № 794 «О единой государственной системе п</w:t>
      </w:r>
      <w:r>
        <w:rPr>
          <w:sz w:val="28"/>
          <w:szCs w:val="28"/>
        </w:rPr>
        <w:t>редупреждения и ликвидации чрезвычайных ситуаций» (с изменениями и дополнениями);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от 26.11.2007 г. № 804 «Об утверждении Положения о гражданской обороне в Российской Федерации» (с изменениями и дополнениями)»;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Указ Президента</w:t>
      </w:r>
      <w:r>
        <w:rPr>
          <w:sz w:val="28"/>
          <w:szCs w:val="28"/>
        </w:rPr>
        <w:t xml:space="preserve"> Российской Федерации от 13.11.2012 № 1522 «О 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Приказ МЧС России и Минцифры России от 31.07.2020 г. № 578/365 «Об утверждении П</w:t>
      </w:r>
      <w:r>
        <w:rPr>
          <w:sz w:val="28"/>
          <w:szCs w:val="28"/>
        </w:rPr>
        <w:t>оложения о системах оповещения населения»;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Приказ МЧС России и Минцифры России от 31.07.2020 г. № 579/366 «Об утверждении Положения по организации эксплуатационно-технического обслуживания систем оповещения населения»;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ГОСТ Р 22.7.04-2022 «Безопасность в ч</w:t>
      </w:r>
      <w:r>
        <w:rPr>
          <w:sz w:val="28"/>
          <w:szCs w:val="28"/>
        </w:rPr>
        <w:t>резвычайных ситуациях. Региональные автоматизированные системы централизованного оповещения. Общие требования»;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ГОСТ Р 42.3.05-2023 «Гражданская оборона. Технические средства оповещения населения. Протоколы информационного обмена. Общие требования»;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ГОСТ Р</w:t>
      </w:r>
      <w:r>
        <w:rPr>
          <w:sz w:val="28"/>
          <w:szCs w:val="28"/>
        </w:rPr>
        <w:t xml:space="preserve"> 53111-2008 «Устойчивость функционирования сети связи общего пользования. Требования и методы проверки»;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ГОСТ Р 22.7.01-2021 «Безопасность в чрезвычайных ситуациях. Единая дежурно-диспетчерская служба. Основные положения»;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ГОСТ Р 42.3.01-2021 «Гражданская </w:t>
      </w:r>
      <w:r>
        <w:rPr>
          <w:sz w:val="28"/>
          <w:szCs w:val="28"/>
        </w:rPr>
        <w:t>оборона. Технические средства оповещения населения. Классификация. Общие технические требования»;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ГОСТ Р 53033-2008 «Громкоговорители рупорные. Общие технические условия»;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СП 165.1325800.2014 «Свод правил. Инженерно-технические мероприятия по гражданской о</w:t>
      </w:r>
      <w:r>
        <w:rPr>
          <w:sz w:val="28"/>
          <w:szCs w:val="28"/>
        </w:rPr>
        <w:t>бороне Актуализированная редакция СНиП 2.01.51-90»;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СП 133.13330.2012 «Свод правил. Сети проводного радиовещания и оповещения в зданиях и сооружениях. Нормы проектирования»;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СП 134.13330.2022 «Свод правил. Системы электросвязи зданий и сооружений. Основные</w:t>
      </w:r>
      <w:r>
        <w:rPr>
          <w:sz w:val="28"/>
          <w:szCs w:val="28"/>
        </w:rPr>
        <w:t xml:space="preserve"> положения проектирования»;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поддержанию в состоянии постоянной готовности к использованию систем оповещения населения (утверждены Протоколом заседания Рабочей группы Правительственной комиссии по предупреждению и ликвидации чре</w:t>
      </w:r>
      <w:r>
        <w:rPr>
          <w:sz w:val="28"/>
          <w:szCs w:val="28"/>
        </w:rPr>
        <w:t>звычайных ситуаций и обеспечению пожарной безопасности по координации создания и поддержания в постоянной готовности систем оповещения населения от 26 июня 2024 г. № 2);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Справочник «Технические средства оповещения», одобренный протоколом заседания рабочей </w:t>
      </w:r>
      <w:r>
        <w:rPr>
          <w:sz w:val="28"/>
          <w:szCs w:val="28"/>
        </w:rPr>
        <w:t>группы 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систем оповещения населения от 20 декабря 2023 № 1;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Правительства Республики Ингушетия от 21 февраля 2015 г. № 33 «Об утверждении государственной программы Республики Ингушетия «Защита населения и территории от чрезвычайных ситуаций и обеспечение пожарной безопасности»;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Республик</w:t>
      </w:r>
      <w:r>
        <w:rPr>
          <w:sz w:val="28"/>
          <w:szCs w:val="28"/>
        </w:rPr>
        <w:t>и Ингушетия от 4 июня 2021 г. N 71 «Об утверждении Положения о системах оповещения населения Республики Ингушетия об опасностях»;</w:t>
      </w:r>
    </w:p>
    <w:p w:rsidR="00D23AD9" w:rsidRDefault="0059075E">
      <w:pPr>
        <w:pStyle w:val="11"/>
        <w:numPr>
          <w:ilvl w:val="0"/>
          <w:numId w:val="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Постановление Правительства Республики Ингушетия от 23 ноября 2023 г. N 160 «Об определении границ зон экстренного оповещения </w:t>
      </w:r>
      <w:r>
        <w:rPr>
          <w:sz w:val="28"/>
          <w:szCs w:val="28"/>
        </w:rPr>
        <w:t>населения Республики Ингушетия».</w:t>
      </w:r>
    </w:p>
    <w:p w:rsidR="00D23AD9" w:rsidRDefault="00D23AD9">
      <w:pPr>
        <w:pStyle w:val="11"/>
        <w:spacing w:line="276" w:lineRule="auto"/>
        <w:ind w:left="851" w:firstLine="0"/>
        <w:rPr>
          <w:sz w:val="16"/>
          <w:szCs w:val="16"/>
        </w:rPr>
      </w:pPr>
    </w:p>
    <w:p w:rsidR="00D23AD9" w:rsidRDefault="0059075E">
      <w:pPr>
        <w:pStyle w:val="2"/>
        <w:numPr>
          <w:ilvl w:val="1"/>
          <w:numId w:val="16"/>
        </w:numPr>
      </w:pPr>
      <w:bookmarkStart w:id="10" w:name="__RefHeading___Toc15862_1778912248"/>
      <w:bookmarkStart w:id="11" w:name="_Toc242096630"/>
      <w:bookmarkEnd w:id="10"/>
      <w:r>
        <w:t>Сроки выполнения работ</w:t>
      </w:r>
      <w:bookmarkEnd w:id="11"/>
    </w:p>
    <w:p w:rsidR="00D23AD9" w:rsidRDefault="0059075E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 даты заключения Договора по 18.12.2026 г.</w:t>
      </w:r>
    </w:p>
    <w:p w:rsidR="00D23AD9" w:rsidRDefault="00D23AD9">
      <w:pPr>
        <w:spacing w:line="276" w:lineRule="auto"/>
        <w:ind w:firstLine="851"/>
        <w:jc w:val="both"/>
        <w:rPr>
          <w:sz w:val="16"/>
          <w:szCs w:val="16"/>
        </w:rPr>
      </w:pPr>
    </w:p>
    <w:p w:rsidR="00D23AD9" w:rsidRDefault="0059075E">
      <w:pPr>
        <w:pStyle w:val="2"/>
        <w:numPr>
          <w:ilvl w:val="1"/>
          <w:numId w:val="16"/>
        </w:numPr>
      </w:pPr>
      <w:bookmarkStart w:id="12" w:name="__RefHeading___Toc15864_1778912248"/>
      <w:bookmarkStart w:id="13" w:name="_Toc242096631"/>
      <w:bookmarkEnd w:id="12"/>
      <w:r>
        <w:t xml:space="preserve">Источники финансирования </w:t>
      </w:r>
      <w:bookmarkEnd w:id="13"/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Финансирование осуществляется из бюджета Республики Ингушетия.</w:t>
      </w:r>
    </w:p>
    <w:p w:rsidR="00D23AD9" w:rsidRDefault="00D23AD9">
      <w:pPr>
        <w:pStyle w:val="11"/>
        <w:spacing w:line="276" w:lineRule="auto"/>
        <w:rPr>
          <w:sz w:val="16"/>
          <w:szCs w:val="16"/>
        </w:rPr>
      </w:pPr>
    </w:p>
    <w:p w:rsidR="00D23AD9" w:rsidRDefault="0059075E">
      <w:pPr>
        <w:pStyle w:val="2"/>
        <w:numPr>
          <w:ilvl w:val="1"/>
          <w:numId w:val="16"/>
        </w:numPr>
      </w:pPr>
      <w:bookmarkStart w:id="14" w:name="__RefHeading___Toc15866_1778912248"/>
      <w:bookmarkStart w:id="15" w:name="_Toc242096632"/>
      <w:bookmarkStart w:id="16" w:name="_Ref98676605"/>
      <w:bookmarkEnd w:id="14"/>
      <w:r>
        <w:t>Порядок предоставления Заказчиком исходных данных</w:t>
      </w:r>
      <w:bookmarkEnd w:id="15"/>
      <w:bookmarkEnd w:id="16"/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Перечень исход</w:t>
      </w:r>
      <w:r>
        <w:rPr>
          <w:sz w:val="28"/>
          <w:szCs w:val="28"/>
        </w:rPr>
        <w:t xml:space="preserve">ных данных, предоставляемых Заказчиком: </w:t>
      </w:r>
    </w:p>
    <w:p w:rsidR="00D23AD9" w:rsidRDefault="0059075E">
      <w:pPr>
        <w:pStyle w:val="11"/>
        <w:numPr>
          <w:ilvl w:val="0"/>
          <w:numId w:val="17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сведения о составе существующего оборудования системы оповещения РСОН;</w:t>
      </w:r>
    </w:p>
    <w:p w:rsidR="00D23AD9" w:rsidRDefault="0059075E">
      <w:pPr>
        <w:pStyle w:val="11"/>
        <w:numPr>
          <w:ilvl w:val="0"/>
          <w:numId w:val="17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перечень муниципальных образований и населенных пунктов Республики Ингушетия;</w:t>
      </w:r>
    </w:p>
    <w:p w:rsidR="00D23AD9" w:rsidRDefault="0059075E">
      <w:pPr>
        <w:pStyle w:val="11"/>
        <w:numPr>
          <w:ilvl w:val="0"/>
          <w:numId w:val="17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проектно-сметная документация на создание РАСЦО Республики Ингушет</w:t>
      </w:r>
      <w:r>
        <w:rPr>
          <w:sz w:val="28"/>
          <w:szCs w:val="28"/>
        </w:rPr>
        <w:t>ия, шифр 0114500000820001561-302209-02.12.20-1, 2023 г.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Исходные данные предоставляются Исполнителю в виде схем, таблиц, планов и текстовых документов. Перечень предоставляемых Заказчиком исходных данных может уточняться и дополняться в процессе проведения</w:t>
      </w:r>
      <w:r>
        <w:rPr>
          <w:sz w:val="28"/>
          <w:szCs w:val="28"/>
        </w:rPr>
        <w:t xml:space="preserve"> проектных работ на основании официальных запросов со стороны Исполнителя.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целях корректировки проектно-технической документации Исполнитель обязан провести проектно-изыскательские работы, включая выезд на объекты размещения технических средств оповещени</w:t>
      </w:r>
      <w:r>
        <w:rPr>
          <w:sz w:val="28"/>
          <w:szCs w:val="28"/>
        </w:rPr>
        <w:t>я и выполнение необходимых сопутствующих работ по их обследованию.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Заказчик обеспечивает допуск представителей Исполнителя на объекты, подлежащие обследованию в рамках проектно-изыскательских работ, включая объекты размещения технических средств </w:t>
      </w:r>
      <w:r>
        <w:rPr>
          <w:sz w:val="28"/>
          <w:szCs w:val="28"/>
        </w:rPr>
        <w:t>оповещения, а также, при необходимости, объекты операторов связи и организаций теле- и радиовещания для согласования технической возможности организации каналов перехвата теле- и радиосигналов, в сроки, согласованные Сторонами.</w:t>
      </w:r>
    </w:p>
    <w:p w:rsidR="00D23AD9" w:rsidRDefault="00D23AD9">
      <w:pPr>
        <w:pStyle w:val="11"/>
        <w:spacing w:line="276" w:lineRule="auto"/>
        <w:ind w:firstLine="0"/>
        <w:rPr>
          <w:sz w:val="28"/>
          <w:szCs w:val="28"/>
        </w:rPr>
      </w:pPr>
    </w:p>
    <w:p w:rsidR="00D23AD9" w:rsidRDefault="0059075E">
      <w:pPr>
        <w:pStyle w:val="2"/>
        <w:numPr>
          <w:ilvl w:val="1"/>
          <w:numId w:val="16"/>
        </w:numPr>
      </w:pPr>
      <w:bookmarkStart w:id="17" w:name="__RefHeading___Toc15868_1778912248"/>
      <w:bookmarkStart w:id="18" w:name="_Toc242096633"/>
      <w:bookmarkEnd w:id="17"/>
      <w:r>
        <w:t xml:space="preserve">Определения, обозначения и </w:t>
      </w:r>
      <w:r>
        <w:t>сокращения</w:t>
      </w:r>
      <w:bookmarkEnd w:id="18"/>
    </w:p>
    <w:tbl>
      <w:tblPr>
        <w:tblW w:w="5000" w:type="pct"/>
        <w:tblInd w:w="103" w:type="dxa"/>
        <w:tblLayout w:type="fixed"/>
        <w:tblLook w:val="04A0" w:firstRow="1" w:lastRow="0" w:firstColumn="1" w:lastColumn="0" w:noHBand="0" w:noVBand="1"/>
      </w:tblPr>
      <w:tblGrid>
        <w:gridCol w:w="709"/>
        <w:gridCol w:w="2087"/>
        <w:gridCol w:w="7485"/>
      </w:tblGrid>
      <w:tr w:rsidR="00D23AD9">
        <w:trPr>
          <w:cantSplit/>
          <w:tblHeader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Сокращение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Расшифровка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АРМ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Автоматизированное рабочее место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Автоматизированная система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ДДС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Дежурно-диспетчерская служба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</w:pPr>
            <w:r>
              <w:rPr>
                <w:sz w:val="28"/>
                <w:szCs w:val="28"/>
              </w:rPr>
              <w:t>ЗПУ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Запасной пункт управления регионального уровня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ЕДДС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Единая </w:t>
            </w:r>
            <w:r>
              <w:rPr>
                <w:sz w:val="28"/>
                <w:szCs w:val="28"/>
              </w:rPr>
              <w:t>дежурно-диспетчерская служба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ЕСЭС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сеть электросвязи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КТС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технических средств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МСОН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Местная система оповещения населения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Опасные производственные объекты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</w:pPr>
            <w:r>
              <w:rPr>
                <w:sz w:val="28"/>
                <w:szCs w:val="28"/>
              </w:rPr>
              <w:t>Программное обеспечение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управления регионального уровня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ПУЭ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эксплуатации электроустановок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ПЭВМ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Персональная электронно-вычислительная машина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РСОН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</w:pPr>
            <w:r>
              <w:rPr>
                <w:sz w:val="28"/>
                <w:szCs w:val="28"/>
              </w:rPr>
              <w:t>Региональная система оповещения населения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РСЧС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</w:pPr>
            <w:r>
              <w:rPr>
                <w:sz w:val="28"/>
                <w:szCs w:val="28"/>
              </w:rPr>
              <w:t>Единая государственная система предупреждения и ликвидации чрезвычайных ситуаций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СРУ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Сиренно-речевые </w:t>
            </w:r>
            <w:r>
              <w:rPr>
                <w:sz w:val="28"/>
                <w:szCs w:val="28"/>
              </w:rPr>
              <w:t>установки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ТЗ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Техническое задание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ТСО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Технические средства оповещения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Техническое обслуживание</w:t>
            </w:r>
          </w:p>
        </w:tc>
      </w:tr>
      <w:tr w:rsidR="00D23AD9">
        <w:trPr>
          <w:cantSplit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D23AD9">
            <w:pPr>
              <w:pStyle w:val="11"/>
              <w:numPr>
                <w:ilvl w:val="0"/>
                <w:numId w:val="15"/>
              </w:numPr>
              <w:snapToGrid w:val="0"/>
              <w:spacing w:line="276" w:lineRule="auto"/>
              <w:ind w:left="0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ЧС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11"/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Чрезвычайная ситуация</w:t>
            </w:r>
          </w:p>
        </w:tc>
      </w:tr>
    </w:tbl>
    <w:p w:rsidR="00D23AD9" w:rsidRDefault="00D23AD9">
      <w:pPr>
        <w:pStyle w:val="11"/>
        <w:spacing w:line="276" w:lineRule="auto"/>
        <w:rPr>
          <w:sz w:val="28"/>
          <w:szCs w:val="28"/>
        </w:rPr>
      </w:pPr>
    </w:p>
    <w:p w:rsidR="00D23AD9" w:rsidRDefault="0059075E">
      <w:pPr>
        <w:pStyle w:val="1"/>
        <w:ind w:firstLine="851"/>
      </w:pPr>
      <w:bookmarkStart w:id="19" w:name="__RefHeading___Toc15870_1778912248"/>
      <w:bookmarkStart w:id="20" w:name="_Toc242096634"/>
      <w:bookmarkEnd w:id="19"/>
      <w:r>
        <w:t>ЦЕЛИ И НАЗНАЧЕНИЕ СОЗДАНИЯ СИСТЕМЫ</w:t>
      </w:r>
      <w:bookmarkEnd w:id="20"/>
    </w:p>
    <w:p w:rsidR="00D23AD9" w:rsidRDefault="0059075E">
      <w:pPr>
        <w:pStyle w:val="2"/>
      </w:pPr>
      <w:bookmarkStart w:id="21" w:name="__RefHeading___Toc15872_1778912248"/>
      <w:bookmarkStart w:id="22" w:name="_Toc242096635"/>
      <w:bookmarkEnd w:id="21"/>
      <w:r>
        <w:t xml:space="preserve">2.1 Назначение системы </w:t>
      </w:r>
      <w:bookmarkEnd w:id="22"/>
    </w:p>
    <w:p w:rsidR="00D23AD9" w:rsidRDefault="0059075E">
      <w:pPr>
        <w:pStyle w:val="3"/>
      </w:pPr>
      <w:bookmarkStart w:id="23" w:name="__RefHeading___Toc15874_1778912248"/>
      <w:bookmarkStart w:id="24" w:name="_Toc242096636"/>
      <w:bookmarkEnd w:id="23"/>
      <w:r>
        <w:t>Задачи системы оповещения</w:t>
      </w:r>
      <w:bookmarkEnd w:id="24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Основной задачей региональной системы </w:t>
      </w:r>
      <w:r>
        <w:rPr>
          <w:sz w:val="28"/>
          <w:szCs w:val="28"/>
        </w:rPr>
        <w:t>оповещения населения Республики Ингушетия является обеспечение доведения сигналов оповещения и экстренной информации до: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руководящего состава ГО и РСЧС Республики Ингушетия;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 xml:space="preserve">органа, специально уполномоченного решать задачи гражданской обороны и задачи по </w:t>
      </w:r>
      <w:r>
        <w:rPr>
          <w:sz w:val="28"/>
          <w:szCs w:val="28"/>
        </w:rPr>
        <w:t>предупреждению и ликвидации чрезвычайных ситуаций по субъекту Российской Федерации - Главного управления МЧС по Республике Ингушетия;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органов, специально уполномоченных на решение задач в области защиты населения и территорий от чрезвычайных ситуаций и гра</w:t>
      </w:r>
      <w:r>
        <w:rPr>
          <w:sz w:val="28"/>
          <w:szCs w:val="28"/>
        </w:rPr>
        <w:t>жданской обороны при органах местного самоуправления;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единых дежурно-диспетчерских служб муниципальных образований;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сил ГО и РСЧС Республики Ингушетия;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дежурных (дежурно-диспетчерских) служб организаций, эксплуатирующих опасные производственные объекты I и</w:t>
      </w:r>
      <w:r>
        <w:rPr>
          <w:sz w:val="28"/>
          <w:szCs w:val="28"/>
        </w:rPr>
        <w:t xml:space="preserve"> II классов опасности, особо радиационно опасные и ядерно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</w:t>
      </w:r>
      <w:r>
        <w:rPr>
          <w:sz w:val="28"/>
          <w:szCs w:val="28"/>
        </w:rPr>
        <w:t>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 xml:space="preserve">людей, находящихся на территории соответствующего муниципального образования Республики Ингушетия. </w:t>
      </w:r>
    </w:p>
    <w:p w:rsidR="00D23AD9" w:rsidRDefault="0059075E">
      <w:pPr>
        <w:pStyle w:val="3"/>
      </w:pPr>
      <w:bookmarkStart w:id="25" w:name="__RefHeading___Toc15876_1778912248"/>
      <w:bookmarkStart w:id="26" w:name="_Toc242096637"/>
      <w:bookmarkEnd w:id="25"/>
      <w:r>
        <w:t xml:space="preserve">Задачи, </w:t>
      </w:r>
      <w:r>
        <w:t>решаемые в ходе корректировки проектно-технической документации</w:t>
      </w:r>
      <w:bookmarkEnd w:id="26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Корректировка проектно-технической документации основывается на необходимости уточнения технической составляющей РСОН, которая связана со следующими факторами: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приведение проектно-технической </w:t>
      </w:r>
      <w:r>
        <w:rPr>
          <w:sz w:val="28"/>
          <w:szCs w:val="28"/>
          <w:lang w:val="ru-RU"/>
        </w:rPr>
        <w:t>документации в соответствие требованиям Постановления Правительства РФ от 17 мая 2023 г. № 769 «О порядке создания, реконструкции и поддержания в состоянии постоянной готовности к использованию систем оповещения населения»;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обеспечения охвата техническими </w:t>
      </w:r>
      <w:r>
        <w:rPr>
          <w:sz w:val="28"/>
          <w:szCs w:val="28"/>
          <w:lang w:val="ru-RU"/>
        </w:rPr>
        <w:t>средствами оповещения не менее 90% от численности населения Республики Ингушетия путем увеличения количества пунктов оповещения;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развитие возможностей РСОН путем внедрения современных программных и технических средств;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импортозамещение путем внедрения отеч</w:t>
      </w:r>
      <w:r>
        <w:rPr>
          <w:sz w:val="28"/>
          <w:szCs w:val="28"/>
          <w:lang w:val="ru-RU"/>
        </w:rPr>
        <w:t>ественного общесистемного и специализированного программного обеспечения с помощью надежных, эффективных и управляемых технических решений;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повышения эффективности принимаемых мер по предупреждению и ликвидации ЧС;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обеспечения достоверности передаваемой ин</w:t>
      </w:r>
      <w:r>
        <w:rPr>
          <w:sz w:val="28"/>
          <w:szCs w:val="28"/>
          <w:lang w:val="ru-RU"/>
        </w:rPr>
        <w:t>формации информирования и оповещения по различным каналам связи и оконечных устройств оповещения;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передачи сигналов и информации оповещения в заданных режимах (индивидуальный, избирательный, циркулярный, групповой);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обеспечения устойчивости и эффективности</w:t>
      </w:r>
      <w:r>
        <w:rPr>
          <w:sz w:val="28"/>
          <w:szCs w:val="28"/>
          <w:lang w:val="ru-RU"/>
        </w:rPr>
        <w:t xml:space="preserve"> функционирования РСОН Республики Ингушетия за счет построения централизованной системы управления и технических средств с использованием мультисервисных решений, учитывающих текущее состояние и дальнейшее развитие цифровых сетей связи и передачи данных, в</w:t>
      </w:r>
      <w:r>
        <w:rPr>
          <w:sz w:val="28"/>
          <w:szCs w:val="28"/>
          <w:lang w:val="ru-RU"/>
        </w:rPr>
        <w:t>едомственных сетей, сети цифрового телерадиовещания на территории Республики Ингушетия, а также с учетом развития сетей радиоподвижной телефонной связи;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своевременной передачи информации до органов управления РСЧС Республики Ингушетия соответствующего уров</w:t>
      </w:r>
      <w:r>
        <w:rPr>
          <w:sz w:val="28"/>
          <w:szCs w:val="28"/>
          <w:lang w:val="ru-RU"/>
        </w:rPr>
        <w:t xml:space="preserve">ня, включая пункты управления на особый период функционирования соответствующего уровня; 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управления оконечными средствами оповещения с пунктов управления органов повседневного управления РСЧС Республики Ингушетия, включая пункты управления на особый перио</w:t>
      </w:r>
      <w:r>
        <w:rPr>
          <w:sz w:val="28"/>
          <w:szCs w:val="28"/>
          <w:lang w:val="ru-RU"/>
        </w:rPr>
        <w:t xml:space="preserve">д функционирования соответствующего уровня; 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управления техническими средствами перехвата (замещения) эфирного цифрового телевидения и радиовещания; 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сопряжение с системами мониторинга природных и техногенных ЧС (при обеспечении технической возможности и и</w:t>
      </w:r>
      <w:r>
        <w:rPr>
          <w:sz w:val="28"/>
          <w:szCs w:val="28"/>
          <w:lang w:val="ru-RU"/>
        </w:rPr>
        <w:t xml:space="preserve">сходных данных, предоставляемых заказчиком); 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обеспечения сопряжения локальных систем оповещения (ЛСОН) с РСОН Республики Ингушетия (при наличии таких систем, а также при обеспечении технической возможности и исходных данных, предоставляемых заказчиком); 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повышения оперативности реагирование органов управления, сил и средств РСЧС Республики Ингушетия в целях защиты населения;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снижения людских потерь и материального ущерба при возникновении ЧС; 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повышения эффективности принимаемых мер по предупреждению и лик</w:t>
      </w:r>
      <w:r>
        <w:rPr>
          <w:sz w:val="28"/>
          <w:szCs w:val="28"/>
          <w:lang w:val="ru-RU"/>
        </w:rPr>
        <w:t>видации ЧС.</w:t>
      </w:r>
    </w:p>
    <w:p w:rsidR="00D23AD9" w:rsidRDefault="0059075E">
      <w:pPr>
        <w:pStyle w:val="aff2"/>
        <w:numPr>
          <w:ilvl w:val="0"/>
          <w:numId w:val="9"/>
        </w:numPr>
        <w:spacing w:line="269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учета адресов, предусмотренных проектно-сметной документацией на создание РСОН Республики Ингушетия, при формировании перечня пунктов оповещения, и размещения проектируемых технических средств оповещения, при наличии технической возможности, на</w:t>
      </w:r>
      <w:r>
        <w:rPr>
          <w:sz w:val="28"/>
          <w:szCs w:val="28"/>
          <w:lang w:val="ru-RU"/>
        </w:rPr>
        <w:t xml:space="preserve"> зданиях и сооружениях, находящихся в государственной и (или) муниципальной собственности, либо на опорах линий электропередачи; при отсутствии такой возможности допускается размещение на объектах иных форм собственности, включая частную, с обеспечением ка</w:t>
      </w:r>
      <w:r>
        <w:rPr>
          <w:sz w:val="28"/>
          <w:szCs w:val="28"/>
          <w:lang w:val="ru-RU"/>
        </w:rPr>
        <w:t>нала связи до места установки оборудования.</w:t>
      </w:r>
    </w:p>
    <w:p w:rsidR="00D23AD9" w:rsidRDefault="0059075E">
      <w:pPr>
        <w:pStyle w:val="1"/>
        <w:ind w:firstLine="851"/>
      </w:pPr>
      <w:bookmarkStart w:id="27" w:name="__RefHeading___Toc15878_1778912248"/>
      <w:bookmarkStart w:id="28" w:name="_Toc242096638"/>
      <w:bookmarkEnd w:id="27"/>
      <w:r>
        <w:t>ХАРАКТЕРИСТИКА СУЩЕСТВУЮЩЕЙ РЕГИОНАЛЬНОЙ СИСТЕМЫ ОПОВЕЩЕНИЯ НАСЕЛЕНИЯ РЕСПУБЛИКИ ИНГУШЕТИЯ</w:t>
      </w:r>
      <w:bookmarkEnd w:id="28"/>
    </w:p>
    <w:p w:rsidR="00D23AD9" w:rsidRDefault="0059075E">
      <w:pPr>
        <w:pStyle w:val="3"/>
        <w:numPr>
          <w:ilvl w:val="1"/>
          <w:numId w:val="1"/>
        </w:numPr>
        <w:ind w:left="851" w:firstLine="851"/>
        <w:jc w:val="left"/>
      </w:pPr>
      <w:bookmarkStart w:id="29" w:name="__RefHeading___Toc15880_1778912248"/>
      <w:bookmarkStart w:id="30" w:name="_Toc242096639"/>
      <w:bookmarkEnd w:id="29"/>
      <w:r>
        <w:t>Характеристика региона</w:t>
      </w:r>
      <w:bookmarkEnd w:id="30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Республика Ингушетия входит в Северо-Кавказский федеральный округ. Административный центр - г. Магас. 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Регион граничит с Республикой Северная Осетия-Алания, Чеченской республикой, имеется участок государственной границы с Грузией. Площадь Республики Ингуше</w:t>
      </w:r>
      <w:r>
        <w:rPr>
          <w:sz w:val="28"/>
          <w:szCs w:val="28"/>
        </w:rPr>
        <w:t xml:space="preserve">тия равна 3 123 квадратным километрам. 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Численность населения Республики Ингушетия по данным Росстата на 2026 год составляет 534 471 человек. Плотность населения - 171,15 чел/км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административно-территориальном отношении Республика Ингушетия делится на</w:t>
      </w:r>
      <w:r>
        <w:rPr>
          <w:sz w:val="28"/>
          <w:szCs w:val="28"/>
        </w:rPr>
        <w:t xml:space="preserve"> 5 городских округов и 4 муниципальных района.</w:t>
      </w:r>
    </w:p>
    <w:p w:rsidR="00D23AD9" w:rsidRDefault="00D23AD9">
      <w:pPr>
        <w:pStyle w:val="11"/>
        <w:spacing w:line="276" w:lineRule="auto"/>
      </w:pPr>
    </w:p>
    <w:p w:rsidR="00D23AD9" w:rsidRDefault="0059075E">
      <w:pPr>
        <w:pStyle w:val="af0"/>
        <w:keepNext/>
        <w:spacing w:line="276" w:lineRule="auto"/>
        <w:jc w:val="center"/>
        <w:rPr>
          <w:b w:val="0"/>
          <w:sz w:val="28"/>
          <w:szCs w:val="28"/>
        </w:rPr>
      </w:pPr>
      <w:bookmarkStart w:id="31" w:name="_Ref98676929"/>
      <w:r>
        <w:rPr>
          <w:b w:val="0"/>
          <w:sz w:val="28"/>
          <w:szCs w:val="28"/>
        </w:rPr>
        <w:t xml:space="preserve">Таблица </w:t>
      </w:r>
      <w:r>
        <w:rPr>
          <w:b w:val="0"/>
          <w:sz w:val="28"/>
          <w:szCs w:val="28"/>
        </w:rPr>
        <w:fldChar w:fldCharType="begin"/>
      </w:r>
      <w:r>
        <w:rPr>
          <w:b w:val="0"/>
          <w:sz w:val="28"/>
          <w:szCs w:val="28"/>
        </w:rPr>
        <w:instrText xml:space="preserve"> SEQ Таблица \* ARABIC </w:instrText>
      </w:r>
      <w:r>
        <w:rPr>
          <w:b w:val="0"/>
          <w:sz w:val="28"/>
          <w:szCs w:val="28"/>
        </w:rPr>
        <w:fldChar w:fldCharType="separate"/>
      </w:r>
      <w:r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fldChar w:fldCharType="end"/>
      </w:r>
      <w:bookmarkEnd w:id="31"/>
      <w:r>
        <w:rPr>
          <w:b w:val="0"/>
          <w:sz w:val="28"/>
          <w:szCs w:val="28"/>
        </w:rPr>
        <w:t xml:space="preserve"> - Перечень муниципальных образований, существующих ПУ МСОН </w:t>
      </w:r>
    </w:p>
    <w:tbl>
      <w:tblPr>
        <w:tblW w:w="5000" w:type="pct"/>
        <w:tblInd w:w="-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16"/>
        <w:gridCol w:w="2423"/>
        <w:gridCol w:w="1858"/>
        <w:gridCol w:w="2656"/>
        <w:gridCol w:w="2722"/>
      </w:tblGrid>
      <w:tr w:rsidR="00D23AD9">
        <w:trPr>
          <w:trHeight w:val="909"/>
          <w:tblHeader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AD9" w:rsidRDefault="0059075E">
            <w:pPr>
              <w:pStyle w:val="11"/>
              <w:keepNext/>
              <w:spacing w:line="276" w:lineRule="auto"/>
              <w:ind w:firstLine="35"/>
              <w:jc w:val="center"/>
            </w:pPr>
            <w:r>
              <w:t>№ п/п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AD9" w:rsidRDefault="0059075E">
            <w:pPr>
              <w:pStyle w:val="11"/>
              <w:keepNext/>
              <w:spacing w:line="276" w:lineRule="auto"/>
              <w:ind w:firstLine="0"/>
              <w:jc w:val="center"/>
            </w:pPr>
            <w:r>
              <w:t>Административное образование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AD9" w:rsidRDefault="0059075E">
            <w:pPr>
              <w:pStyle w:val="11"/>
              <w:keepNext/>
              <w:spacing w:line="276" w:lineRule="auto"/>
              <w:ind w:firstLine="0"/>
              <w:jc w:val="center"/>
            </w:pPr>
            <w:r>
              <w:t>Население, чел.</w:t>
            </w:r>
          </w:p>
          <w:p w:rsidR="00D23AD9" w:rsidRDefault="0059075E">
            <w:pPr>
              <w:pStyle w:val="11"/>
              <w:keepNext/>
              <w:spacing w:line="276" w:lineRule="auto"/>
              <w:ind w:firstLine="0"/>
              <w:jc w:val="center"/>
            </w:pPr>
            <w:r>
              <w:t>по</w:t>
            </w:r>
            <w:r>
              <w:rPr>
                <w:lang w:val="en-US"/>
              </w:rPr>
              <w:t> </w:t>
            </w:r>
            <w:r>
              <w:t>состоянию</w:t>
            </w:r>
          </w:p>
          <w:p w:rsidR="00D23AD9" w:rsidRDefault="0059075E">
            <w:pPr>
              <w:pStyle w:val="11"/>
              <w:keepNext/>
              <w:spacing w:line="276" w:lineRule="auto"/>
              <w:ind w:firstLine="0"/>
              <w:jc w:val="center"/>
            </w:pPr>
            <w:r>
              <w:t>на 01.01.2026 г.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AD9" w:rsidRDefault="0059075E">
            <w:pPr>
              <w:pStyle w:val="11"/>
              <w:keepNext/>
              <w:spacing w:line="276" w:lineRule="auto"/>
              <w:ind w:firstLine="0"/>
              <w:jc w:val="center"/>
            </w:pPr>
            <w:r>
              <w:t>Административный центр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AD9" w:rsidRDefault="0059075E">
            <w:pPr>
              <w:pStyle w:val="11"/>
              <w:keepNext/>
              <w:spacing w:line="276" w:lineRule="auto"/>
              <w:ind w:firstLine="0"/>
              <w:jc w:val="center"/>
            </w:pPr>
            <w:r>
              <w:t>Существу</w:t>
            </w:r>
            <w:r>
              <w:t>ющие ПУ МСОН</w:t>
            </w:r>
          </w:p>
        </w:tc>
      </w:tr>
      <w:tr w:rsidR="00D23AD9">
        <w:trPr>
          <w:trHeight w:val="714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Джейрахский район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9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4262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9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Джейрах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9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Джейрахский район, с.п. Джейрах, ул. Д.Льянова, 37</w:t>
            </w:r>
          </w:p>
        </w:tc>
      </w:tr>
      <w:tr w:rsidR="00D23AD9">
        <w:trPr>
          <w:trHeight w:val="715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Малгобекский район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9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62194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3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Малгобек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3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Малгобек, ул. Базоркина, 51</w:t>
            </w:r>
          </w:p>
        </w:tc>
      </w:tr>
      <w:tr w:rsidR="00D23AD9">
        <w:trPr>
          <w:trHeight w:val="551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Назрановский район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9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112346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Назрань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Назрань, пр-т И. Базоркина, 13</w:t>
            </w:r>
          </w:p>
        </w:tc>
      </w:tr>
      <w:tr w:rsidR="00D23AD9">
        <w:trPr>
          <w:trHeight w:val="467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Сунженский район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9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61771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Сунжа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Нестеровское, переулок Аушева 5А</w:t>
            </w:r>
          </w:p>
        </w:tc>
      </w:tr>
      <w:tr w:rsidR="00D23AD9">
        <w:trPr>
          <w:trHeight w:val="398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 Карабулак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9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44643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Карабулак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93" w:right="1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Карабулак, ул. Промысловая, 2/2</w:t>
            </w:r>
          </w:p>
        </w:tc>
      </w:tr>
      <w:tr w:rsidR="00D23AD9">
        <w:trPr>
          <w:trHeight w:val="551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 Магас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9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19199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Магас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Магас, ул. С. Озиева, д. 1</w:t>
            </w:r>
          </w:p>
        </w:tc>
      </w:tr>
      <w:tr w:rsidR="00D23AD9">
        <w:trPr>
          <w:trHeight w:val="551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 Малгобек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9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38704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Малгобек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Малгобек,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Базоркина, 51</w:t>
            </w:r>
          </w:p>
        </w:tc>
      </w:tr>
      <w:tr w:rsidR="00D23AD9">
        <w:trPr>
          <w:trHeight w:val="55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 Назрань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9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127994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Назрань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Назрань, пр-т И. Базоркина, 13</w:t>
            </w:r>
          </w:p>
        </w:tc>
      </w:tr>
      <w:tr w:rsidR="00D23AD9">
        <w:trPr>
          <w:trHeight w:val="551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 Сунжа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 w:right="9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63378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Сунжа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AD9" w:rsidRDefault="0059075E">
            <w:pPr>
              <w:pStyle w:val="TableParagraph"/>
              <w:spacing w:line="276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Сунжа, ул. Свердлова 1</w:t>
            </w:r>
          </w:p>
        </w:tc>
      </w:tr>
    </w:tbl>
    <w:p w:rsidR="00D23AD9" w:rsidRDefault="00D23AD9">
      <w:pPr>
        <w:pStyle w:val="11"/>
        <w:spacing w:line="276" w:lineRule="auto"/>
        <w:rPr>
          <w:sz w:val="28"/>
          <w:szCs w:val="28"/>
        </w:rPr>
      </w:pP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Угрозы возникновения чрезвычайных ситуаций природного и техногенного характера в Республики Ингушетия обусловлены следующими основными видами рисков: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риск угроз природного и техногенного характера при реализации новых крупных экономических и инфраструктур</w:t>
      </w:r>
      <w:r>
        <w:rPr>
          <w:sz w:val="28"/>
          <w:szCs w:val="28"/>
        </w:rPr>
        <w:t xml:space="preserve">ных проектов;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 xml:space="preserve">риск землетрясений;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риск паводков высокой интенсивности;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 xml:space="preserve">риск промышленных аварий и катастроф;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риск от загрязнения поверхностных и подземных источников питьевого водоснабжения;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экологический риск, связанный с химическим загрязнением окружа</w:t>
      </w:r>
      <w:r>
        <w:rPr>
          <w:sz w:val="28"/>
          <w:szCs w:val="28"/>
        </w:rPr>
        <w:t xml:space="preserve">ющей среды;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 xml:space="preserve">экологический риск, связанный с осуществлением крупномасштабных проектов природопользования (освоение месторождений полезных ископаемых, и т.д.);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риск от трансграничных загрязнений с сопредельных территорий, в том числе от крупномасштабных ав</w:t>
      </w:r>
      <w:r>
        <w:rPr>
          <w:sz w:val="28"/>
          <w:szCs w:val="28"/>
        </w:rPr>
        <w:t>арий и катастроф;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риск от аномальных гидрометеорологических и геодеформационных проявлений, в том числе в местах выработок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 xml:space="preserve">риск аварий на объектах теплоснабжения и жилищно-коммунального хозяйства. 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Повышенная вероятность возникновения аварий и катастроф пр</w:t>
      </w:r>
      <w:r>
        <w:rPr>
          <w:sz w:val="28"/>
          <w:szCs w:val="28"/>
        </w:rPr>
        <w:t xml:space="preserve">иродного и техногенного характера связана с географо-климатическими и геологическими особенностями территории Республики Ингушетия, территория которой располагается в сейсмоопасной зоне.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Наиболее частыми причинами аварий и возникновения чрезвычайных ситуа</w:t>
      </w:r>
      <w:r>
        <w:rPr>
          <w:sz w:val="28"/>
          <w:szCs w:val="28"/>
        </w:rPr>
        <w:t xml:space="preserve">ций техногенного характера являются: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 xml:space="preserve">разрывы трубопроводов сточных вод, газопроводов и продуктопроводов;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 xml:space="preserve">взрывы газов и взрывчатых веществ;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 xml:space="preserve">аварийные сбросы сточных вод в результате обесточивания оборудования очистных сооружений;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 xml:space="preserve">пролив и возгорание нефтепродуктов;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>места нелегального сброса токсичных и ядовитых веществ.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 территории Республики Ингушетия Постановлением Правительства Республики Ингушетия от 23 ноября 2023 г. N 160 «Об определении границ зон экстренного оповещения н</w:t>
      </w:r>
      <w:r>
        <w:rPr>
          <w:sz w:val="28"/>
          <w:szCs w:val="28"/>
        </w:rPr>
        <w:t xml:space="preserve">аселения Республики Ингушетия» определены следующие зоны экстренного оповещения населения: </w:t>
      </w:r>
    </w:p>
    <w:p w:rsidR="00D23AD9" w:rsidRDefault="0059075E">
      <w:pPr>
        <w:pStyle w:val="11"/>
        <w:numPr>
          <w:ilvl w:val="0"/>
          <w:numId w:val="14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Территория возможного затопления в результате чрезвычайной ситуации на реке Сунжа в муниципальном образовании «Городской округ город Карабулак» Республики Ингушетия</w:t>
      </w:r>
      <w:r>
        <w:rPr>
          <w:sz w:val="28"/>
          <w:szCs w:val="28"/>
        </w:rPr>
        <w:t>:</w:t>
      </w:r>
    </w:p>
    <w:p w:rsidR="00D23AD9" w:rsidRDefault="0059075E">
      <w:pPr>
        <w:pStyle w:val="11"/>
        <w:spacing w:line="276" w:lineRule="auto"/>
        <w:ind w:left="1495" w:firstLine="0"/>
      </w:pPr>
      <w:r>
        <w:rPr>
          <w:sz w:val="28"/>
          <w:szCs w:val="28"/>
        </w:rPr>
        <w:t>ул. Балкоева (пересечение с ул. Колхозная, ул. Комарова, ул. Оздоева, ул. Орджоникидзе, ул. Евдощенко, ул. Чкалова), ул. Заречная ул. Промысловая, ул. Больничная, ул. Дзаурова.</w:t>
      </w:r>
    </w:p>
    <w:p w:rsidR="00D23AD9" w:rsidRDefault="0059075E">
      <w:pPr>
        <w:pStyle w:val="11"/>
        <w:numPr>
          <w:ilvl w:val="0"/>
          <w:numId w:val="14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Территория возможного затопления в результате чрезвычайной ситуации на реке С</w:t>
      </w:r>
      <w:r>
        <w:rPr>
          <w:sz w:val="28"/>
          <w:szCs w:val="28"/>
        </w:rPr>
        <w:t>унжа в сельском поселении Троицкая Сунженского муниципального района Республики Ингушетия:</w:t>
      </w:r>
    </w:p>
    <w:p w:rsidR="00D23AD9" w:rsidRDefault="0059075E">
      <w:pPr>
        <w:pStyle w:val="11"/>
        <w:spacing w:line="276" w:lineRule="auto"/>
        <w:ind w:left="1495" w:firstLine="0"/>
        <w:rPr>
          <w:sz w:val="28"/>
          <w:szCs w:val="28"/>
        </w:rPr>
      </w:pPr>
      <w:r>
        <w:rPr>
          <w:sz w:val="28"/>
          <w:szCs w:val="28"/>
        </w:rPr>
        <w:t>ул. Московская (от дома N 38 до дома N 42), ул. Международная (от дома N 1 до N 46), ул. Советская (от дома N 31 до N 133), ул. Чкалова (от дома N 15 до N 32), ул. Ш</w:t>
      </w:r>
      <w:r>
        <w:rPr>
          <w:sz w:val="28"/>
          <w:szCs w:val="28"/>
        </w:rPr>
        <w:t>оссейная (от дома N 1 до дома N 169), ул. К. Маркса (от дома N 1 до дома N 4), ул. Ленина (от дома N 1 до дома N 113), ул. Мостовая (от дома N 1 до дома N 2А), ул. Ставропольская (от дома N 1 до дома N 19).</w:t>
      </w:r>
    </w:p>
    <w:p w:rsidR="00D23AD9" w:rsidRDefault="0059075E">
      <w:pPr>
        <w:pStyle w:val="11"/>
        <w:numPr>
          <w:ilvl w:val="0"/>
          <w:numId w:val="14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Территория возможного затопления в результате чре</w:t>
      </w:r>
      <w:r>
        <w:rPr>
          <w:sz w:val="28"/>
          <w:szCs w:val="28"/>
        </w:rPr>
        <w:t>звычайной ситуации на реке Сунжа в муниципальном образовании «Городской округ город Сунжа»:</w:t>
      </w:r>
    </w:p>
    <w:p w:rsidR="00D23AD9" w:rsidRDefault="0059075E">
      <w:pPr>
        <w:pStyle w:val="11"/>
        <w:spacing w:line="276" w:lineRule="auto"/>
        <w:ind w:left="1495" w:firstLine="0"/>
        <w:rPr>
          <w:sz w:val="28"/>
          <w:szCs w:val="28"/>
        </w:rPr>
      </w:pPr>
      <w:r>
        <w:rPr>
          <w:sz w:val="28"/>
          <w:szCs w:val="28"/>
        </w:rPr>
        <w:t xml:space="preserve">ул. Горького (от дома N 99 до N 122), ул. Сейнароева (от русла реки Сунжа до пересечения с ул. Хашагульгова), ул. Осканова (от начала улицы до пересечения с ул. Р. </w:t>
      </w:r>
      <w:r>
        <w:rPr>
          <w:sz w:val="28"/>
          <w:szCs w:val="28"/>
        </w:rPr>
        <w:t>Люксембург), ул. Л. Толстого (от пересечения с ул. Воровского до пересечения с ул. Кавказская), ул. Красина (от пересечения с ул. Воровского до пересечения с ул. Кавказская, ул. Восточная (в районе примыкания улицы к реке Сунжа), ул. Калиматова (в районе Г</w:t>
      </w:r>
      <w:r>
        <w:rPr>
          <w:sz w:val="28"/>
          <w:szCs w:val="28"/>
        </w:rPr>
        <w:t>БОУ СОШ N 4), ул. Р. Люксембург (от начала улицы до улицы Висаитова), ул. Шадиева (от ул. Балаева до русла реки Сунжа), ул. Хашагульгова (от пересечения с ул. Сейнароева до русла реки Сунжа), ул. Пионерская (в районе примыкания к ул. Осканова), ул. Накасто</w:t>
      </w:r>
      <w:r>
        <w:rPr>
          <w:sz w:val="28"/>
          <w:szCs w:val="28"/>
        </w:rPr>
        <w:t>ева, ул. Сухая Сунжа, ул. Международная, ул. Речная, ул. 1-й пер. Зеленый, ул. 2-й пер. Зеленый.</w:t>
      </w:r>
    </w:p>
    <w:p w:rsidR="00D23AD9" w:rsidRDefault="00D23AD9">
      <w:pPr>
        <w:pStyle w:val="11"/>
        <w:spacing w:line="276" w:lineRule="auto"/>
        <w:ind w:left="1495" w:firstLine="0"/>
      </w:pPr>
    </w:p>
    <w:p w:rsidR="00D23AD9" w:rsidRDefault="0059075E">
      <w:pPr>
        <w:pStyle w:val="3"/>
        <w:numPr>
          <w:ilvl w:val="1"/>
          <w:numId w:val="1"/>
        </w:numPr>
        <w:ind w:left="851" w:firstLine="851"/>
      </w:pPr>
      <w:bookmarkStart w:id="32" w:name="__RefHeading___Toc15882_1778912248"/>
      <w:bookmarkStart w:id="33" w:name="_Toc242096640"/>
      <w:bookmarkEnd w:id="32"/>
      <w:r>
        <w:t>Сведения о существующей РСОН</w:t>
      </w:r>
      <w:bookmarkEnd w:id="33"/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 территории Республики Ингушетия построена и действует реконструируемая система оповещения населения, созданная в период с 2014</w:t>
      </w:r>
      <w:r>
        <w:rPr>
          <w:sz w:val="28"/>
          <w:szCs w:val="28"/>
        </w:rPr>
        <w:t>-го по 2023 год, технической основой которой являются КПАСО-Р «МАРС-АРСЕНАЛ». Существующая РСОН обеспечивает круглосуточную возможность приема и доведения до населения сигналов оповещения, а также экстренной информации в соответствии с изменениями обстанов</w:t>
      </w:r>
      <w:r>
        <w:rPr>
          <w:sz w:val="28"/>
          <w:szCs w:val="28"/>
        </w:rPr>
        <w:t xml:space="preserve">ки. 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Организационно-техническая структура и состав технических средств оповещения отражена в Паспорте РСОН Республики Ингушетия и Паспортах МСОН.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Периодичность технических проверок работоспособности проходит в соответствии с требованиями Приказов МЧС Росси</w:t>
      </w:r>
      <w:r>
        <w:rPr>
          <w:sz w:val="28"/>
          <w:szCs w:val="28"/>
        </w:rPr>
        <w:t>и и Минцифры России от 31 июля 2020 г. № 578/365 «Об утверждении Положения о системах оповещения населения», от 31 июля 2020 г. № 579/366 «Об утверждении Положения по организации эксплуатационно-технического обслуживания систем оповещения населения».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В соо</w:t>
      </w:r>
      <w:r>
        <w:rPr>
          <w:sz w:val="28"/>
          <w:szCs w:val="28"/>
        </w:rPr>
        <w:t>тветствии с существующими проектными решениями, РСОН Республики Ингушетия является централизованной системой оповещения, функционирующей с использованием основной и резервной системы доведения сигналов оповещения и речевой информации на основе цифровых кан</w:t>
      </w:r>
      <w:r>
        <w:rPr>
          <w:sz w:val="28"/>
          <w:szCs w:val="28"/>
        </w:rPr>
        <w:t xml:space="preserve">алов связи. В существующей архитектуре верхний уровень регионального сегмента составляют основной и запасной пункты управления (ПУ, ЗПУ РСОН). Ниже по уровню управления в иерархии, на втором уровне управление осуществляется через ПУ МСОН городских округов </w:t>
      </w:r>
      <w:r>
        <w:rPr>
          <w:sz w:val="28"/>
          <w:szCs w:val="28"/>
        </w:rPr>
        <w:t xml:space="preserve">и муниципальных районов в ЕДДС, в количестве 6 объектов. Третий уровень - объектовый, на территории Республики Ингушетия на текущий момент не представлен (количество ЛСО - 0, количество ОПО 1 и 2 классов опасности - 0). </w:t>
      </w:r>
    </w:p>
    <w:p w:rsidR="00D23AD9" w:rsidRDefault="0059075E">
      <w:pPr>
        <w:spacing w:line="276" w:lineRule="auto"/>
        <w:ind w:firstLine="851"/>
        <w:jc w:val="both"/>
      </w:pPr>
      <w:r>
        <w:rPr>
          <w:sz w:val="28"/>
          <w:szCs w:val="28"/>
        </w:rPr>
        <w:t>Недостатком существующего РСОН явля</w:t>
      </w:r>
      <w:r>
        <w:rPr>
          <w:sz w:val="28"/>
          <w:szCs w:val="28"/>
        </w:rPr>
        <w:t>ется недостаточное покрытие территории существующими ТСО. В настоящий момент на территории Республики Ингушетия установлены 83 сиренно-речевых установки РСОН:</w:t>
      </w:r>
    </w:p>
    <w:p w:rsidR="00D23AD9" w:rsidRDefault="0059075E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 2014-2015 установлено 26 СРУ;</w:t>
      </w:r>
    </w:p>
    <w:p w:rsidR="00D23AD9" w:rsidRDefault="0059075E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 2023 установлено 57 СРУ.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Основной пункт управления регионал</w:t>
      </w:r>
      <w:r>
        <w:rPr>
          <w:sz w:val="28"/>
          <w:szCs w:val="28"/>
        </w:rPr>
        <w:t xml:space="preserve">ьного уровня РСОН (ПУ РСОН) расположен по адресу: г. Магас, ул. Д. Мальсагова, 34. 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Комплекс технических средств основного пункта управления регионального уровня (КТС ПУ РСОН) состоят из: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автоматизированного рабочего места (АРМ), оснащенного пультом управления КПАСО-Р «МАРС-АРСЕНАЛ»; 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Сервер сбора данных ЭМЕРСИТ М35;</w:t>
      </w:r>
    </w:p>
    <w:p w:rsidR="00D23AD9" w:rsidRDefault="0059075E">
      <w:pPr>
        <w:pStyle w:val="11"/>
        <w:numPr>
          <w:ilvl w:val="0"/>
          <w:numId w:val="5"/>
        </w:numPr>
        <w:spacing w:line="276" w:lineRule="auto"/>
        <w:ind w:left="284" w:firstLine="927"/>
        <w:rPr>
          <w:sz w:val="28"/>
          <w:szCs w:val="28"/>
        </w:rPr>
      </w:pPr>
      <w:r>
        <w:rPr>
          <w:sz w:val="28"/>
          <w:szCs w:val="28"/>
        </w:rPr>
        <w:t xml:space="preserve">ТКС (Телекоммуникационный сервер "Марс Аларм").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Запасной региональный пункт управления оповещением ЗПУ РСОН расположен по </w:t>
      </w:r>
      <w:r>
        <w:rPr>
          <w:sz w:val="28"/>
          <w:szCs w:val="28"/>
        </w:rPr>
        <w:t>адресу: г. Магас, ул. 65 лет Победы, д. 3.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Комплекс технических средств запасного пункта управления регионального уровня (КТС ЗПУ РСОН) состоят из: </w:t>
      </w:r>
    </w:p>
    <w:p w:rsidR="00D23AD9" w:rsidRDefault="0059075E">
      <w:pPr>
        <w:pStyle w:val="11"/>
        <w:numPr>
          <w:ilvl w:val="0"/>
          <w:numId w:val="5"/>
        </w:numPr>
        <w:tabs>
          <w:tab w:val="left" w:pos="156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автоматизированного рабочего места (АРМ), оснащенного пультом управления КПАСО-Р «МАРС-АРСЕНАЛ»; </w:t>
      </w:r>
    </w:p>
    <w:p w:rsidR="00D23AD9" w:rsidRDefault="0059075E">
      <w:pPr>
        <w:pStyle w:val="11"/>
        <w:numPr>
          <w:ilvl w:val="0"/>
          <w:numId w:val="5"/>
        </w:numPr>
        <w:tabs>
          <w:tab w:val="left" w:pos="156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>ТКС (Те</w:t>
      </w:r>
      <w:r>
        <w:rPr>
          <w:sz w:val="28"/>
          <w:szCs w:val="28"/>
        </w:rPr>
        <w:t>лекоммуникационный сервер "Марс Аларм").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Состав сетевого и коммутационного оборудования ЗПУ РСОН должен рассматриваться в проектных решениях как самостоятельный узел сетевого ввода.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РСОН Республики Ингушетия включает в себя составные элементы системы опове</w:t>
      </w:r>
      <w:r>
        <w:rPr>
          <w:sz w:val="28"/>
          <w:szCs w:val="28"/>
        </w:rPr>
        <w:t>щения населения Республики Ингушетия в виде муниципальных систем оповещения (МСОН), организуемых в муниципальных образованиях региона. Элементы муниципальной системы оповещения создаются на базе ТСО муниципальной автоматизированной системы централизованног</w:t>
      </w:r>
      <w:r>
        <w:rPr>
          <w:sz w:val="28"/>
          <w:szCs w:val="28"/>
        </w:rPr>
        <w:t xml:space="preserve">о оповещения (МСОН). КСЭОН является составной частью РСОН на региональном, муниципальном и объектовом уровнях управления. 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Управление МСОН в муниципальных образованиях Республики Ингушетия предусмотрено в автоматическом режиме с АРМ оперативного дежурного </w:t>
      </w:r>
      <w:r>
        <w:rPr>
          <w:sz w:val="28"/>
          <w:szCs w:val="28"/>
        </w:rPr>
        <w:t xml:space="preserve">(ОД) МСОН в ЕДДС. 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МСОН в ЕДДС МО работает в режиме 24х7 (24 часа в сутки, 7 дней в неделю, 365 дней в году) и обеспечивает оперативное доведение сигналов оповещения и экстренной информации до населения. 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Управление перспективными локальными системами опов</w:t>
      </w:r>
      <w:r>
        <w:rPr>
          <w:sz w:val="28"/>
          <w:szCs w:val="28"/>
        </w:rPr>
        <w:t xml:space="preserve">ещения опасных производственных объектов (ЛСО ОПО), в случае их создания на территории Республики Ингушетия, предусматривается: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 через ОД ДДС ОПО;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 через ОД ЕДДС МО - ПУ МСОН МО;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через ОД ПУ РСОН.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Приоритеты пунктов управления определяются организаци</w:t>
      </w:r>
      <w:r>
        <w:rPr>
          <w:sz w:val="28"/>
          <w:szCs w:val="28"/>
        </w:rPr>
        <w:t xml:space="preserve">онной структурой РСОН и должны устанавливаться программно.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Доведение сигналов оповещения и экстренной информации осуществляется следующими способами: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- с использованием аппаратуры автоматизированной системы оповещения - до руководящего состава ГО Республи</w:t>
      </w:r>
      <w:r>
        <w:rPr>
          <w:sz w:val="28"/>
          <w:szCs w:val="28"/>
        </w:rPr>
        <w:t>ки Ингушетия и ОТП РСЧС, руководителей местного самоуправления муниципальных образований Республики Ингушетия;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- путем централизованного включения электросирен на территории Республики Ингушетия или выборочно в отдельных городах и районах Республики Ингуше</w:t>
      </w:r>
      <w:r>
        <w:rPr>
          <w:sz w:val="28"/>
          <w:szCs w:val="28"/>
        </w:rPr>
        <w:t>тия (сигнал оповещения «Внимание всем!») - до органов управления, сил ГО Республики Ингушетия и ОТП РСЧС, населения Республики Ингушетия;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 путем циркулярного и выборочного доведения речевой информации и сигналов оповещения - до органов управления ГО Респу</w:t>
      </w:r>
      <w:r>
        <w:rPr>
          <w:sz w:val="28"/>
          <w:szCs w:val="28"/>
        </w:rPr>
        <w:t>блики Ингушетия и ОТП РСЧС, единых дежурно-диспетчерских служб муниципальных образований Республики Ингушетия;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- путем автоматического перехвата повседневным пунктом управления Республики Ингушетия теле- и радиосигналов каналов, осуществляющих трансляцию н</w:t>
      </w:r>
      <w:r>
        <w:rPr>
          <w:sz w:val="28"/>
          <w:szCs w:val="28"/>
        </w:rPr>
        <w:t>а территории Республики Ингушетия, для экстренного доведения речевой и видеоинформации до населения Республики Ингушетия.</w:t>
      </w:r>
    </w:p>
    <w:p w:rsidR="00D23AD9" w:rsidRDefault="0059075E">
      <w:pPr>
        <w:pStyle w:val="1"/>
        <w:ind w:firstLine="851"/>
      </w:pPr>
      <w:bookmarkStart w:id="34" w:name="__RefHeading___Toc15884_1778912248"/>
      <w:bookmarkStart w:id="35" w:name="_Toc242096641"/>
      <w:bookmarkEnd w:id="34"/>
      <w:r>
        <w:t>ТРЕБОВАНИЯ К РЕГИОНАЛЬНОЙ СИСТЕМЕ ОПОВЕЩЕНИЯ НАСЕЛЕНИЯ РЕСПУБЛИКИ ИНГУШЕТИЯ</w:t>
      </w:r>
      <w:bookmarkEnd w:id="35"/>
    </w:p>
    <w:p w:rsidR="00D23AD9" w:rsidRDefault="0059075E">
      <w:pPr>
        <w:pStyle w:val="3"/>
        <w:numPr>
          <w:ilvl w:val="1"/>
          <w:numId w:val="1"/>
        </w:numPr>
        <w:ind w:left="851" w:firstLine="851"/>
      </w:pPr>
      <w:bookmarkStart w:id="36" w:name="__RefHeading___Toc15886_1778912248"/>
      <w:bookmarkStart w:id="37" w:name="_Toc242096642"/>
      <w:bookmarkEnd w:id="36"/>
      <w:r>
        <w:t>Требования к системе в целом</w:t>
      </w:r>
      <w:bookmarkEnd w:id="37"/>
    </w:p>
    <w:p w:rsidR="00D23AD9" w:rsidRDefault="0059075E">
      <w:pPr>
        <w:pStyle w:val="3"/>
      </w:pPr>
      <w:bookmarkStart w:id="38" w:name="__RefHeading___Toc15888_1778912248"/>
      <w:bookmarkStart w:id="39" w:name="_Toc991001"/>
      <w:bookmarkEnd w:id="38"/>
      <w:r>
        <w:t xml:space="preserve">Требования к развитию </w:t>
      </w:r>
      <w:r>
        <w:t>структуры и функционирования системы</w:t>
      </w:r>
      <w:bookmarkEnd w:id="39"/>
    </w:p>
    <w:p w:rsidR="00D23AD9" w:rsidRDefault="0059075E">
      <w:pPr>
        <w:pStyle w:val="11"/>
        <w:keepNext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проектных решениях по развитию РСОН Республики Ингушетия должны быть предусмотрено: </w:t>
      </w:r>
    </w:p>
    <w:p w:rsidR="00D23AD9" w:rsidRDefault="0059075E">
      <w:pPr>
        <w:pStyle w:val="11"/>
        <w:numPr>
          <w:ilvl w:val="0"/>
          <w:numId w:val="21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внедрение современных программных и технических средств, обеспечивающих развитие возможностей существующей РСОН Республики Ингушетия</w:t>
      </w:r>
      <w:r>
        <w:rPr>
          <w:sz w:val="28"/>
          <w:szCs w:val="28"/>
        </w:rPr>
        <w:t>;</w:t>
      </w:r>
    </w:p>
    <w:p w:rsidR="00D23AD9" w:rsidRDefault="0059075E">
      <w:pPr>
        <w:pStyle w:val="11"/>
        <w:numPr>
          <w:ilvl w:val="0"/>
          <w:numId w:val="21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импортозамещение путем внедрения отечественного общесистемного и специализированного программного обеспечения с помощью надежных, эффективных и управляемых технических решений;</w:t>
      </w:r>
    </w:p>
    <w:p w:rsidR="00D23AD9" w:rsidRDefault="0059075E">
      <w:pPr>
        <w:pStyle w:val="11"/>
        <w:numPr>
          <w:ilvl w:val="0"/>
          <w:numId w:val="21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увеличение количества пунктов оповещения и повышение охвата техническими сред</w:t>
      </w:r>
      <w:r>
        <w:rPr>
          <w:sz w:val="28"/>
          <w:szCs w:val="28"/>
        </w:rPr>
        <w:t>ствами оповещения населения Республики Ингушетия;</w:t>
      </w:r>
    </w:p>
    <w:p w:rsidR="00D23AD9" w:rsidRDefault="0059075E">
      <w:pPr>
        <w:pStyle w:val="11"/>
        <w:numPr>
          <w:ilvl w:val="0"/>
          <w:numId w:val="21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сопряжение ПУ и ЗПУ РСОН Республики Ингушетия с ранее введенными на территории Республики Ингушетия в эксплуатацию МСОН и локальными системами оповещения ОПО;</w:t>
      </w:r>
    </w:p>
    <w:p w:rsidR="00D23AD9" w:rsidRDefault="0059075E">
      <w:pPr>
        <w:pStyle w:val="11"/>
        <w:numPr>
          <w:ilvl w:val="0"/>
          <w:numId w:val="21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сопряжение ЗПУ с техническими средствами оконеч</w:t>
      </w:r>
      <w:r>
        <w:rPr>
          <w:sz w:val="28"/>
          <w:szCs w:val="28"/>
        </w:rPr>
        <w:t>ных устройств РСОН Республики Ингушетия;</w:t>
      </w:r>
    </w:p>
    <w:p w:rsidR="00D23AD9" w:rsidRDefault="0059075E">
      <w:pPr>
        <w:pStyle w:val="11"/>
        <w:keepNext/>
        <w:spacing w:line="276" w:lineRule="auto"/>
      </w:pPr>
      <w:r>
        <w:rPr>
          <w:sz w:val="28"/>
          <w:szCs w:val="28"/>
        </w:rPr>
        <w:t>Проектные решения для РСОН следует разрабатывать с учетом существующих у Заказчика СРУ, установленных ранее, и функционирующих в настоящий момент.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Общие требования к техническим средствам оповещения должны соответст</w:t>
      </w:r>
      <w:r>
        <w:rPr>
          <w:sz w:val="28"/>
          <w:szCs w:val="28"/>
        </w:rPr>
        <w:t>вовать ГОСТ Р 42.3.01-2021 «Гражданская оборона. Технические средства оповещения населения. Классификация. Общие технические требования».</w:t>
      </w:r>
    </w:p>
    <w:p w:rsidR="00D23AD9" w:rsidRDefault="0059075E">
      <w:pPr>
        <w:pStyle w:val="3"/>
        <w:ind w:left="0" w:firstLine="709"/>
      </w:pPr>
      <w:bookmarkStart w:id="40" w:name="__RefHeading___Toc15890_1778912248"/>
      <w:bookmarkStart w:id="41" w:name="_Toc991002"/>
      <w:bookmarkEnd w:id="40"/>
      <w:r>
        <w:t xml:space="preserve"> Требования к функциям, выполняемым РСОН Республики Ингушетия</w:t>
      </w:r>
      <w:bookmarkEnd w:id="41"/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РСОН Республики Ингушетия должна обеспечивать выполнение</w:t>
      </w:r>
      <w:r>
        <w:rPr>
          <w:sz w:val="28"/>
          <w:szCs w:val="28"/>
        </w:rPr>
        <w:t xml:space="preserve"> следующих функций: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а) прием сигналов оповещения и экстренной информации от систем оповещения населения вышестоящего уровня;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включение (запуск) не менее чем с двух пунктов управления ГО и РСЧС для региональных систем оповещения, не менее чем с трех пун</w:t>
      </w:r>
      <w:r>
        <w:rPr>
          <w:sz w:val="28"/>
          <w:szCs w:val="28"/>
        </w:rPr>
        <w:t xml:space="preserve">ктов управления (ПУ, ЗПУ и муниципального) для муниципальных, и не менее чем с четырех (ПУ, ЗПУ, муниципального и пункта управления ДДС ОПО) для локальных систем оповещения;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взаимное автоматическое (автоматизированное) уведомление пунктов управления ГО</w:t>
      </w:r>
      <w:r>
        <w:rPr>
          <w:sz w:val="28"/>
          <w:szCs w:val="28"/>
        </w:rPr>
        <w:t xml:space="preserve"> и РСЧС одного уровня о задействовании системы оповещения населения;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г) автономное (децентрализованное) управление муниципальными, локальными системами оповещения и КСЭОН;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д) автоматический, автоматизированный и ручной режимы запуска системы оповещения н</w:t>
      </w:r>
      <w:r>
        <w:rPr>
          <w:sz w:val="28"/>
          <w:szCs w:val="28"/>
        </w:rPr>
        <w:t xml:space="preserve">аселения;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е) обмен информацией со взаимодействующими системами, в том числе мониторинга природных и техногенных чрезвычайных ситуаций в автоматическом, автоматизированном и ручном режимах;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ж) подготовка и хранение аудио-, аудиовизуальных и буквенно-цифро</w:t>
      </w:r>
      <w:r>
        <w:rPr>
          <w:sz w:val="28"/>
          <w:szCs w:val="28"/>
        </w:rPr>
        <w:t xml:space="preserve">вых сообщений, программ оповещения, вариантов (сценариев) и режимов запуска систем оповещения населения и технических средств оповещения;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з) формирование, передача сигналов оповещения и экстренной информации, аудио-, аудиовизуальных и буквенно-цифровых со</w:t>
      </w:r>
      <w:r>
        <w:rPr>
          <w:sz w:val="28"/>
          <w:szCs w:val="28"/>
        </w:rPr>
        <w:t xml:space="preserve">общений; 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и) передача и сбор автоматических и ручных подтверждений о приеме сигнала оповещения и экстренной информации;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к) двухсторонний обмен аудио-, аудиовизуальными и буквенно-цифровыми сообщениями;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л) установка вида сигнала (оповещения, управления, дру</w:t>
      </w:r>
      <w:r>
        <w:rPr>
          <w:sz w:val="28"/>
          <w:szCs w:val="28"/>
        </w:rPr>
        <w:t>гой) и типа сигнала (основной, проверочный);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м) оперативный ввод сигнала оповещения и экстренной информации или редактирование ранее записанного сигнала оповещения и экстренной информации;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н) дистанционное управление оконечными средствами оповещения населения, должностных лиц, органов управления и сил ГО и РСЧС; 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о) приостановка или отмена выполнения сеанса (сценария) оповещения по команде;</w:t>
      </w:r>
    </w:p>
    <w:p w:rsidR="00D23AD9" w:rsidRDefault="0059075E">
      <w:pPr>
        <w:pStyle w:val="11"/>
        <w:keepNext/>
        <w:spacing w:line="276" w:lineRule="auto"/>
      </w:pPr>
      <w:r>
        <w:rPr>
          <w:sz w:val="28"/>
          <w:szCs w:val="28"/>
        </w:rPr>
        <w:t xml:space="preserve">п) контроль и визуализация хода оповещения в </w:t>
      </w:r>
      <w:r>
        <w:rPr>
          <w:sz w:val="28"/>
          <w:szCs w:val="28"/>
        </w:rPr>
        <w:t>реальном времени с отображением списка оповещаемых объектов, типа сигнала оповещения, состояния оповещения, результирующего времени оповещения для каждого объекта, а также каналов, по которым проведено оповещение;</w:t>
      </w:r>
    </w:p>
    <w:p w:rsidR="00D23AD9" w:rsidRDefault="0059075E">
      <w:pPr>
        <w:pStyle w:val="11"/>
        <w:keepNext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р) приоритет передачи сигналов оповещения </w:t>
      </w:r>
      <w:r>
        <w:rPr>
          <w:sz w:val="28"/>
          <w:szCs w:val="28"/>
        </w:rPr>
        <w:t>вышестоящего уровня по отношению к нижестоящему;</w:t>
      </w:r>
    </w:p>
    <w:p w:rsidR="00D23AD9" w:rsidRDefault="0059075E">
      <w:pPr>
        <w:pStyle w:val="11"/>
        <w:keepNext/>
        <w:spacing w:line="276" w:lineRule="auto"/>
      </w:pPr>
      <w:r>
        <w:rPr>
          <w:sz w:val="28"/>
          <w:szCs w:val="28"/>
        </w:rPr>
        <w:t>с) контроль и визуализация состояния технических средств оповещения и каналов связи;</w:t>
      </w:r>
    </w:p>
    <w:p w:rsidR="00D23AD9" w:rsidRDefault="0059075E">
      <w:pPr>
        <w:pStyle w:val="11"/>
        <w:keepNext/>
        <w:spacing w:line="276" w:lineRule="auto"/>
        <w:rPr>
          <w:sz w:val="28"/>
          <w:szCs w:val="28"/>
          <w:highlight w:val="yellow"/>
        </w:rPr>
      </w:pPr>
      <w:r>
        <w:rPr>
          <w:sz w:val="28"/>
          <w:szCs w:val="28"/>
        </w:rPr>
        <w:t>т) защита от несанкционированного доступа;</w:t>
      </w:r>
    </w:p>
    <w:p w:rsidR="00D23AD9" w:rsidRDefault="0059075E">
      <w:pPr>
        <w:pStyle w:val="11"/>
        <w:keepNext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у) документирование выполнения техническими средствами оповещения действий (про</w:t>
      </w:r>
      <w:r>
        <w:rPr>
          <w:sz w:val="28"/>
          <w:szCs w:val="28"/>
        </w:rPr>
        <w:t>цессов, функций, алгоритмов) в ходе оповещения населения (проверки системы оповещения населения) на бумажном и электронном (USB-накопитель, жесткий диск, оптический диск) носителях;</w:t>
      </w:r>
    </w:p>
    <w:p w:rsidR="00D23AD9" w:rsidRDefault="0059075E">
      <w:pPr>
        <w:pStyle w:val="11"/>
        <w:keepNext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ф) обеспечение передачи сигналов оповещения и экстренной информации по сет</w:t>
      </w:r>
      <w:r>
        <w:rPr>
          <w:sz w:val="28"/>
          <w:szCs w:val="28"/>
        </w:rPr>
        <w:t>ям операторов связи для целей кабельного и (или) эфирного телевизионного вещания и (или) радиовещания, а также проводного радиовещания путем подключения к таким сетям региональной системы оповещения населения.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Порядок хранения информации документирования о</w:t>
      </w:r>
      <w:r>
        <w:rPr>
          <w:sz w:val="28"/>
          <w:szCs w:val="28"/>
        </w:rPr>
        <w:t>пределяется положениями о региональных, муниципальных и локальных системах оповещения. Срок хранения информации документирования соответствует срокам эксплуатации технических средств оповещения РСОН, но не менее пяти лет. Формат сохраняемой информации доку</w:t>
      </w:r>
      <w:r>
        <w:rPr>
          <w:sz w:val="28"/>
          <w:szCs w:val="28"/>
        </w:rPr>
        <w:t>ментирования определяется применяемыми в системе оповещения населения техническими средствами оповещения.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РСОН Республики Ингушетия должна обеспечивать круглосуточное функционирование и постоянную готовность к применению по предназначению во всех режимах ф</w:t>
      </w:r>
      <w:r>
        <w:rPr>
          <w:sz w:val="28"/>
          <w:szCs w:val="28"/>
        </w:rPr>
        <w:t>ункционирования РСЧС.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РСОН Республики Ингушетия должна обеспечивать гарантированное и достоверное доведение сигналов оповещения и экстренной информации до населения Республики Ингушетия.</w:t>
      </w:r>
    </w:p>
    <w:p w:rsidR="00D23AD9" w:rsidRDefault="0059075E">
      <w:pPr>
        <w:pStyle w:val="3"/>
      </w:pPr>
      <w:bookmarkStart w:id="42" w:name="__RefHeading___Toc15892_1778912248"/>
      <w:bookmarkStart w:id="43" w:name="_Toc991003"/>
      <w:bookmarkEnd w:id="42"/>
      <w:r>
        <w:t>Требования к информационному обмену между компонентами системы</w:t>
      </w:r>
      <w:bookmarkEnd w:id="43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Все ко</w:t>
      </w:r>
      <w:r>
        <w:rPr>
          <w:sz w:val="28"/>
          <w:szCs w:val="28"/>
        </w:rPr>
        <w:t>мпоненты РСОН Республики Ингушетия должны программно и технически сопрягаться.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Сопряжение подсистем РСОН Республики Ингушетия должно обеспечиваться применением единого протокола обмена информацией либо, с помощью устройств сопряжения. Технические решения п</w:t>
      </w:r>
      <w:r>
        <w:rPr>
          <w:sz w:val="28"/>
          <w:szCs w:val="28"/>
        </w:rPr>
        <w:t xml:space="preserve">о устройствам сопряжения и протоколам обмена информацией должны быть выбраны на стадии проектирования мероприятий по реконструкции. </w:t>
      </w:r>
    </w:p>
    <w:p w:rsidR="00D23AD9" w:rsidRDefault="00D23AD9">
      <w:pPr>
        <w:pStyle w:val="3"/>
        <w:numPr>
          <w:ilvl w:val="0"/>
          <w:numId w:val="0"/>
        </w:numPr>
        <w:ind w:left="851"/>
      </w:pPr>
    </w:p>
    <w:p w:rsidR="00D23AD9" w:rsidRDefault="0059075E">
      <w:pPr>
        <w:pStyle w:val="3"/>
        <w:numPr>
          <w:ilvl w:val="1"/>
          <w:numId w:val="1"/>
        </w:numPr>
        <w:ind w:left="851" w:firstLine="851"/>
      </w:pPr>
      <w:bookmarkStart w:id="44" w:name="__RefHeading___Toc15894_1778912248"/>
      <w:bookmarkStart w:id="45" w:name="_Toc242096643"/>
      <w:bookmarkStart w:id="46" w:name="_Toc991004"/>
      <w:bookmarkEnd w:id="44"/>
      <w:r>
        <w:t>Показатели назначения</w:t>
      </w:r>
      <w:bookmarkEnd w:id="45"/>
      <w:bookmarkEnd w:id="46"/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Время доведения сигнала и экстренной информации до населения в автоматизированном режиме функциониро</w:t>
      </w:r>
      <w:r>
        <w:rPr>
          <w:sz w:val="28"/>
          <w:szCs w:val="28"/>
        </w:rPr>
        <w:t>вания не должно превышать 5 мин.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При автоматическом режиме функционирования время прохождения сигналов оповещения и экстренной информации:</w:t>
      </w:r>
    </w:p>
    <w:p w:rsidR="00D23AD9" w:rsidRDefault="0059075E">
      <w:pPr>
        <w:pStyle w:val="11"/>
        <w:numPr>
          <w:ilvl w:val="0"/>
          <w:numId w:val="20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на региональном уровне - не более 12 сек.;</w:t>
      </w:r>
    </w:p>
    <w:p w:rsidR="00D23AD9" w:rsidRDefault="0059075E">
      <w:pPr>
        <w:pStyle w:val="11"/>
        <w:numPr>
          <w:ilvl w:val="0"/>
          <w:numId w:val="20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на муниципальном и объектовом уровне - не более 8 сек.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Включение электриче</w:t>
      </w:r>
      <w:r>
        <w:rPr>
          <w:sz w:val="28"/>
          <w:szCs w:val="28"/>
        </w:rPr>
        <w:t>ских, электронных сирен и акустических систем для передачи сигнала оповещения "ВНИМАНИЕ ВСЕМ!" должно сопровождаться их звучанием изменяющихся тональности (от 300 Гц до 600 Гц) и амплитуды звучания (от минимума до максимума). Во всех точках зоны адекватной</w:t>
      </w:r>
      <w:r>
        <w:rPr>
          <w:sz w:val="28"/>
          <w:szCs w:val="28"/>
        </w:rPr>
        <w:t xml:space="preserve"> идентификации сигнала оповещения (речевого сигнала оповещения) уровень звука, поступающий от какого-либо одного из оконечных устройств коллективного оповещения (электрических, электронных сирен и мощных акустических систем), рассчитываемый для высоты 1,5 </w:t>
      </w:r>
      <w:r>
        <w:rPr>
          <w:sz w:val="28"/>
          <w:szCs w:val="28"/>
        </w:rPr>
        <w:t>м над уровнем земли (поверхности пола), должен превышать не менее чем на 15 дБА суперпозицию звуковых сигналов, поступающих от других оконечных устройств коллективного оповещения, и постоянного шума, определяемого функциональным назначением данной зоны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Диа</w:t>
      </w:r>
      <w:r>
        <w:rPr>
          <w:sz w:val="28"/>
          <w:szCs w:val="28"/>
        </w:rPr>
        <w:t>гностирование состояния технических средств оповещения в системе оповещения населения, в том числе каналов управления, должно обеспечиваться:</w:t>
      </w:r>
    </w:p>
    <w:p w:rsidR="00D23AD9" w:rsidRDefault="0059075E">
      <w:pPr>
        <w:pStyle w:val="11"/>
        <w:numPr>
          <w:ilvl w:val="0"/>
          <w:numId w:val="6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автоматическим контролем состояния с использованием встроенных программно-аппаратных средств - не реже одного раза</w:t>
      </w:r>
      <w:r>
        <w:rPr>
          <w:sz w:val="28"/>
          <w:szCs w:val="28"/>
        </w:rPr>
        <w:t xml:space="preserve"> в 30 мин.;</w:t>
      </w:r>
    </w:p>
    <w:p w:rsidR="00D23AD9" w:rsidRDefault="0059075E">
      <w:pPr>
        <w:pStyle w:val="11"/>
        <w:numPr>
          <w:ilvl w:val="0"/>
          <w:numId w:val="6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передачей контрольных (тестовых) сообщений как циркулярно по всей системе оповещения населения, так и выборочно, по установленному графику, но не реже одного раза в сутки.</w:t>
      </w:r>
    </w:p>
    <w:p w:rsidR="00D23AD9" w:rsidRDefault="00D23AD9">
      <w:pPr>
        <w:pStyle w:val="11"/>
        <w:spacing w:line="276" w:lineRule="auto"/>
        <w:ind w:left="851" w:firstLine="0"/>
        <w:rPr>
          <w:sz w:val="28"/>
          <w:szCs w:val="28"/>
        </w:rPr>
      </w:pPr>
    </w:p>
    <w:p w:rsidR="00D23AD9" w:rsidRDefault="0059075E">
      <w:pPr>
        <w:pStyle w:val="3"/>
        <w:numPr>
          <w:ilvl w:val="1"/>
          <w:numId w:val="1"/>
        </w:numPr>
        <w:ind w:left="851" w:firstLine="851"/>
      </w:pPr>
      <w:bookmarkStart w:id="47" w:name="__RefHeading___Toc15896_1778912248"/>
      <w:bookmarkStart w:id="48" w:name="_Toc242096644"/>
      <w:bookmarkEnd w:id="47"/>
      <w:r>
        <w:t>Требования к надежности</w:t>
      </w:r>
      <w:bookmarkEnd w:id="48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Надежность (коэффициент готовности одного напра</w:t>
      </w:r>
      <w:r>
        <w:rPr>
          <w:sz w:val="28"/>
          <w:szCs w:val="28"/>
        </w:rPr>
        <w:t>вления оповещения):</w:t>
      </w:r>
    </w:p>
    <w:p w:rsidR="00D23AD9" w:rsidRDefault="0059075E">
      <w:pPr>
        <w:pStyle w:val="11"/>
        <w:numPr>
          <w:ilvl w:val="0"/>
          <w:numId w:val="2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для объектового и муниципального уровней - Кг не менее 0,995;</w:t>
      </w:r>
    </w:p>
    <w:p w:rsidR="00D23AD9" w:rsidRDefault="0059075E">
      <w:pPr>
        <w:pStyle w:val="11"/>
        <w:numPr>
          <w:ilvl w:val="0"/>
          <w:numId w:val="2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для регионального уровня - Кг не менее 0,999.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Живучесть (вероятность живучести одного направления оповещения):</w:t>
      </w:r>
    </w:p>
    <w:p w:rsidR="00D23AD9" w:rsidRDefault="0059075E">
      <w:pPr>
        <w:pStyle w:val="11"/>
        <w:numPr>
          <w:ilvl w:val="0"/>
          <w:numId w:val="13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для объектового и муниципального уровня - Рж не менее 0,95;</w:t>
      </w:r>
    </w:p>
    <w:p w:rsidR="00D23AD9" w:rsidRDefault="0059075E">
      <w:pPr>
        <w:pStyle w:val="11"/>
        <w:numPr>
          <w:ilvl w:val="0"/>
          <w:numId w:val="13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для</w:t>
      </w:r>
      <w:r>
        <w:rPr>
          <w:sz w:val="28"/>
          <w:szCs w:val="28"/>
        </w:rPr>
        <w:t xml:space="preserve"> регионального уровня - Рж не менее 0,99.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Требования по надежности технических средств оповещения должны соответствовать требованиям ГОСТ Р 42.3.01-2021:</w:t>
      </w:r>
    </w:p>
    <w:p w:rsidR="00D23AD9" w:rsidRDefault="0059075E">
      <w:pPr>
        <w:pStyle w:val="11"/>
        <w:numPr>
          <w:ilvl w:val="0"/>
          <w:numId w:val="2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наработка на отказ должна составлять не менее 30000 ч;</w:t>
      </w:r>
    </w:p>
    <w:p w:rsidR="00D23AD9" w:rsidRDefault="0059075E">
      <w:pPr>
        <w:pStyle w:val="11"/>
        <w:numPr>
          <w:ilvl w:val="0"/>
          <w:numId w:val="2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срок службы до списания - не менее 12 лет;</w:t>
      </w:r>
    </w:p>
    <w:p w:rsidR="00D23AD9" w:rsidRDefault="0059075E">
      <w:pPr>
        <w:pStyle w:val="11"/>
        <w:numPr>
          <w:ilvl w:val="0"/>
          <w:numId w:val="22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рес</w:t>
      </w:r>
      <w:r>
        <w:rPr>
          <w:sz w:val="28"/>
          <w:szCs w:val="28"/>
        </w:rPr>
        <w:t>урс составных частей технических средств оповещения населения до первого капитального ремонта - не менее 25000 ч.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РСОН Республики Ингушетия должна:</w:t>
      </w:r>
    </w:p>
    <w:p w:rsidR="00D23AD9" w:rsidRDefault="0059075E">
      <w:pPr>
        <w:pStyle w:val="11"/>
        <w:numPr>
          <w:ilvl w:val="0"/>
          <w:numId w:val="8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находиться в постоянной готовности к использованию по назначению;</w:t>
      </w:r>
    </w:p>
    <w:p w:rsidR="00D23AD9" w:rsidRDefault="0059075E">
      <w:pPr>
        <w:pStyle w:val="11"/>
        <w:numPr>
          <w:ilvl w:val="0"/>
          <w:numId w:val="8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обеспечивать круглосуточный режим работы;</w:t>
      </w:r>
    </w:p>
    <w:p w:rsidR="00D23AD9" w:rsidRDefault="0059075E">
      <w:pPr>
        <w:pStyle w:val="11"/>
        <w:numPr>
          <w:ilvl w:val="0"/>
          <w:numId w:val="8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иметь разработанный алгоритм (перечень регламентных мероприятий, наименование и расчет необходимой потребности расходных материалов, специальных технических жидкостей, смазок), обеспечивающий безотказную эксплуатацию комплекса средств оповещения;</w:t>
      </w:r>
    </w:p>
    <w:p w:rsidR="00D23AD9" w:rsidRDefault="0059075E">
      <w:pPr>
        <w:pStyle w:val="11"/>
        <w:numPr>
          <w:ilvl w:val="0"/>
          <w:numId w:val="8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иметь </w:t>
      </w:r>
      <w:r>
        <w:rPr>
          <w:sz w:val="28"/>
          <w:szCs w:val="28"/>
        </w:rPr>
        <w:t>необходимый запас ЗИП для технического обслуживания и текущего ремонта компонентов системы;</w:t>
      </w:r>
    </w:p>
    <w:p w:rsidR="00D23AD9" w:rsidRDefault="0059075E">
      <w:pPr>
        <w:pStyle w:val="11"/>
        <w:numPr>
          <w:ilvl w:val="0"/>
          <w:numId w:val="8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иметь необходимый резерв технических средств оповещения в соответствии с Методическими рекомендациями по поддержанию в состоянии постоянной готовности к использован</w:t>
      </w:r>
      <w:r>
        <w:rPr>
          <w:sz w:val="28"/>
          <w:szCs w:val="28"/>
        </w:rPr>
        <w:t>ию систем оповещения населения, утвержденных протоколом заседания рабочей группы 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</w:t>
      </w:r>
      <w:r>
        <w:rPr>
          <w:sz w:val="28"/>
          <w:szCs w:val="28"/>
        </w:rPr>
        <w:t>ти систем оповещения населения от 26.06.2024 г. № 2.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Предусмотреть проектом мероприятия по реализации технического обслуживания в соответствии с приказом МЧС от 31 июля 2020 г. № 579/366 «Об утверждении Положения по организации эксплуатационно-технического</w:t>
      </w:r>
      <w:r>
        <w:rPr>
          <w:sz w:val="28"/>
          <w:szCs w:val="28"/>
        </w:rPr>
        <w:t xml:space="preserve"> обслуживания систем оповещения населения».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Гарантийный срок эксплуатации от производителя оборудования, используемого в комплексе технических средств РСОН Республики Ингушетия, должен составлять не менее 12 месяцев, с момента подписания акта о приемке вып</w:t>
      </w:r>
      <w:r>
        <w:rPr>
          <w:sz w:val="28"/>
          <w:szCs w:val="28"/>
        </w:rPr>
        <w:t>олненных работ, но не более 18 месяцев с момента изготовления оборудования.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Полный срок эксплуатации проектируемого комплекса технических средств системы оповещения должен составлять не менее 12 лет.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В целях обеспечения надежности, внедряемые при развитии </w:t>
      </w:r>
      <w:r>
        <w:rPr>
          <w:sz w:val="28"/>
          <w:szCs w:val="28"/>
        </w:rPr>
        <w:t>программно-технические средства оповещения должны обеспечивать полную программную и аппаратную совместимость с Комплексом программно-технических средств автоматизированной системы оповещения для обеспечения обмена информацией, избирательного запуска и мони</w:t>
      </w:r>
      <w:r>
        <w:rPr>
          <w:sz w:val="28"/>
          <w:szCs w:val="28"/>
        </w:rPr>
        <w:t>торинга состояния устанавливаемых технических средств оповещения, сохранения организационной и функциональной структуры РСОН Республики Ингушетия.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Сбои и отказы отдельных системных компонентов не должны оказывать влияния на управление с РСОН Республики Инг</w:t>
      </w:r>
      <w:r>
        <w:rPr>
          <w:sz w:val="28"/>
          <w:szCs w:val="28"/>
        </w:rPr>
        <w:t>ушетия в целом. Отказ отдельных рабочих мест не должен приводить к снижению производительности РСОН Республики Ингушетия.</w:t>
      </w:r>
    </w:p>
    <w:p w:rsidR="00D23AD9" w:rsidRDefault="00D23AD9">
      <w:pPr>
        <w:pStyle w:val="11"/>
        <w:spacing w:line="276" w:lineRule="auto"/>
        <w:rPr>
          <w:sz w:val="28"/>
          <w:szCs w:val="28"/>
        </w:rPr>
      </w:pPr>
    </w:p>
    <w:p w:rsidR="00D23AD9" w:rsidRDefault="0059075E">
      <w:pPr>
        <w:pStyle w:val="3"/>
        <w:numPr>
          <w:ilvl w:val="1"/>
          <w:numId w:val="1"/>
        </w:numPr>
        <w:ind w:left="851" w:firstLine="851"/>
      </w:pPr>
      <w:bookmarkStart w:id="49" w:name="__RefHeading___Toc15898_1778912248"/>
      <w:bookmarkStart w:id="50" w:name="_Toc242096645"/>
      <w:bookmarkEnd w:id="49"/>
      <w:r>
        <w:t>Требования к сохранности информации при потере питания и отказе составных частей</w:t>
      </w:r>
      <w:bookmarkEnd w:id="50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В целях обеспечения устойчивого функционирования РСО</w:t>
      </w:r>
      <w:r>
        <w:rPr>
          <w:sz w:val="28"/>
          <w:szCs w:val="28"/>
        </w:rPr>
        <w:t>Н в проектно-технической документации необходимо предусмотреть:</w:t>
      </w:r>
    </w:p>
    <w:p w:rsidR="00D23AD9" w:rsidRDefault="0059075E">
      <w:pPr>
        <w:pStyle w:val="11"/>
        <w:numPr>
          <w:ilvl w:val="0"/>
          <w:numId w:val="19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комплектацию системы оповещения ЗИП;</w:t>
      </w:r>
    </w:p>
    <w:p w:rsidR="00D23AD9" w:rsidRDefault="0059075E">
      <w:pPr>
        <w:pStyle w:val="11"/>
        <w:numPr>
          <w:ilvl w:val="0"/>
          <w:numId w:val="19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бесперебойное электропитание;</w:t>
      </w:r>
    </w:p>
    <w:p w:rsidR="00D23AD9" w:rsidRDefault="0059075E">
      <w:pPr>
        <w:pStyle w:val="11"/>
        <w:numPr>
          <w:ilvl w:val="0"/>
          <w:numId w:val="19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сигнализацию неисправности составных частей системы оповещения на пункты управления системой оповещения своего уровня;</w:t>
      </w:r>
    </w:p>
    <w:p w:rsidR="00D23AD9" w:rsidRDefault="0059075E">
      <w:pPr>
        <w:pStyle w:val="11"/>
        <w:numPr>
          <w:ilvl w:val="0"/>
          <w:numId w:val="19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обеспечение защиты от несанкционированного запуска аппаратуры;</w:t>
      </w:r>
    </w:p>
    <w:p w:rsidR="00D23AD9" w:rsidRDefault="0059075E">
      <w:pPr>
        <w:pStyle w:val="11"/>
        <w:numPr>
          <w:ilvl w:val="0"/>
          <w:numId w:val="19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программно-аппаратное сопряжение комплексов технических средств оповещения, используемых в составе Республики Ингушетия.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Проектные решения по сохранности информации при потере питания и отказе </w:t>
      </w:r>
      <w:r>
        <w:rPr>
          <w:sz w:val="28"/>
          <w:szCs w:val="28"/>
        </w:rPr>
        <w:t>составных частей рекомендуется основывать на использовании уже введенных в эксплуатацию технических средствах, установленных в пунктах управления.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Работоспособность ТСО при отключении централизованного энергоснабжения не менее 6 ч в режиме ожидания и не ме</w:t>
      </w:r>
      <w:r>
        <w:rPr>
          <w:sz w:val="28"/>
          <w:szCs w:val="28"/>
        </w:rPr>
        <w:t>нее 1 ч в рабочем режиме за исключением устройств запуска электросирен и самих электросирен должна обеспечиваться системой гарантированного электропитания объекта размещения ТСО. При невозможности организации системы гарантированного электропитания объек</w:t>
      </w:r>
      <w:r>
        <w:rPr>
          <w:sz w:val="28"/>
          <w:szCs w:val="28"/>
        </w:rPr>
        <w:softHyphen/>
        <w:t>т</w:t>
      </w:r>
      <w:r>
        <w:rPr>
          <w:sz w:val="28"/>
          <w:szCs w:val="28"/>
        </w:rPr>
        <w:t>а допускается использование собственного источника резервного электропитания ТСО или внешнего, предусмотренного проектным решением.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Электропитание и заземление аппаратуры комплекса технических средств системы оповещения предусмотреть от существующих источн</w:t>
      </w:r>
      <w:r>
        <w:rPr>
          <w:sz w:val="28"/>
          <w:szCs w:val="28"/>
        </w:rPr>
        <w:t>иков промышленного электропитания напряжением 230 (220) В (400 (380) В - для электросирен) 50 Гц и существующих систем заземления.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В местах установки аппаратуры оповещения, где отсутствует гарантированное электропитание, должна быть предусмотрена установка</w:t>
      </w:r>
      <w:r>
        <w:rPr>
          <w:sz w:val="28"/>
          <w:szCs w:val="28"/>
        </w:rPr>
        <w:t xml:space="preserve"> источников бесперебойного питания.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Технические средства оповещения населения должны обеспечивать сохранение работоспособности при отключении централизованного энергоснабжения не менее 6 ч в дежурном режиме ожидания и не менее 1 ч в режиме передачи сигнало</w:t>
      </w:r>
      <w:r>
        <w:rPr>
          <w:sz w:val="28"/>
          <w:szCs w:val="28"/>
        </w:rPr>
        <w:t>в и информации оповещения.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Все технические средства должны иметь защитное заземление в соответствии с ГОСТ 12.1.030-81.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Система должна восстанавливать свое функционирование при корректном перезапуске аппаратных средств. Должна быть предусмотрена возможност</w:t>
      </w:r>
      <w:r>
        <w:rPr>
          <w:sz w:val="28"/>
          <w:szCs w:val="28"/>
        </w:rPr>
        <w:t>ь организации автоматического и (или) ручного резервного копирования данных Системы, в том числе средствами СУБД.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В целях обеспечения надежного функционирования, а также возможности восстановления данных после аварий программное обеспечение РСОН Республики</w:t>
      </w:r>
      <w:r>
        <w:rPr>
          <w:sz w:val="28"/>
          <w:szCs w:val="28"/>
        </w:rPr>
        <w:t xml:space="preserve"> Ингушетия должно предусматривать: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 контроль целостности данных на уровне СУБД;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- сохранение целостности данных при нештатном завершении программы в случае отказа рабочей станции;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сохранение работоспособности программного обеспечения при некорректных </w:t>
      </w:r>
      <w:r>
        <w:rPr>
          <w:sz w:val="28"/>
          <w:szCs w:val="28"/>
        </w:rPr>
        <w:t>действиях пользователя;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- резервное копирование информации на внешние электронные носители с возможностью оперативного восстановления.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Резервные копии данных системы не должны храниться в том же помещении, а котором расположены аппаратные средства системы.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Резервное копирование должно производиться согласно установленному графику резервного копирования.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Расписание и технические возможности средств резервного копирования информации должны обеспечивать глубину хранения не менее одного месяца с возможностью во</w:t>
      </w:r>
      <w:r>
        <w:rPr>
          <w:sz w:val="28"/>
          <w:szCs w:val="28"/>
        </w:rPr>
        <w:t>сстановления данных за любой день этого периода.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Программное обеспечение РСОН Республики Ингушетия должно быть свободным от возможности предъявления основанных на промышленной, интеллектуальной или другой собственности любых прав и притязаний третьих лиц.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Программные изделия (компоненты РСОН Республики Ингушетия) должны обладать патентной чистотой на территории России.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Должны соблюдаться положения нормативных правовых актов РФ по соблюдению авторских прав и защиты специальных знаков.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Программное обеспечение</w:t>
      </w:r>
      <w:r>
        <w:rPr>
          <w:sz w:val="28"/>
          <w:szCs w:val="28"/>
        </w:rPr>
        <w:t xml:space="preserve"> и алгоритмы, разработанные в соответствии с требованиями настоящего документа, не должны являться предметом претензий о нарушении патентного права любой третьей стороны.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Программно-технические средства, приобретаемые у сторонних фирм и предприятий, должны</w:t>
      </w:r>
      <w:r>
        <w:rPr>
          <w:sz w:val="28"/>
          <w:szCs w:val="28"/>
        </w:rPr>
        <w:t xml:space="preserve"> сопровождаться документацией, подтверждающей правомочность этих организаций поставлять данную продукцию и сопровождаться лицензионным соглашением.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 поставке программного обеспечения для комплектации системы должны быть выполнены требования гражданского</w:t>
      </w:r>
      <w:r>
        <w:rPr>
          <w:sz w:val="28"/>
          <w:szCs w:val="28"/>
        </w:rPr>
        <w:t xml:space="preserve"> законодательства РФ.</w:t>
      </w:r>
    </w:p>
    <w:p w:rsidR="00D23AD9" w:rsidRDefault="00D23AD9">
      <w:pPr>
        <w:pStyle w:val="11"/>
        <w:spacing w:line="276" w:lineRule="auto"/>
      </w:pPr>
    </w:p>
    <w:p w:rsidR="00D23AD9" w:rsidRDefault="0059075E">
      <w:pPr>
        <w:pStyle w:val="3"/>
        <w:numPr>
          <w:ilvl w:val="1"/>
          <w:numId w:val="1"/>
        </w:numPr>
        <w:ind w:left="851" w:firstLine="851"/>
      </w:pPr>
      <w:bookmarkStart w:id="51" w:name="__RefHeading___Toc15900_1778912248"/>
      <w:bookmarkStart w:id="52" w:name="_Toc242096647"/>
      <w:bookmarkEnd w:id="51"/>
      <w:r>
        <w:t>Требования к эргономике и технической эстетике</w:t>
      </w:r>
      <w:bookmarkEnd w:id="52"/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Компоновка технических средств РСОН выполняется с учетом требований эргономики по ГОСТ 12.2.049-80 «Система стандартов безопасности труда. Оборудование производственное. Общие эргономиче</w:t>
      </w:r>
      <w:r>
        <w:rPr>
          <w:sz w:val="28"/>
          <w:szCs w:val="28"/>
        </w:rPr>
        <w:t>ские требования». Конструктивное исполнение РСОН Республики Ингушетия должно обеспечивать доступ обслуживающего персонала к внутренним элементам.</w:t>
      </w:r>
    </w:p>
    <w:p w:rsidR="00D23AD9" w:rsidRDefault="00D23AD9">
      <w:pPr>
        <w:pStyle w:val="11"/>
        <w:spacing w:line="276" w:lineRule="auto"/>
      </w:pPr>
    </w:p>
    <w:p w:rsidR="00D23AD9" w:rsidRDefault="0059075E">
      <w:pPr>
        <w:pStyle w:val="3"/>
        <w:numPr>
          <w:ilvl w:val="1"/>
          <w:numId w:val="1"/>
        </w:numPr>
        <w:ind w:left="851" w:firstLine="851"/>
      </w:pPr>
      <w:bookmarkStart w:id="53" w:name="__RefHeading___Toc15902_1778912248"/>
      <w:bookmarkStart w:id="54" w:name="_Toc242096651"/>
      <w:bookmarkEnd w:id="53"/>
      <w:r>
        <w:t>Требования к функциям (задачам), выполняемым системой</w:t>
      </w:r>
      <w:bookmarkEnd w:id="54"/>
    </w:p>
    <w:p w:rsidR="00D23AD9" w:rsidRDefault="0059075E">
      <w:pPr>
        <w:pStyle w:val="3"/>
      </w:pPr>
      <w:bookmarkStart w:id="55" w:name="__RefHeading___Toc15904_1778912248"/>
      <w:bookmarkStart w:id="56" w:name="_Toc242096652"/>
      <w:bookmarkEnd w:id="55"/>
      <w:r>
        <w:t>Требования к информационному обеспечению</w:t>
      </w:r>
      <w:bookmarkEnd w:id="56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Основой информ</w:t>
      </w:r>
      <w:r>
        <w:rPr>
          <w:sz w:val="28"/>
          <w:szCs w:val="28"/>
        </w:rPr>
        <w:t>ационного обеспечения РСОН Республики Ингушетия должны быть территориально разнесенные базы данных и специальное программное обеспечение, включающие информацию об элементах РСОН Республики Ингушетия, порядке установления связи, оповещаемых абонентах, испол</w:t>
      </w:r>
      <w:r>
        <w:rPr>
          <w:sz w:val="28"/>
          <w:szCs w:val="28"/>
        </w:rPr>
        <w:t>нительных устройствах своего и подчиненных уровней управления с использованием единых классификаторов объектов, свойств и признаков для описания всех информационных ресурсов;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Состав, структура и способы организации данных должны обеспечивать наличие всех н</w:t>
      </w:r>
      <w:r>
        <w:rPr>
          <w:sz w:val="28"/>
          <w:szCs w:val="28"/>
        </w:rPr>
        <w:t>еобходимых учетных реквизитов объектов оповещения, разбиение информации по категориям и независимость представления данных об объектах оповещения от других функциональных подсистем;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 информационном взаимодействии со смежными системами должна обеспечиват</w:t>
      </w:r>
      <w:r>
        <w:rPr>
          <w:sz w:val="28"/>
          <w:szCs w:val="28"/>
        </w:rPr>
        <w:t>ься полная автономность программных и аппаратных средств РСОН Республики Ингушетия, независимость подсистемы приема и отправки команд управления и сообщений (информации) от изменения категории информации, способов хранения и режима работы (автоматическом и</w:t>
      </w:r>
      <w:r>
        <w:rPr>
          <w:sz w:val="28"/>
          <w:szCs w:val="28"/>
        </w:rPr>
        <w:t>ли ручном).</w:t>
      </w:r>
    </w:p>
    <w:p w:rsidR="00D23AD9" w:rsidRDefault="0059075E">
      <w:pPr>
        <w:pStyle w:val="3"/>
      </w:pPr>
      <w:bookmarkStart w:id="57" w:name="__RefHeading___Toc15906_1778912248"/>
      <w:bookmarkStart w:id="58" w:name="_Toc242096653"/>
      <w:bookmarkEnd w:id="57"/>
      <w:r>
        <w:t>Требования к средствам оповещения</w:t>
      </w:r>
      <w:bookmarkEnd w:id="58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Технические средства оповещения должны соответствовать требованиям ГОСТ Р 42.3.01-2021 «Гражданская оборона. Технические средства оповещения населения. Классификация. Общие технические требования».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Стандартизац</w:t>
      </w:r>
      <w:r>
        <w:rPr>
          <w:sz w:val="28"/>
          <w:szCs w:val="28"/>
        </w:rPr>
        <w:t>ия и унификация технических средств оповещения должна обеспечиваться посредством использования серийно выпускаемых технических средств оповещения, прошедших приемочные испытания с участием федерального органа исполнительной власти, уполномоченного на решен</w:t>
      </w:r>
      <w:r>
        <w:rPr>
          <w:sz w:val="28"/>
          <w:szCs w:val="28"/>
        </w:rPr>
        <w:t>ие задач в области гражданской обороны, защиты населения и территорий от чрезвычайных ситуаций, а также вычислительной техники и коммуникационного оборудования повышенной надежности.</w:t>
      </w:r>
    </w:p>
    <w:p w:rsidR="00D23AD9" w:rsidRDefault="0059075E">
      <w:pPr>
        <w:pStyle w:val="11"/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Программное обеспечение в региональных и муниципальных системах оповещени</w:t>
      </w:r>
      <w:r>
        <w:rPr>
          <w:sz w:val="28"/>
          <w:szCs w:val="28"/>
        </w:rPr>
        <w:t>я должно отвечать требованиям постановления Правительства Российской Федерации от 16 ноября 2015 г. № 1236 "Об утверждении Правил формирования и ведения единого реестра российских программ для электронных вычислительных машин и баз данных и единого реестра</w:t>
      </w:r>
      <w:r>
        <w:rPr>
          <w:sz w:val="28"/>
          <w:szCs w:val="28"/>
        </w:rPr>
        <w:t xml:space="preserve">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Федерации" (с изменениями и дополнениями), должно быть внесено в единый реестр российских программ для электронн</w:t>
      </w:r>
      <w:r>
        <w:rPr>
          <w:sz w:val="28"/>
          <w:szCs w:val="28"/>
        </w:rPr>
        <w:t>ых вычислительных машин и баз данных, и иметь возможность функционировать в среде общего программного обеспечения, включенного в единый реестр российских программ для электронных вычислительных машин и баз данных</w:t>
      </w:r>
      <w:r>
        <w:rPr>
          <w:bCs/>
          <w:sz w:val="28"/>
          <w:szCs w:val="28"/>
        </w:rPr>
        <w:t>.</w:t>
      </w:r>
    </w:p>
    <w:p w:rsidR="00D23AD9" w:rsidRDefault="0059075E">
      <w:pPr>
        <w:pStyle w:val="3"/>
      </w:pPr>
      <w:bookmarkStart w:id="59" w:name="__RefHeading___Toc15908_1778912248"/>
      <w:bookmarkStart w:id="60" w:name="_Toc242096654"/>
      <w:bookmarkEnd w:id="59"/>
      <w:r>
        <w:t>Требования электробезопасности</w:t>
      </w:r>
      <w:bookmarkEnd w:id="60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Технические</w:t>
      </w:r>
      <w:r>
        <w:rPr>
          <w:sz w:val="28"/>
          <w:szCs w:val="28"/>
        </w:rPr>
        <w:t xml:space="preserve"> средства оповещения должны обеспечивать защиту обслуживающего персонала от поражения электрическим током при установке, эксплуатации, техническом обслуживании и устранении неисправностей.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Токоведущие составные части технических средств оповещения должны б</w:t>
      </w:r>
      <w:r>
        <w:rPr>
          <w:sz w:val="28"/>
          <w:szCs w:val="28"/>
        </w:rPr>
        <w:t>ыть надежно изолированы и не допускать электрического замыкания на корпус, их корпуса должны быть заземлены в соответствии с указаниями, изложенными в эксплуатационной документации на технические средства оповещения;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Электропитание технических средств опов</w:t>
      </w:r>
      <w:r>
        <w:rPr>
          <w:sz w:val="28"/>
          <w:szCs w:val="28"/>
        </w:rPr>
        <w:t>ещения должно осуществляться от сети гарантированного электропитания, в том числе от источников автономного питания (для электромеханических сирен источники автономного питания не предусматриваются) по 1 категории.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Сохранность информации в РСОН Республики </w:t>
      </w:r>
      <w:r>
        <w:rPr>
          <w:sz w:val="28"/>
          <w:szCs w:val="28"/>
        </w:rPr>
        <w:t>Ингушетия оповещения населения должна обеспечиваться при отключении электропитания (в том числе аварийном), отказах отдельных элементов технических средств оповещения и авариях на сетях связи.</w:t>
      </w:r>
    </w:p>
    <w:p w:rsidR="00D23AD9" w:rsidRDefault="0059075E">
      <w:pPr>
        <w:pStyle w:val="3"/>
      </w:pPr>
      <w:bookmarkStart w:id="61" w:name="__RefHeading___Toc15910_1778912248"/>
      <w:bookmarkStart w:id="62" w:name="_Toc242096655"/>
      <w:bookmarkEnd w:id="61"/>
      <w:r>
        <w:t>Требования к размещению технических средств оповещения</w:t>
      </w:r>
      <w:bookmarkEnd w:id="62"/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Технические средства оповещения, размещаемые на открытых пространствах (вне помещений, зданий, сооружений), должны устанавливаться в автономных защищенных термошкафах соответствующего климатического исполнения и оборудованы сигнализацией о несанкционирован</w:t>
      </w:r>
      <w:r>
        <w:rPr>
          <w:sz w:val="28"/>
          <w:szCs w:val="28"/>
        </w:rPr>
        <w:t>ном их вскрытии; их размещение и функционирование должно быть безопасным для жизнедеятельности людей.</w:t>
      </w:r>
    </w:p>
    <w:p w:rsidR="00D23AD9" w:rsidRDefault="0059075E">
      <w:pPr>
        <w:pStyle w:val="3"/>
      </w:pPr>
      <w:bookmarkStart w:id="63" w:name="__RefHeading___Toc15912_1778912248"/>
      <w:bookmarkStart w:id="64" w:name="_Toc242096656"/>
      <w:bookmarkEnd w:id="63"/>
      <w:r>
        <w:t>Требования к каналам связи</w:t>
      </w:r>
      <w:bookmarkEnd w:id="64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Сеть связи и передачи данных должна являться единой для РСОН и обеспечивать взаимодействие между пунктами управления региональн</w:t>
      </w:r>
      <w:r>
        <w:rPr>
          <w:sz w:val="28"/>
          <w:szCs w:val="28"/>
        </w:rPr>
        <w:t>ого и муниципальных уровней, пунктами сиренного оповещения, терминальными пунктами оповещения, а также взаимодействующими средствами.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Взаимодействие элементов по основному каналу связи РСОН должно быть организовано по выделенной сети, при наличии техническ</w:t>
      </w:r>
      <w:r>
        <w:rPr>
          <w:sz w:val="28"/>
          <w:szCs w:val="28"/>
        </w:rPr>
        <w:t>ой возможности, образуя тем самым виртуальную частную сеть (VPN).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Для повышения устойчивости функционирования направлений оповещения проектными решениями должны быть предусмотрены в РСОН основной и резервный каналы связи.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Основной - с использованием линий </w:t>
      </w:r>
      <w:r>
        <w:rPr>
          <w:sz w:val="28"/>
          <w:szCs w:val="28"/>
        </w:rPr>
        <w:t>проводной связи (волоконно-оптических, медных) либо радиоканала широкополосного радиодоступа; конкретная технология определяется Заказчиком исходя из технической возможности на объекте.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Резервный - канал подвижной радиотелефонной (сотовой) связи (GSM/LTE);</w:t>
      </w:r>
      <w:r>
        <w:rPr>
          <w:sz w:val="28"/>
          <w:szCs w:val="28"/>
        </w:rPr>
        <w:t xml:space="preserve"> является обязательным для каждого объекта РСОН.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В ТСО должно быть предусмотрено наличие двух интерфейсов для одновременного подключения двух каналов связи.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Для взаимодействия пунктов управления и пунктов перехвата сетей телерадиовещания должна использоват</w:t>
      </w:r>
      <w:r>
        <w:rPr>
          <w:sz w:val="28"/>
          <w:szCs w:val="28"/>
        </w:rPr>
        <w:t>ься сеть связи и передачи данных, организованная на базе технологии IP-VPN и имеющая точки присутствия в административных центрах муниципальных образований.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Оконечные средства оповещения должны иметь резервный канал связи через сеть подвижной радиотелефонн</w:t>
      </w:r>
      <w:r>
        <w:rPr>
          <w:sz w:val="28"/>
          <w:szCs w:val="28"/>
        </w:rPr>
        <w:t>ой (сотовой) связи (GSM/LTE). Конкретный оператор (операторы) подвижной связи определяется на конкурсной основе.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Информационная безопасность сети обеспечивается действующими средствами оператора связи.</w:t>
      </w:r>
    </w:p>
    <w:p w:rsidR="00D23AD9" w:rsidRDefault="00D23AD9">
      <w:pPr>
        <w:pStyle w:val="11"/>
        <w:spacing w:line="276" w:lineRule="auto"/>
        <w:rPr>
          <w:sz w:val="28"/>
          <w:szCs w:val="28"/>
        </w:rPr>
      </w:pPr>
    </w:p>
    <w:p w:rsidR="00D23AD9" w:rsidRDefault="0059075E">
      <w:pPr>
        <w:pStyle w:val="3"/>
        <w:numPr>
          <w:ilvl w:val="1"/>
          <w:numId w:val="1"/>
        </w:numPr>
        <w:ind w:left="851" w:firstLine="851"/>
      </w:pPr>
      <w:bookmarkStart w:id="65" w:name="__RefHeading___Toc15914_1778912248"/>
      <w:bookmarkStart w:id="66" w:name="_Toc242096657"/>
      <w:bookmarkEnd w:id="65"/>
      <w:r>
        <w:t>Требования к видам обеспечения</w:t>
      </w:r>
      <w:bookmarkEnd w:id="66"/>
    </w:p>
    <w:p w:rsidR="00D23AD9" w:rsidRDefault="0059075E">
      <w:pPr>
        <w:pStyle w:val="3"/>
      </w:pPr>
      <w:bookmarkStart w:id="67" w:name="__RefHeading___Toc15916_1778912248"/>
      <w:bookmarkStart w:id="68" w:name="_Toc242096658"/>
      <w:bookmarkEnd w:id="67"/>
      <w:r>
        <w:t>Требования к информаци</w:t>
      </w:r>
      <w:r>
        <w:t>онному обеспечению системы</w:t>
      </w:r>
      <w:bookmarkEnd w:id="68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Информационное обеспечение РСОН должно быть достаточным для выполнения всех функций, изложенных в настоящем техническом требовании, и допускать возможность модернизации и развития.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Информационное обеспечение должно обеспечивать с</w:t>
      </w:r>
      <w:r>
        <w:rPr>
          <w:sz w:val="28"/>
          <w:szCs w:val="28"/>
        </w:rPr>
        <w:t>истемность, информационную полноту, избирательность, непрерывность, целостность потока информации по всей совокупности релевантной информации об объектах контроля и субъектах наблюдения.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Информационное обеспечение должно учитывать принципы эргономичности в</w:t>
      </w:r>
      <w:r>
        <w:rPr>
          <w:sz w:val="28"/>
          <w:szCs w:val="28"/>
        </w:rPr>
        <w:t xml:space="preserve"> соответствии с ГОСТ Р ИСО 26800-2013 «Эргономика. Общие принципы и понятия» при отображении информации: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- все экранные формы пользовательского интерфейса должны быть выполнены в едином графическом дизайне, с одинаковым расположением основных элементов упр</w:t>
      </w:r>
      <w:r>
        <w:rPr>
          <w:sz w:val="28"/>
          <w:szCs w:val="28"/>
        </w:rPr>
        <w:t>авления и навигации;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- для обозначения сходных операций должны использоваться сходные графические значки, кнопки и другие управляющие (навигационные) элементы. Термины, используемые для обозначения типовых операций (добавление информационной сущности, реда</w:t>
      </w:r>
      <w:r>
        <w:rPr>
          <w:sz w:val="28"/>
          <w:szCs w:val="28"/>
        </w:rPr>
        <w:t>ктирование поля данных), а также последовательности действий пользователя при их выполнении, должны быть унифицированы;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- внешнее поведение сходных элементов интерфейса (реакция на наведение указателя «мыши», переключение фокуса, нажатие кнопки) должны реа</w:t>
      </w:r>
      <w:r>
        <w:rPr>
          <w:sz w:val="28"/>
          <w:szCs w:val="28"/>
        </w:rPr>
        <w:t>лизовываться одинаково для однотипных элементов.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Состав и организация информационного обеспечения РСОН должны быть уточнены на стадии проектирования Исполнителем по окончании проектных работ.</w:t>
      </w:r>
    </w:p>
    <w:p w:rsidR="00D23AD9" w:rsidRDefault="0059075E">
      <w:pPr>
        <w:pStyle w:val="3"/>
      </w:pPr>
      <w:bookmarkStart w:id="69" w:name="__RefHeading___Toc15918_1778912248"/>
      <w:bookmarkStart w:id="70" w:name="_Toc242096659"/>
      <w:bookmarkEnd w:id="69"/>
      <w:r>
        <w:t>Требования к программному обеспечению системы</w:t>
      </w:r>
      <w:bookmarkEnd w:id="70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Программное </w:t>
      </w:r>
      <w:r>
        <w:rPr>
          <w:sz w:val="28"/>
          <w:szCs w:val="28"/>
        </w:rPr>
        <w:t>обеспечение РСОН Республики Ингушетия должно:</w:t>
      </w:r>
    </w:p>
    <w:p w:rsidR="00D23AD9" w:rsidRDefault="0059075E">
      <w:pPr>
        <w:pStyle w:val="11"/>
        <w:numPr>
          <w:ilvl w:val="0"/>
          <w:numId w:val="18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быть достаточным для выполнения всех функций создаваемой РСОН Республики Ингушетия, реализуемых с применением средств вычислительной техники, а также иметь средства организации всех требуемых процессов управлен</w:t>
      </w:r>
      <w:r>
        <w:rPr>
          <w:sz w:val="28"/>
          <w:szCs w:val="28"/>
        </w:rPr>
        <w:t>ия РСОН Республики Ингушетия, позволяющие своевременно выполнять все автоматизированные функции во всех регламентированных режимах функционирования РСОН Республики Ингушетия;</w:t>
      </w:r>
    </w:p>
    <w:p w:rsidR="00D23AD9" w:rsidRDefault="0059075E">
      <w:pPr>
        <w:pStyle w:val="11"/>
        <w:numPr>
          <w:ilvl w:val="0"/>
          <w:numId w:val="18"/>
        </w:numPr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иметь средства диагностики технических средств РСОН Республики Ингушетия с отобра</w:t>
      </w:r>
      <w:r>
        <w:rPr>
          <w:sz w:val="28"/>
          <w:szCs w:val="28"/>
        </w:rPr>
        <w:t>жением состояния на картографической основе и контроля достоверности входной информации, мониторинга выполнения сценариев оповещения;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Используемое программное обеспечение должно быть включено в единый реестр российских программ для электронных вычислительн</w:t>
      </w:r>
      <w:r>
        <w:rPr>
          <w:sz w:val="28"/>
          <w:szCs w:val="28"/>
        </w:rPr>
        <w:t>ых машин и баз данных.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Геоинформационный блок программного обеспечения РСОН Республики Ингушетия должен быть реализован с применением геоинформационной системы, включенной в единый реестр российских программ для электронных вычислительных машин и баз данны</w:t>
      </w:r>
      <w:r>
        <w:rPr>
          <w:sz w:val="28"/>
          <w:szCs w:val="28"/>
        </w:rPr>
        <w:t>х, и поддерживающей работу «офлайн» в закрытом контуре информационной безопасности, с возможностью планового обновления картографического материала.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Все виды технических средств должны удовлетворять требованиям стандартов, а также быть допущенными МЧС Росс</w:t>
      </w:r>
      <w:r>
        <w:rPr>
          <w:sz w:val="28"/>
          <w:szCs w:val="28"/>
        </w:rPr>
        <w:t>ии к использованию в составе систем оповещения. При проектировании должны быть заложены инженерно-технические решения, обеспечивающие безопасную работу и надёжность функционирования РСОН в экстремальных условиях чрезвычайных ситуаций.</w:t>
      </w:r>
    </w:p>
    <w:p w:rsidR="00D23AD9" w:rsidRDefault="0059075E">
      <w:pPr>
        <w:pStyle w:val="3"/>
      </w:pPr>
      <w:bookmarkStart w:id="71" w:name="__RefHeading___Toc15920_1778912248"/>
      <w:bookmarkStart w:id="72" w:name="_Toc242096660"/>
      <w:bookmarkEnd w:id="71"/>
      <w:r>
        <w:t>Требования к организа</w:t>
      </w:r>
      <w:r>
        <w:t>ционному обеспечению</w:t>
      </w:r>
      <w:bookmarkEnd w:id="72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Организационное обеспечение должно состоять из обеспечения этапов создания, развертывания и эксплуатации РСОН.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Организационное обеспечение РСОН Республики Ингушетия должно включать процедуры планирования, координации работ, испытание п</w:t>
      </w:r>
      <w:r>
        <w:rPr>
          <w:sz w:val="28"/>
          <w:szCs w:val="28"/>
        </w:rPr>
        <w:t>одсистем и пилотных вариантов РСОН Республики Ингушетия в целом, контроля и приемки результатов с последующим представлением всего комплекта документации, расчетов и картографических материалов для приемки.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В связи с отсутствием в составе технического обор</w:t>
      </w:r>
      <w:r>
        <w:rPr>
          <w:sz w:val="28"/>
          <w:szCs w:val="28"/>
        </w:rPr>
        <w:t>удования РСОН Республики Ингушетия контрольно-измерительных устройств, требования к метрологическому обеспечению не предъявляются.</w:t>
      </w:r>
    </w:p>
    <w:p w:rsidR="00D23AD9" w:rsidRDefault="0059075E">
      <w:pPr>
        <w:pStyle w:val="1"/>
        <w:ind w:firstLine="851"/>
      </w:pPr>
      <w:bookmarkStart w:id="73" w:name="__RefHeading___Toc15922_1778912248"/>
      <w:bookmarkStart w:id="74" w:name="_Toc242096661"/>
      <w:bookmarkEnd w:id="73"/>
      <w:r>
        <w:t>СОСТАВ И СОДЕРЖАНИЕ РАБОТ ПО РЕКОНСТРУКЦИИ РЕГИОНАЛЬНОЙ СИСТЕМЫ ОПОВЕЩЕНИЯ НАСЕЛЕНИЯ</w:t>
      </w:r>
      <w:bookmarkEnd w:id="74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Проектно-техническую документацию следуе</w:t>
      </w:r>
      <w:r>
        <w:rPr>
          <w:sz w:val="28"/>
          <w:szCs w:val="28"/>
        </w:rPr>
        <w:t>т разработать в текстовом и графическом виде в соответствии с требованиями постановления Правительства Российской Федерации от 17 мая 2023 г. № 769 и нормативно-правовых документов, которая должна состоять из следующих основных разделов:</w:t>
      </w:r>
    </w:p>
    <w:p w:rsidR="00D23AD9" w:rsidRDefault="0059075E">
      <w:pPr>
        <w:pStyle w:val="11"/>
        <w:numPr>
          <w:ilvl w:val="0"/>
          <w:numId w:val="10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раздел 1 "Поясните</w:t>
      </w:r>
      <w:r>
        <w:rPr>
          <w:sz w:val="28"/>
          <w:szCs w:val="28"/>
        </w:rPr>
        <w:t>льная записка";</w:t>
      </w:r>
    </w:p>
    <w:p w:rsidR="00D23AD9" w:rsidRDefault="0059075E">
      <w:pPr>
        <w:pStyle w:val="11"/>
        <w:numPr>
          <w:ilvl w:val="0"/>
          <w:numId w:val="10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раздел 2 "Проектно-изыскательские работы с обследованием объектов для размещения технических средств оповещения";</w:t>
      </w:r>
    </w:p>
    <w:p w:rsidR="00D23AD9" w:rsidRDefault="0059075E">
      <w:pPr>
        <w:pStyle w:val="11"/>
        <w:numPr>
          <w:ilvl w:val="0"/>
          <w:numId w:val="10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раздел 3 "Технологические решения по размещению технических средств оповещения";</w:t>
      </w:r>
    </w:p>
    <w:p w:rsidR="00D23AD9" w:rsidRDefault="0059075E">
      <w:pPr>
        <w:pStyle w:val="11"/>
        <w:numPr>
          <w:ilvl w:val="0"/>
          <w:numId w:val="10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раздел 4 "Мероприятия и технические решения п</w:t>
      </w:r>
      <w:r>
        <w:rPr>
          <w:sz w:val="28"/>
          <w:szCs w:val="28"/>
        </w:rPr>
        <w:t>о подключению к сетям электроснабжения и телекоммуникаций, системам заземления";</w:t>
      </w:r>
    </w:p>
    <w:p w:rsidR="00D23AD9" w:rsidRDefault="0059075E">
      <w:pPr>
        <w:pStyle w:val="11"/>
        <w:numPr>
          <w:ilvl w:val="0"/>
          <w:numId w:val="10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раздел 5 "Зоны звукопокрытия оконечными средствами оповещения";</w:t>
      </w:r>
    </w:p>
    <w:p w:rsidR="00D23AD9" w:rsidRDefault="0059075E">
      <w:pPr>
        <w:pStyle w:val="11"/>
        <w:numPr>
          <w:ilvl w:val="0"/>
          <w:numId w:val="10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раздел 7 "Спецификация технических средств оповещения, оборудования, кабельной продукции и расходных материалов</w:t>
      </w:r>
      <w:r>
        <w:rPr>
          <w:sz w:val="28"/>
          <w:szCs w:val="28"/>
        </w:rPr>
        <w:t>";</w:t>
      </w:r>
    </w:p>
    <w:p w:rsidR="00D23AD9" w:rsidRDefault="0059075E">
      <w:pPr>
        <w:pStyle w:val="11"/>
        <w:numPr>
          <w:ilvl w:val="0"/>
          <w:numId w:val="10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раздел 8 "Сметная документация на выполнение работ по реконструкции региональной системы оповещения населения";</w:t>
      </w:r>
    </w:p>
    <w:p w:rsidR="00D23AD9" w:rsidRDefault="0059075E">
      <w:pPr>
        <w:pStyle w:val="11"/>
        <w:numPr>
          <w:ilvl w:val="0"/>
          <w:numId w:val="10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 xml:space="preserve">раздел 9 "Иная документация в случаях, предусмотренных законодательными и иными нормативными правовыми актами Российской Федерации, субъекта </w:t>
      </w:r>
      <w:r>
        <w:rPr>
          <w:sz w:val="28"/>
          <w:szCs w:val="28"/>
        </w:rPr>
        <w:t>Российской Федерации, муниципального образования".</w:t>
      </w:r>
    </w:p>
    <w:p w:rsidR="00D23AD9" w:rsidRDefault="0059075E">
      <w:pPr>
        <w:pStyle w:val="1"/>
        <w:ind w:firstLine="851"/>
      </w:pPr>
      <w:bookmarkStart w:id="75" w:name="__RefHeading___Toc15924_1778912248"/>
      <w:bookmarkStart w:id="76" w:name="_Toc242096662"/>
      <w:bookmarkEnd w:id="75"/>
      <w:r>
        <w:t>ПОРЯДОК РЕКОНСТРУКЦИИ РЕГИОНАЛЬНОЙ СИСТЕМЫ ОПОВЕЩЕНИЯ НАСЕЛЕНИЯ</w:t>
      </w:r>
      <w:bookmarkEnd w:id="76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В ходе проектирования предусмотреть следующую этапность работ по реконструкции РСОН: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Этап 1 - работы по внедрению основных технических решени</w:t>
      </w:r>
      <w:r>
        <w:rPr>
          <w:sz w:val="28"/>
          <w:szCs w:val="28"/>
        </w:rPr>
        <w:t>й, изложенных в проектно-технической документации (кроме внесенных в Этап 2);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Этап 2 - работы по обеспечению передачи сигналов оповещения и экстренной информации по сетям операторов связи для целей кабельного и (или) эфирного телевизионного вещания и (или)</w:t>
      </w:r>
      <w:r>
        <w:rPr>
          <w:sz w:val="28"/>
          <w:szCs w:val="28"/>
        </w:rPr>
        <w:t xml:space="preserve"> радиовещания, а также проводного радиовещания путем подключения к таким сетям региональной системы оповещения населения.</w:t>
      </w:r>
    </w:p>
    <w:p w:rsidR="00D23AD9" w:rsidRDefault="0059075E">
      <w:pPr>
        <w:pStyle w:val="1"/>
        <w:ind w:firstLine="851"/>
      </w:pPr>
      <w:bookmarkStart w:id="77" w:name="__RefHeading___Toc15926_1778912248"/>
      <w:bookmarkStart w:id="78" w:name="_Toc242096663"/>
      <w:bookmarkEnd w:id="77"/>
      <w:r>
        <w:t>ПОРЯДОК КОНТРОЛЯ И ПРИЕМКИ ПРОЕКТНО-ТЕХНИЧЕСКОЙ ДОКУМЕНТАЦИИ</w:t>
      </w:r>
      <w:bookmarkEnd w:id="78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Приемка выполненных работ</w:t>
      </w:r>
      <w:r>
        <w:rPr>
          <w:sz w:val="28"/>
          <w:szCs w:val="28"/>
        </w:rPr>
        <w:t xml:space="preserve"> по корректировке проектно-технической документации осуществляется Заказчиком в соответствии с условиями Договора и оформлением документа о приеме.</w:t>
      </w:r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 xml:space="preserve">Передача проектно-технической документации Заказчику осуществляется Исполнителем в полном объёме - комплект </w:t>
      </w:r>
      <w:r>
        <w:rPr>
          <w:sz w:val="28"/>
          <w:szCs w:val="28"/>
        </w:rPr>
        <w:t>проектно-технической документации согласно п.5 настоящего Технического задания.</w:t>
      </w:r>
    </w:p>
    <w:p w:rsidR="00D23AD9" w:rsidRDefault="0059075E">
      <w:pPr>
        <w:pStyle w:val="1"/>
        <w:ind w:firstLine="851"/>
      </w:pPr>
      <w:bookmarkStart w:id="79" w:name="__RefHeading___Toc15928_1778912248"/>
      <w:bookmarkStart w:id="80" w:name="_Toc242096664"/>
      <w:bookmarkEnd w:id="79"/>
      <w:r>
        <w:t>ТРЕБОВАНИЯ К СОСТАВУ И СОДЕРЖАНИЮ РАБОТ ПО ПОДГОТОВКЕ ПУНКТОВ УПРАВЛЕНИЯ РЕГИОНАЛЬНОЙ СИСТЕМЫ ОПОВЕЩЕНИЯ НАСЕЛЕНИЯ К ВВОДУ В ДЕЙСТВИЕ</w:t>
      </w:r>
      <w:bookmarkEnd w:id="80"/>
    </w:p>
    <w:p w:rsidR="00D23AD9" w:rsidRDefault="0059075E">
      <w:pPr>
        <w:pStyle w:val="11"/>
        <w:spacing w:line="276" w:lineRule="auto"/>
      </w:pPr>
      <w:r>
        <w:rPr>
          <w:sz w:val="28"/>
          <w:szCs w:val="28"/>
        </w:rPr>
        <w:t>Перечень основных мероприятий, которые пре</w:t>
      </w:r>
      <w:r>
        <w:rPr>
          <w:sz w:val="28"/>
          <w:szCs w:val="28"/>
        </w:rPr>
        <w:t>дусмотреть при создании проектно-технической документации при подготовке ПУ и ЗПУ РСОН, МСОН, реконструированной РСОН в действие:</w:t>
      </w:r>
    </w:p>
    <w:p w:rsidR="00D23AD9" w:rsidRDefault="0059075E">
      <w:pPr>
        <w:pStyle w:val="11"/>
        <w:numPr>
          <w:ilvl w:val="0"/>
          <w:numId w:val="23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обеспечить взаимное автоматическое (автоматизированное) уведомление пунктов управления ГО и РСЧС одного уровня о задействовани</w:t>
      </w:r>
      <w:r>
        <w:rPr>
          <w:sz w:val="28"/>
          <w:szCs w:val="28"/>
        </w:rPr>
        <w:t>и системы оповещения населения;</w:t>
      </w:r>
    </w:p>
    <w:p w:rsidR="00D23AD9" w:rsidRDefault="0059075E">
      <w:pPr>
        <w:pStyle w:val="11"/>
        <w:numPr>
          <w:ilvl w:val="0"/>
          <w:numId w:val="23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обеспечить создание условий функционирования объекта автоматизации, при которых гарантируется соответствие создаваемой системы требованиям, содержащимся в настоящем Техническом задании;</w:t>
      </w:r>
    </w:p>
    <w:p w:rsidR="00D23AD9" w:rsidRDefault="0059075E">
      <w:pPr>
        <w:pStyle w:val="11"/>
        <w:numPr>
          <w:ilvl w:val="0"/>
          <w:numId w:val="23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обеспечить создание необходимых для фу</w:t>
      </w:r>
      <w:r>
        <w:rPr>
          <w:sz w:val="28"/>
          <w:szCs w:val="28"/>
        </w:rPr>
        <w:t>нкционирования системы подразделений и служб;</w:t>
      </w:r>
    </w:p>
    <w:p w:rsidR="00D23AD9" w:rsidRDefault="0059075E">
      <w:pPr>
        <w:pStyle w:val="11"/>
        <w:numPr>
          <w:ilvl w:val="0"/>
          <w:numId w:val="23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обеспечить комплектование штата и обучение дежурного (дежурно-диспетчерского) персонала. Персонал должен быть уполномочен на задействование систем оповещения населения;</w:t>
      </w:r>
    </w:p>
    <w:p w:rsidR="00D23AD9" w:rsidRDefault="0059075E">
      <w:pPr>
        <w:pStyle w:val="11"/>
        <w:numPr>
          <w:ilvl w:val="0"/>
          <w:numId w:val="23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 xml:space="preserve">обеспечить заблаговременное формирование </w:t>
      </w:r>
      <w:r>
        <w:rPr>
          <w:sz w:val="28"/>
          <w:szCs w:val="28"/>
        </w:rPr>
        <w:t>сигналов оповещения и экстренной информации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D23AD9" w:rsidRDefault="0059075E">
      <w:pPr>
        <w:pStyle w:val="11"/>
        <w:numPr>
          <w:ilvl w:val="0"/>
          <w:numId w:val="23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обеспечить регулярную проверку наличия и готовности технич</w:t>
      </w:r>
      <w:r>
        <w:rPr>
          <w:sz w:val="28"/>
          <w:szCs w:val="28"/>
        </w:rPr>
        <w:t>еских средств оповещения в соответствии с проектно-технической документацией;</w:t>
      </w:r>
    </w:p>
    <w:p w:rsidR="00D23AD9" w:rsidRDefault="0059075E">
      <w:pPr>
        <w:pStyle w:val="11"/>
        <w:numPr>
          <w:ilvl w:val="0"/>
          <w:numId w:val="23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обеспечить эксплуатационно-техническое обслуживание, ремонт неисправных и замена выслуживших установленный эксплуатационный ресурс технических средств оповещения;</w:t>
      </w:r>
    </w:p>
    <w:p w:rsidR="00D23AD9" w:rsidRDefault="0059075E">
      <w:pPr>
        <w:pStyle w:val="11"/>
        <w:numPr>
          <w:ilvl w:val="0"/>
          <w:numId w:val="23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обеспечить созд</w:t>
      </w:r>
      <w:r>
        <w:rPr>
          <w:sz w:val="28"/>
          <w:szCs w:val="28"/>
        </w:rPr>
        <w:t>ание запасов (резервов) средств оповещения населения и поддержание их в готовности к использованию по предназначению;</w:t>
      </w:r>
    </w:p>
    <w:p w:rsidR="00D23AD9" w:rsidRDefault="0059075E">
      <w:pPr>
        <w:pStyle w:val="11"/>
        <w:numPr>
          <w:ilvl w:val="0"/>
          <w:numId w:val="23"/>
        </w:num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обеспечить сопряжение РСОН и МСОН с системами электросвязи многоквартирных жилых зданий и объектов.</w:t>
      </w:r>
    </w:p>
    <w:p w:rsidR="00D23AD9" w:rsidRDefault="00D23AD9">
      <w:pPr>
        <w:pStyle w:val="11"/>
        <w:spacing w:line="276" w:lineRule="auto"/>
        <w:ind w:left="851" w:firstLine="0"/>
        <w:rPr>
          <w:sz w:val="28"/>
          <w:szCs w:val="28"/>
        </w:rPr>
      </w:pPr>
    </w:p>
    <w:p w:rsidR="00D23AD9" w:rsidRDefault="0059075E">
      <w:pPr>
        <w:pStyle w:val="1"/>
        <w:ind w:firstLine="851"/>
      </w:pPr>
      <w:bookmarkStart w:id="81" w:name="__RefHeading___Toc15930_1778912248"/>
      <w:bookmarkStart w:id="82" w:name="_Toc242096665"/>
      <w:bookmarkEnd w:id="81"/>
      <w:r>
        <w:t>ТРЕБОВАНИЯ К ДОКУМЕНТИРОВАНИЮ</w:t>
      </w:r>
      <w:bookmarkEnd w:id="82"/>
    </w:p>
    <w:p w:rsidR="00D23AD9" w:rsidRDefault="0059075E">
      <w:pPr>
        <w:pStyle w:val="2"/>
      </w:pPr>
      <w:bookmarkStart w:id="83" w:name="__RefHeading___Toc15932_1778912248"/>
      <w:bookmarkStart w:id="84" w:name="_Hlk206159970"/>
      <w:bookmarkStart w:id="85" w:name="_Toc242096666"/>
      <w:bookmarkEnd w:id="83"/>
      <w:bookmarkEnd w:id="84"/>
      <w:r>
        <w:t>9.1 Сос</w:t>
      </w:r>
      <w:r>
        <w:t>тав документации</w:t>
      </w:r>
      <w:bookmarkEnd w:id="85"/>
    </w:p>
    <w:p w:rsidR="00D23AD9" w:rsidRDefault="0059075E">
      <w:pPr>
        <w:pStyle w:val="af3"/>
        <w:spacing w:line="276" w:lineRule="auto"/>
        <w:ind w:firstLine="851"/>
        <w:jc w:val="both"/>
      </w:pPr>
      <w:r>
        <w:rPr>
          <w:szCs w:val="28"/>
        </w:rPr>
        <w:t xml:space="preserve">Полный состав </w:t>
      </w:r>
      <w:r>
        <w:t xml:space="preserve">проектно-технической документации на реконструкцию региональной системы оповещения населения Республики Ингушетия </w:t>
      </w:r>
      <w:r>
        <w:rPr>
          <w:szCs w:val="28"/>
        </w:rPr>
        <w:t>приведен в п.5 настоящего Технического задания.</w:t>
      </w:r>
    </w:p>
    <w:p w:rsidR="00D23AD9" w:rsidRDefault="0059075E">
      <w:pPr>
        <w:pStyle w:val="11"/>
        <w:spacing w:line="276" w:lineRule="auto"/>
      </w:pPr>
      <w:bookmarkStart w:id="86" w:name="_Hlk167708407"/>
      <w:bookmarkEnd w:id="86"/>
      <w:r>
        <w:rPr>
          <w:sz w:val="28"/>
          <w:szCs w:val="28"/>
        </w:rPr>
        <w:t xml:space="preserve">Проектно-техническая документация предоставляется Исполнителем </w:t>
      </w:r>
      <w:r>
        <w:rPr>
          <w:sz w:val="28"/>
          <w:szCs w:val="28"/>
        </w:rPr>
        <w:t>Заказчику в электронном редактируемом формате, формате PDF.</w:t>
      </w:r>
    </w:p>
    <w:p w:rsidR="00D23AD9" w:rsidRDefault="0059075E">
      <w:pPr>
        <w:pStyle w:val="2"/>
      </w:pPr>
      <w:bookmarkStart w:id="87" w:name="__RefHeading___Toc15934_1778912248"/>
      <w:bookmarkStart w:id="88" w:name="_Toc242096667"/>
      <w:bookmarkEnd w:id="87"/>
      <w:r>
        <w:t>9.2 Порядок внесения изменений в проектно-техническую документацию</w:t>
      </w:r>
      <w:bookmarkEnd w:id="88"/>
    </w:p>
    <w:p w:rsidR="00D23AD9" w:rsidRDefault="0059075E">
      <w:pPr>
        <w:pStyle w:val="11"/>
        <w:spacing w:line="276" w:lineRule="auto"/>
        <w:rPr>
          <w:sz w:val="28"/>
          <w:szCs w:val="28"/>
        </w:rPr>
      </w:pPr>
      <w:bookmarkStart w:id="89" w:name="_Ref52756232"/>
      <w:bookmarkStart w:id="90" w:name="_Ref52756240"/>
      <w:r>
        <w:rPr>
          <w:sz w:val="28"/>
          <w:szCs w:val="28"/>
        </w:rPr>
        <w:t>Любое изменение в документе, вызывающее какие-либо изменения в других документах, должно одновременно сопровождаться внесением со</w:t>
      </w:r>
      <w:r>
        <w:rPr>
          <w:sz w:val="28"/>
          <w:szCs w:val="28"/>
        </w:rPr>
        <w:t>ответствующих изменений во все взаимосвязанные документы.</w:t>
      </w:r>
      <w:bookmarkEnd w:id="89"/>
      <w:bookmarkEnd w:id="90"/>
    </w:p>
    <w:p w:rsidR="00D23AD9" w:rsidRDefault="00D23AD9">
      <w:pPr>
        <w:pStyle w:val="11"/>
        <w:spacing w:line="276" w:lineRule="auto"/>
        <w:outlineLvl w:val="0"/>
        <w:rPr>
          <w:sz w:val="28"/>
          <w:szCs w:val="28"/>
        </w:rPr>
      </w:pPr>
    </w:p>
    <w:p w:rsidR="00D23AD9" w:rsidRDefault="0059075E">
      <w:pPr>
        <w:pStyle w:val="1"/>
        <w:ind w:firstLine="851"/>
      </w:pPr>
      <w:bookmarkStart w:id="91" w:name="__RefHeading___Toc15936_1778912248"/>
      <w:bookmarkStart w:id="92" w:name="_Toc242096668"/>
      <w:bookmarkEnd w:id="91"/>
      <w:r>
        <w:t>ТРЕБОВАНИЯ К ИСПОЛНИТЕЛЮ</w:t>
      </w:r>
      <w:bookmarkEnd w:id="92"/>
    </w:p>
    <w:p w:rsidR="00D23AD9" w:rsidRDefault="00D23AD9"/>
    <w:p w:rsidR="00D23AD9" w:rsidRDefault="0059075E">
      <w:pPr>
        <w:pStyle w:val="11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10.1 </w:t>
      </w:r>
      <w:r>
        <w:rPr>
          <w:sz w:val="28"/>
          <w:szCs w:val="28"/>
        </w:rPr>
        <w:t>Исполнитель должен располагать квалифицированным персоналом, материально-техническими ресурсами и программным обеспечением, необходимыми для выполнения работ в полном объеме, надлежащего качества и в сроки, установленные Договором и настоящим Техничес</w:t>
      </w:r>
      <w:r>
        <w:rPr>
          <w:sz w:val="28"/>
          <w:szCs w:val="28"/>
        </w:rPr>
        <w:t>ким заданием.</w:t>
      </w:r>
    </w:p>
    <w:p w:rsidR="00D23AD9" w:rsidRDefault="0059075E">
      <w:pPr>
        <w:pStyle w:val="11"/>
        <w:spacing w:line="276" w:lineRule="auto"/>
        <w:rPr>
          <w:sz w:val="28"/>
          <w:szCs w:val="28"/>
        </w:rPr>
        <w:sectPr w:rsidR="00D23AD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707" w:bottom="1134" w:left="1134" w:header="709" w:footer="709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>10.2</w:t>
      </w:r>
      <w:bookmarkStart w:id="93" w:name="_GoBack"/>
      <w:bookmarkEnd w:id="93"/>
      <w:r>
        <w:rPr>
          <w:sz w:val="28"/>
          <w:szCs w:val="28"/>
        </w:rPr>
        <w:t xml:space="preserve"> В случае если законодательством Российской Федерации для выполнения отдельных видов работ, предусмотренных настоящим Техническим заданием, установлено требование о наличии лицензии, членства в</w:t>
      </w:r>
      <w:r>
        <w:rPr>
          <w:sz w:val="28"/>
          <w:szCs w:val="28"/>
        </w:rPr>
        <w:t xml:space="preserve"> саморегулируемой организации или иного разрешительного документа, Исполнитель (соисполнитель) должен обладать таким документом в течение всего срока исполнения Договора.</w:t>
      </w:r>
    </w:p>
    <w:p w:rsidR="00D23AD9" w:rsidRDefault="0059075E">
      <w:pPr>
        <w:spacing w:line="276" w:lineRule="auto"/>
        <w:ind w:firstLine="709"/>
        <w:jc w:val="right"/>
        <w:outlineLvl w:val="0"/>
        <w:rPr>
          <w:sz w:val="28"/>
          <w:szCs w:val="28"/>
        </w:rPr>
      </w:pPr>
      <w:bookmarkStart w:id="94" w:name="__RefHeading___Toc15938_1778912248"/>
      <w:bookmarkEnd w:id="94"/>
      <w:r>
        <w:rPr>
          <w:rFonts w:ascii="Arial" w:hAnsi="Arial" w:cs="Arial"/>
          <w:b/>
          <w:bCs/>
          <w:sz w:val="28"/>
          <w:szCs w:val="28"/>
        </w:rPr>
        <w:t>ПРИЛОЖЕНИЕ А</w:t>
      </w:r>
      <w:r>
        <w:rPr>
          <w:sz w:val="28"/>
          <w:szCs w:val="28"/>
        </w:rPr>
        <w:t xml:space="preserve"> </w:t>
      </w:r>
    </w:p>
    <w:p w:rsidR="00D23AD9" w:rsidRDefault="00D23AD9">
      <w:pPr>
        <w:pStyle w:val="11"/>
        <w:spacing w:line="276" w:lineRule="auto"/>
        <w:ind w:firstLine="0"/>
        <w:jc w:val="center"/>
        <w:outlineLvl w:val="0"/>
        <w:rPr>
          <w:sz w:val="28"/>
          <w:szCs w:val="28"/>
          <w:lang w:eastAsia="en-US" w:bidi="en-US"/>
        </w:rPr>
      </w:pPr>
    </w:p>
    <w:p w:rsidR="00D23AD9" w:rsidRDefault="0059075E">
      <w:pPr>
        <w:pStyle w:val="11"/>
        <w:ind w:firstLine="0"/>
        <w:jc w:val="center"/>
        <w:outlineLvl w:val="0"/>
        <w:rPr>
          <w:sz w:val="28"/>
          <w:szCs w:val="28"/>
          <w:lang w:eastAsia="en-US" w:bidi="en-US"/>
        </w:rPr>
      </w:pPr>
      <w:bookmarkStart w:id="95" w:name="__RefHeading___Toc15940_1778912248"/>
      <w:bookmarkStart w:id="96" w:name="_Toc242096669"/>
      <w:bookmarkEnd w:id="95"/>
      <w:r>
        <w:rPr>
          <w:sz w:val="28"/>
          <w:szCs w:val="28"/>
          <w:lang w:eastAsia="en-US" w:bidi="en-US"/>
        </w:rPr>
        <w:t>Перечень и адреса существующих объектов РСОН Республики Ингушетия</w:t>
      </w:r>
      <w:bookmarkEnd w:id="96"/>
      <w:r>
        <w:rPr>
          <w:sz w:val="28"/>
          <w:szCs w:val="28"/>
          <w:lang w:eastAsia="en-US" w:bidi="en-US"/>
        </w:rPr>
        <w:t xml:space="preserve"> </w:t>
      </w:r>
    </w:p>
    <w:tbl>
      <w:tblPr>
        <w:tblW w:w="5000" w:type="pct"/>
        <w:tblInd w:w="103" w:type="dxa"/>
        <w:tblLayout w:type="fixed"/>
        <w:tblLook w:val="04A0" w:firstRow="1" w:lastRow="0" w:firstColumn="1" w:lastColumn="0" w:noHBand="0" w:noVBand="1"/>
      </w:tblPr>
      <w:tblGrid>
        <w:gridCol w:w="666"/>
        <w:gridCol w:w="1817"/>
        <w:gridCol w:w="1538"/>
        <w:gridCol w:w="3034"/>
        <w:gridCol w:w="3226"/>
      </w:tblGrid>
      <w:tr w:rsidR="00D23AD9">
        <w:trPr>
          <w:trHeight w:val="8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</w:t>
            </w:r>
            <w:r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Населенный пункт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Адрес объекта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 объекта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округ Магас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Магас, ул. Д.Мальсагова, 34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РСОН РИ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Магас, ул. 65 лет Победы, д. 3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РСОН РИ (ЗПУ)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Магас, ул. С. Озиева, д. 1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Магас, пер. А.Бокова, 1, здание ГБОУ «Гимназия Марем» г. Магас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Магас, ул. Д.Мальсагова, 34, здание ГУ МЧС России по РИ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Магас, ул. Д.Мальсагова, 34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Сервер сбора данных ЭМЕРСИТ М35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Магас, ул. Д.Мальсагова, 34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ТКС (Телекоммуникационный сервер "Марс Аларм")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Магас, ул. 65 лет Победы, 3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ТКС (Телекоммуникационный сервер "Марс Аларм")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Магас, ул. Кайсына Кулиева, 3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Магас, ул. Бота Гагиева, 27, </w:t>
            </w:r>
            <w:r>
              <w:rPr>
                <w:sz w:val="22"/>
                <w:szCs w:val="22"/>
              </w:rPr>
              <w:t>ГБДОУ «Детский Сад №1 «Сказка»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Магас, ул. Кайсына Кулиева, 17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Магас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Магас, пр-кт Идриса Зязикова, 2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округ Карабулак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Карабулак, ул. Промысловая, 2/2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Карабулак,</w:t>
            </w:r>
            <w:r>
              <w:rPr>
                <w:sz w:val="22"/>
                <w:szCs w:val="22"/>
              </w:rPr>
              <w:t xml:space="preserve"> ул. Осканова, 1, завод ЖБИ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Карабулак, ул. Осканова, 65, здание ГБОУ «СОШ №2 г. Карабулак»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Абонентский </w:t>
            </w:r>
            <w:r>
              <w:rPr>
                <w:sz w:val="22"/>
                <w:szCs w:val="22"/>
              </w:rPr>
              <w:t>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Карабулак, ул. Джабагиева, 17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модуль, Базовая станция (2 шт.)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Карабулак, Ж.Д. станция Карабулак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Сиренно-речевая установка </w:t>
            </w:r>
            <w:r>
              <w:rPr>
                <w:sz w:val="22"/>
                <w:szCs w:val="22"/>
              </w:rPr>
              <w:t>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УУСО-РВ (устройство управления сигналами оповещения)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мост г. Карабулак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Измерительная станция ЭМЕРСИТ М35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Карабулак, ул. Фрунзе, 31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Пункт </w:t>
            </w:r>
            <w:r>
              <w:rPr>
                <w:sz w:val="22"/>
                <w:szCs w:val="22"/>
              </w:rPr>
              <w:t>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Карабулак, ул. Градусова, 179а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Карабулак, ул. </w:t>
            </w:r>
            <w:r>
              <w:rPr>
                <w:sz w:val="22"/>
                <w:szCs w:val="22"/>
              </w:rPr>
              <w:t>Пушкина, 1а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округ Малгобек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Малгобек, ул. Осканова, 3, здание администрации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Абонентский </w:t>
            </w:r>
            <w:r>
              <w:rPr>
                <w:sz w:val="22"/>
                <w:szCs w:val="22"/>
              </w:rPr>
              <w:t>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Гоголя, 2а, здание ГБОУ «СОШ №18 г. Малгобек»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Гарданова, 25, здание ГБОУ «СОШ №20 г. Малгобек»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Малгобек, ул. Орджоникидзе, 3, здание ГБОУ «СОШ №3 г. Малгобек»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Малгобек, ул. Осканова, 1, здание администрации Малгобекского района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Базоркина, 51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модуль, Беспроводной мост</w:t>
            </w:r>
          </w:p>
        </w:tc>
      </w:tr>
      <w:tr w:rsidR="00D23AD9">
        <w:trPr>
          <w:trHeight w:val="422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Базоркина, 51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Базоркина, 51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 Малгобекского муниципального района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Физкультурная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Пункт сиренно-речевого оповещения, </w:t>
            </w:r>
            <w:r>
              <w:rPr>
                <w:sz w:val="22"/>
                <w:szCs w:val="22"/>
              </w:rPr>
              <w:t>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Кооперативная, 22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им. Героя России Ахмеда Котиева, 5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Базоркина, 51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Базовая станция широкополосного радиодоступа, шкаф контроля и электропитания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Малгобек, ул. им. Героя </w:t>
            </w:r>
            <w:r>
              <w:rPr>
                <w:sz w:val="22"/>
                <w:szCs w:val="22"/>
              </w:rPr>
              <w:t>России Ахмеда Котиева, 5, ГБОУ «СОШ №16 г. Малгобек»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Полукомплект радиомоста широкополосного радиодоступа (3 шт.), шкаф контроля и электропитания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Малгобекский муниципальный район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Инарки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Малгобекский район, с. Инарки, ул. Тонта Укурова, 14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</w:t>
            </w:r>
            <w:r>
              <w:rPr>
                <w:sz w:val="22"/>
                <w:szCs w:val="22"/>
              </w:rPr>
              <w:t>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Инарки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Малгобекский район, с. Инарки, ул. Тонта Укурова, 47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Инарки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Малгобекский </w:t>
            </w:r>
            <w:r>
              <w:rPr>
                <w:sz w:val="22"/>
                <w:szCs w:val="22"/>
              </w:rPr>
              <w:t>район, с. Инарки, ул. Тонта Укурова, 13, ГБОУ «СОШ №12 с.п. Инарки»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Базовая станция широкополосного радиодоступа (2 шт.), Полукомплект радиомоста широкополосного радиодоступа, шкаф контроля и электропитания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Инарки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Малгобекский район, с. Инарки, ул. 5</w:t>
            </w:r>
            <w:r>
              <w:rPr>
                <w:sz w:val="22"/>
                <w:szCs w:val="22"/>
              </w:rPr>
              <w:t>0 лет Октября, 3 б, ГБДОУ «Детский сад №10 с. п. Инарки «Мир чудес»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Полукомплект радиомоста широкополосного радиодоступа (2 шт.), шкаф контроля и электропитания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Пседах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Малгобекский район, с. Пседах, ул. Школьная, 19а, ГБОУ «СОШ №25 с.п. Пседах»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Базовая станция широкополосного радиодоступа, Полукомплект радиомоста широкополосного радиодоступа (2 шт.), шкаф контроля и электропитания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округ Назрань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Назрань, пр-кт И.Базоркина, 13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Назрань, пр-кт И.Базоркина, 13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 Назрановского муниципального района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Назрань, пр-кт И.Базоркина, 16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Нурадилова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Фабричная, 26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Муталиева, 2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Магомеда-Ахмеда, 36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г. Назрань, ул. </w:t>
            </w:r>
            <w:r>
              <w:rPr>
                <w:sz w:val="22"/>
                <w:szCs w:val="22"/>
              </w:rPr>
              <w:t>Муталиева, 24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Бакинская, 57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Назрань, ул. Эсмурзиева, 20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Школьная, 30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590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</w:t>
            </w:r>
            <w:r>
              <w:rPr>
                <w:sz w:val="22"/>
                <w:szCs w:val="22"/>
              </w:rPr>
              <w:t>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Магистральная, 35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радиодоступа, Беспроводной мост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Московская, 20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Пункт сиренно-речевого оповещения, Абонентское устройство </w:t>
            </w:r>
            <w:r>
              <w:rPr>
                <w:sz w:val="22"/>
                <w:szCs w:val="22"/>
              </w:rPr>
              <w:t>широкополосного радиодоступа, Беспроводной мост (3 шт.)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Амерханова, 10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Албогачиева, 59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</w:t>
            </w:r>
            <w:r>
              <w:rPr>
                <w:sz w:val="22"/>
                <w:szCs w:val="22"/>
              </w:rPr>
              <w:t xml:space="preserve">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Новая, 15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Назрань, ул. Арчакова, 6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</w:t>
            </w:r>
            <w:r>
              <w:rPr>
                <w:sz w:val="22"/>
                <w:szCs w:val="22"/>
              </w:rPr>
              <w:t xml:space="preserve">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Абдул-Гамида Тангиева, 45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Халмурзиева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Пункт </w:t>
            </w:r>
            <w:r>
              <w:rPr>
                <w:sz w:val="22"/>
                <w:szCs w:val="22"/>
              </w:rPr>
              <w:t>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1126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Советская, 16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Назрань, ул. Весенняя, 1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Албогачиева, 143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Назрань, ул. </w:t>
            </w:r>
            <w:r>
              <w:rPr>
                <w:sz w:val="22"/>
                <w:szCs w:val="22"/>
              </w:rPr>
              <w:t>Мартазанова, 59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пр-кт И.Базоркина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Назрань, ул. Суворова, 4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Суворова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Назрань, ул. Центральная, 58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Мурманская, 24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Назрань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Бакинская, 89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669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муниципальный район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Экажево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с.п. Экажево, ул. Ингушская, 45, здание администрации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Сиренно-речевая установка </w:t>
            </w:r>
            <w:r>
              <w:rPr>
                <w:sz w:val="22"/>
                <w:szCs w:val="22"/>
              </w:rPr>
              <w:t>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5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Гази-Юрт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Гази-Юрт, ул. Школьная, 3Б, здание администрации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56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Кантышево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Назрановский район, с. Кантышево, ул. </w:t>
            </w:r>
            <w:r>
              <w:rPr>
                <w:sz w:val="22"/>
                <w:szCs w:val="22"/>
              </w:rPr>
              <w:t>Школьная, 14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545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Кантышево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Кантышево, ул. Али Дзаурова, 33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Пункт сиренно-речевого оповещения, Абонентское устройство широкополосного </w:t>
            </w:r>
            <w:r>
              <w:rPr>
                <w:sz w:val="22"/>
                <w:szCs w:val="22"/>
              </w:rPr>
              <w:t>радиодоступа</w:t>
            </w:r>
          </w:p>
        </w:tc>
      </w:tr>
      <w:tr w:rsidR="00D23AD9">
        <w:trPr>
          <w:trHeight w:val="113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Кантышево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Кантышево, ул. Джабагиева, 115 МФЦ (опора)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560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Кантышево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Кантышево, ул. Иналова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Пункт </w:t>
            </w:r>
            <w:r>
              <w:rPr>
                <w:sz w:val="21"/>
                <w:szCs w:val="21"/>
              </w:rPr>
              <w:t>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560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Кантышево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Кантышево, ул. Шерипова, 1, ГБОУ «СОШ-ДС №1 с.п. Кантышево»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Базовая станция широкополосного радиодоступа Полукомплект радиомоста </w:t>
            </w:r>
            <w:r>
              <w:rPr>
                <w:sz w:val="21"/>
                <w:szCs w:val="21"/>
              </w:rPr>
              <w:t>широкополосного радиодоступа (2 шт.), шкаф контроля и электропитания</w:t>
            </w:r>
          </w:p>
        </w:tc>
      </w:tr>
      <w:tr w:rsidR="00D23AD9">
        <w:trPr>
          <w:trHeight w:val="55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Долаково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Долаково, ул. Дахкильгова, 44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576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Долаково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Назрановский </w:t>
            </w:r>
            <w:r>
              <w:rPr>
                <w:sz w:val="22"/>
                <w:szCs w:val="22"/>
              </w:rPr>
              <w:t>район, с. Долаково, ул. Мислаурова, 36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576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Долаково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Долаково, ул. Дахкильгова, 8б, здание администрации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Базовая станция широкополосного </w:t>
            </w:r>
            <w:r>
              <w:rPr>
                <w:sz w:val="21"/>
                <w:szCs w:val="21"/>
              </w:rPr>
              <w:t>радиодоступа, Полукомплект радиомоста широкополосного радиодоступа, шкаф контроля и электропитания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Плиево, ул. Привокзальная, 3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Плиево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Плиево, ФОК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Назрановский район, с. Плиево, ул. им. Сулумбека Осканова, 97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</w:t>
            </w:r>
            <w:r>
              <w:rPr>
                <w:sz w:val="21"/>
                <w:szCs w:val="21"/>
              </w:rPr>
              <w:t>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Назрановский район, с. Плиево, ул. 1-ая Заводская, 15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Назрановский район, с. Плиево, ул. им. Сулумбека </w:t>
            </w:r>
            <w:r>
              <w:rPr>
                <w:sz w:val="22"/>
                <w:szCs w:val="22"/>
              </w:rPr>
              <w:t>Осканова, 14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111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Плиево, ул. Али Горчкханова, 100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155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Плиево, ул. Больничная, 4, Онкологический диспансер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Базовая станция широкополосного радиодоступа (2 шт.), Полукомплект радиомоста широкополосного радиодоступа, шкаф контроля и электропитания</w:t>
            </w:r>
          </w:p>
        </w:tc>
      </w:tr>
      <w:tr w:rsidR="00D23AD9">
        <w:trPr>
          <w:trHeight w:val="14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Назрановский район, на посту ДПС магазин ООО «Евстрой»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Полукомплект радиомоста широкополосного радиодоступа (2 шт.), шкаф контроля и электропитания</w:t>
            </w:r>
          </w:p>
        </w:tc>
      </w:tr>
      <w:tr w:rsidR="00D23AD9">
        <w:trPr>
          <w:trHeight w:val="32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округ Сунжа</w:t>
            </w:r>
          </w:p>
          <w:p w:rsidR="00D23AD9" w:rsidRDefault="00D23AD9">
            <w:pPr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Менделеева, 36, здание ГБОУ «СОШ №4 г. Сунжа»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32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Сунжа, ул. Висаитова, 2, здание ж.д. вокзала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32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Сунжа, ул. Грозненская, </w:t>
            </w:r>
            <w:r>
              <w:rPr>
                <w:sz w:val="22"/>
                <w:szCs w:val="22"/>
              </w:rPr>
              <w:t>1, здание ГБОУ «СОШ № 6 г. Сунжа»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32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Осканова, 5, здание ГБУЗ «СЦРБ»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32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Сунжа, ул. Трудовая, д. 1, ООО «РН-Ингушнефтепродукт»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32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Новая Кирова, 10, здание ГБОУ «СОШ №7 г. Сунжа»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Сиренно-речевая установка (БАО-600 с </w:t>
            </w:r>
            <w:r>
              <w:rPr>
                <w:sz w:val="22"/>
                <w:szCs w:val="22"/>
              </w:rPr>
              <w:t>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32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Сунжа, ул. Висаитова, 85, здание ГБОУ «СОШ №3 г. Сунжа»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32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Сейнароева, 1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Базовая станция (2 шт.)</w:t>
            </w:r>
          </w:p>
        </w:tc>
      </w:tr>
      <w:tr w:rsidR="00D23AD9">
        <w:trPr>
          <w:trHeight w:val="32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г. Сунжа, ул. Свердлова, 1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управления</w:t>
            </w:r>
          </w:p>
        </w:tc>
      </w:tr>
      <w:tr w:rsidR="00D23AD9">
        <w:trPr>
          <w:trHeight w:val="32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Свердлова, 1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Плиева, 68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Пункт сиренно-речевого оповещения, </w:t>
            </w:r>
            <w:r>
              <w:rPr>
                <w:sz w:val="22"/>
                <w:szCs w:val="22"/>
              </w:rPr>
              <w:t>Абонентское устройство широкополосного радиодоступа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Жукова, 4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400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муниципальный район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Троицкое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Сунженский район, мост с.п. </w:t>
            </w:r>
            <w:r>
              <w:rPr>
                <w:sz w:val="22"/>
                <w:szCs w:val="22"/>
              </w:rPr>
              <w:t>Троицкое</w:t>
            </w:r>
          </w:p>
        </w:tc>
        <w:tc>
          <w:tcPr>
            <w:tcW w:w="3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Измерительная станция ЭМЕРСИТ М35</w:t>
            </w:r>
          </w:p>
        </w:tc>
      </w:tr>
      <w:tr w:rsidR="00D23AD9">
        <w:trPr>
          <w:trHeight w:val="772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Троицкое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Сунженский район, с.п. Троицкое, ул. Широкая, б/н, Мечеть</w:t>
            </w:r>
          </w:p>
        </w:tc>
        <w:tc>
          <w:tcPr>
            <w:tcW w:w="3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82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Троицкое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Сунженский район, с.п. Троицкое, ул. </w:t>
            </w:r>
            <w:r>
              <w:rPr>
                <w:sz w:val="22"/>
                <w:szCs w:val="22"/>
              </w:rPr>
              <w:t>Шоссейная, 1, здание ГБОУ «ООШ №3 с.п. Троицкое»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82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Троицкое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Сунженский район, с.п. Троицкое, ул. Речная, 3, здание администрации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Сиренно-речевая установка (БАО-600 с </w:t>
            </w:r>
            <w:r>
              <w:rPr>
                <w:sz w:val="22"/>
                <w:szCs w:val="22"/>
              </w:rPr>
              <w:t>АС-600),</w:t>
            </w:r>
          </w:p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82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район, ст-ца Нестеровская, переулок Аушева, д. 5а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 Сунженского муниципального района</w:t>
            </w:r>
          </w:p>
        </w:tc>
      </w:tr>
      <w:tr w:rsidR="00D23AD9">
        <w:trPr>
          <w:trHeight w:val="54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Сунженский район, ст-ца Нестеровская, ул. </w:t>
            </w:r>
            <w:r>
              <w:rPr>
                <w:sz w:val="22"/>
                <w:szCs w:val="22"/>
              </w:rPr>
              <w:t>Первомайская, 46а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54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район, ст-ца Нестеровская, ул. Рашида Аушева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</w:t>
            </w:r>
            <w:r>
              <w:rPr>
                <w:sz w:val="22"/>
                <w:szCs w:val="22"/>
              </w:rPr>
              <w:t xml:space="preserve"> радиодоступа</w:t>
            </w:r>
          </w:p>
        </w:tc>
      </w:tr>
      <w:tr w:rsidR="00D23AD9">
        <w:trPr>
          <w:trHeight w:val="596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Сунженский район, ст-ца Нестеровская, ул. Мира, 147А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8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район, ст-ца Нестеровская, ул. Ленина, 68, ГБОУ</w:t>
            </w:r>
            <w:r>
              <w:rPr>
                <w:sz w:val="22"/>
                <w:szCs w:val="22"/>
              </w:rPr>
              <w:t xml:space="preserve"> «СОШ №2 с.п. Нестеровское»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8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Сунженский район, ст-ца Нестеровская, ул. Первомайская, 48, здание ДК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Базовая станция широкополосного радиодоступа (2 </w:t>
            </w:r>
            <w:r>
              <w:rPr>
                <w:sz w:val="22"/>
                <w:szCs w:val="22"/>
              </w:rPr>
              <w:t>шт.), Полукомплект радиомоста широкополосного радиодоступа (2 шт.), шкаф контроля и электропитания</w:t>
            </w:r>
          </w:p>
        </w:tc>
      </w:tr>
      <w:tr w:rsidR="00D23AD9">
        <w:trPr>
          <w:trHeight w:val="28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с. Алхасты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район, с. Алхасты, ул. Ленина, 39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 w:rsidR="00D23AD9">
        <w:trPr>
          <w:trHeight w:val="288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 </w:t>
            </w:r>
            <w:r>
              <w:rPr>
                <w:sz w:val="22"/>
                <w:szCs w:val="22"/>
              </w:rPr>
              <w:t>Алхасты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район, с. Алхасты, ул. Центральная, 16, ГБОУ «СОШ-ДС с.п. Алхасты»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Базовая станция широкополосного радиодоступа, Полукомплект радиомоста широкополосного радиодоступа, шкаф контроля и электропитания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Джейрахский муниципальный район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с.п. </w:t>
            </w:r>
            <w:r>
              <w:rPr>
                <w:sz w:val="22"/>
                <w:szCs w:val="22"/>
              </w:rPr>
              <w:t>Джейрах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Джейрахский район, с.п. Джейрах, ул. Д.Льянова, 10, здание ГБОУ «СОШ - детский сад с.п. Джейрах»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 w:rsidR="00D23AD9" w:rsidRDefault="0059075E"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Джейрах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Джейрахский район, с.п. Джейрах, ул. Д.Льянова, 37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 xml:space="preserve">Пульт </w:t>
            </w:r>
            <w:r>
              <w:rPr>
                <w:sz w:val="22"/>
                <w:szCs w:val="22"/>
              </w:rPr>
              <w:t>управления ЕДДС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Джейрах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Джейрахский район, с.п. Джейрах, ул. Д.Льянова, 37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 w:rsidR="00D23AD9">
        <w:trPr>
          <w:trHeight w:val="26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pStyle w:val="aff2"/>
              <w:numPr>
                <w:ilvl w:val="0"/>
                <w:numId w:val="3"/>
              </w:numPr>
              <w:snapToGrid w:val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D23A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Джейрах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r>
              <w:rPr>
                <w:sz w:val="22"/>
                <w:szCs w:val="22"/>
              </w:rPr>
              <w:t>Джейрахский район, Столовая гора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3AD9" w:rsidRDefault="005907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мост (2 шт.)</w:t>
            </w:r>
          </w:p>
        </w:tc>
      </w:tr>
    </w:tbl>
    <w:p w:rsidR="00D23AD9" w:rsidRDefault="00D23AD9">
      <w:pPr>
        <w:pStyle w:val="11"/>
        <w:spacing w:line="276" w:lineRule="auto"/>
        <w:jc w:val="center"/>
        <w:rPr>
          <w:sz w:val="28"/>
          <w:szCs w:val="28"/>
          <w:lang w:eastAsia="en-US" w:bidi="en-US"/>
        </w:rPr>
      </w:pPr>
    </w:p>
    <w:sectPr w:rsidR="00D23AD9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134" w:right="707" w:bottom="1134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9075E">
      <w:r>
        <w:separator/>
      </w:r>
    </w:p>
  </w:endnote>
  <w:endnote w:type="continuationSeparator" w:id="0">
    <w:p w:rsidR="00000000" w:rsidRDefault="00590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D23AD9">
    <w:pPr>
      <w:pStyle w:val="af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D23AD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D23AD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D23AD9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D23A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9075E">
      <w:r>
        <w:separator/>
      </w:r>
    </w:p>
  </w:footnote>
  <w:footnote w:type="continuationSeparator" w:id="0">
    <w:p w:rsidR="00000000" w:rsidRDefault="00590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D23AD9">
    <w:pPr>
      <w:pStyle w:val="a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59075E">
    <w:pPr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D23AD9">
    <w:pPr>
      <w:pStyle w:val="aff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D23AD9">
    <w:pPr>
      <w:pStyle w:val="a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59075E">
    <w:pPr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31</w:t>
    </w:r>
    <w:r>
      <w:rPr>
        <w:rStyle w:val="a5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59075E">
    <w:pPr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59075E">
    <w:pPr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38</w:t>
    </w:r>
    <w:r>
      <w:rPr>
        <w:rStyle w:val="a5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D9" w:rsidRDefault="0059075E">
    <w:pPr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33</w:t>
    </w:r>
    <w:r>
      <w:rPr>
        <w:rStyle w:val="a5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E473B"/>
    <w:multiLevelType w:val="multilevel"/>
    <w:tmpl w:val="C8EA595E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1571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06391B"/>
    <w:multiLevelType w:val="multilevel"/>
    <w:tmpl w:val="14CC422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353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AB372E2"/>
    <w:multiLevelType w:val="multilevel"/>
    <w:tmpl w:val="2976F55E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1571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4645C2E"/>
    <w:multiLevelType w:val="multilevel"/>
    <w:tmpl w:val="106A1688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4DD743F"/>
    <w:multiLevelType w:val="multilevel"/>
    <w:tmpl w:val="CB449D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4E9370E"/>
    <w:multiLevelType w:val="multilevel"/>
    <w:tmpl w:val="99E802B0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1571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E813CD5"/>
    <w:multiLevelType w:val="multilevel"/>
    <w:tmpl w:val="EFEE30F4"/>
    <w:lvl w:ilvl="0">
      <w:numFmt w:val="bullet"/>
      <w:lvlText w:val="-"/>
      <w:lvlJc w:val="left"/>
      <w:pPr>
        <w:tabs>
          <w:tab w:val="num" w:pos="0"/>
        </w:tabs>
        <w:ind w:left="1571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6B45DB0"/>
    <w:multiLevelType w:val="multilevel"/>
    <w:tmpl w:val="EDF8F1F6"/>
    <w:lvl w:ilvl="0">
      <w:start w:val="1"/>
      <w:numFmt w:val="decimal"/>
      <w:pStyle w:val="1"/>
      <w:suff w:val="space"/>
      <w:lvlText w:val="%1"/>
      <w:lvlJc w:val="left"/>
      <w:pPr>
        <w:tabs>
          <w:tab w:val="num" w:pos="0"/>
        </w:tabs>
        <w:ind w:left="851" w:firstLine="0"/>
      </w:pPr>
      <w:rPr>
        <w:color w:val="000000"/>
      </w:r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2978" w:firstLine="0"/>
      </w:pPr>
    </w:lvl>
    <w:lvl w:ilvl="2">
      <w:start w:val="1"/>
      <w:numFmt w:val="decimal"/>
      <w:pStyle w:val="3"/>
      <w:suff w:val="space"/>
      <w:lvlText w:val="%1.%2.%3"/>
      <w:lvlJc w:val="left"/>
      <w:pPr>
        <w:tabs>
          <w:tab w:val="num" w:pos="0"/>
        </w:tabs>
        <w:ind w:left="851" w:firstLine="0"/>
      </w:pPr>
    </w:lvl>
    <w:lvl w:ilvl="3">
      <w:start w:val="1"/>
      <w:numFmt w:val="decimal"/>
      <w:pStyle w:val="4"/>
      <w:suff w:val="space"/>
      <w:lvlText w:val="%1.%2.%3.%4"/>
      <w:lvlJc w:val="left"/>
      <w:pPr>
        <w:tabs>
          <w:tab w:val="num" w:pos="0"/>
        </w:tabs>
        <w:ind w:left="851" w:firstLine="0"/>
      </w:pPr>
    </w:lvl>
    <w:lvl w:ilvl="4">
      <w:start w:val="1"/>
      <w:numFmt w:val="decimal"/>
      <w:pStyle w:val="5"/>
      <w:suff w:val="space"/>
      <w:lvlText w:val="%1.%2.%3.%4.%5"/>
      <w:lvlJc w:val="left"/>
      <w:pPr>
        <w:tabs>
          <w:tab w:val="num" w:pos="0"/>
        </w:tabs>
        <w:ind w:left="851" w:firstLine="0"/>
      </w:pPr>
    </w:lvl>
    <w:lvl w:ilvl="5">
      <w:start w:val="1"/>
      <w:numFmt w:val="decimal"/>
      <w:pStyle w:val="6"/>
      <w:suff w:val="space"/>
      <w:lvlText w:val="%1.%2.%3.%4.%5.%6"/>
      <w:lvlJc w:val="left"/>
      <w:pPr>
        <w:tabs>
          <w:tab w:val="num" w:pos="0"/>
        </w:tabs>
        <w:ind w:left="851" w:firstLine="0"/>
      </w:pPr>
    </w:lvl>
    <w:lvl w:ilvl="6">
      <w:start w:val="1"/>
      <w:numFmt w:val="decimal"/>
      <w:pStyle w:val="7"/>
      <w:suff w:val="space"/>
      <w:lvlText w:val="%1.%2.%3.%4.%5.%6.%7"/>
      <w:lvlJc w:val="left"/>
      <w:pPr>
        <w:tabs>
          <w:tab w:val="num" w:pos="0"/>
        </w:tabs>
        <w:ind w:left="851" w:firstLine="0"/>
      </w:pPr>
    </w:lvl>
    <w:lvl w:ilvl="7">
      <w:start w:val="1"/>
      <w:numFmt w:val="decimal"/>
      <w:pStyle w:val="8"/>
      <w:suff w:val="space"/>
      <w:lvlText w:val="%1.%2.%3.%4.%5.%6.%7.%8"/>
      <w:lvlJc w:val="left"/>
      <w:pPr>
        <w:tabs>
          <w:tab w:val="num" w:pos="0"/>
        </w:tabs>
        <w:ind w:left="851" w:firstLine="0"/>
      </w:pPr>
    </w:lvl>
    <w:lvl w:ilvl="8">
      <w:start w:val="1"/>
      <w:numFmt w:val="decimal"/>
      <w:pStyle w:val="9"/>
      <w:suff w:val="space"/>
      <w:lvlText w:val="%1.%2.%3.%4.%5.%6.%7.%8.%9"/>
      <w:lvlJc w:val="left"/>
      <w:pPr>
        <w:tabs>
          <w:tab w:val="num" w:pos="0"/>
        </w:tabs>
        <w:ind w:left="851" w:firstLine="0"/>
      </w:pPr>
    </w:lvl>
  </w:abstractNum>
  <w:abstractNum w:abstractNumId="8" w15:restartNumberingAfterBreak="0">
    <w:nsid w:val="39256EDA"/>
    <w:multiLevelType w:val="multilevel"/>
    <w:tmpl w:val="CB0412C8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1571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A0C25A3"/>
    <w:multiLevelType w:val="multilevel"/>
    <w:tmpl w:val="1690D864"/>
    <w:lvl w:ilvl="0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CC93A22"/>
    <w:multiLevelType w:val="multilevel"/>
    <w:tmpl w:val="DC4029BE"/>
    <w:lvl w:ilvl="0">
      <w:numFmt w:val="bullet"/>
      <w:lvlText w:val="-"/>
      <w:lvlJc w:val="left"/>
      <w:pPr>
        <w:tabs>
          <w:tab w:val="num" w:pos="0"/>
        </w:tabs>
        <w:ind w:left="1571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3E36647A"/>
    <w:multiLevelType w:val="multilevel"/>
    <w:tmpl w:val="CCCC5DC4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1571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FEE4039"/>
    <w:multiLevelType w:val="multilevel"/>
    <w:tmpl w:val="14D815B0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24222EE"/>
    <w:multiLevelType w:val="multilevel"/>
    <w:tmpl w:val="893641AA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1571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48314495"/>
    <w:multiLevelType w:val="multilevel"/>
    <w:tmpl w:val="996C5558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1571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FD01A97"/>
    <w:multiLevelType w:val="multilevel"/>
    <w:tmpl w:val="A5DC563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968" w:hanging="2160"/>
      </w:pPr>
    </w:lvl>
  </w:abstractNum>
  <w:abstractNum w:abstractNumId="16" w15:restartNumberingAfterBreak="0">
    <w:nsid w:val="508D7B39"/>
    <w:multiLevelType w:val="multilevel"/>
    <w:tmpl w:val="08B09998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1571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623E1D5D"/>
    <w:multiLevelType w:val="multilevel"/>
    <w:tmpl w:val="4E92AA50"/>
    <w:lvl w:ilvl="0">
      <w:start w:val="1"/>
      <w:numFmt w:val="decimal"/>
      <w:pStyle w:val="31"/>
      <w:lvlText w:val="%1."/>
      <w:lvlJc w:val="left"/>
      <w:pPr>
        <w:tabs>
          <w:tab w:val="num" w:pos="1571"/>
        </w:tabs>
        <w:ind w:left="1571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62CB4BE9"/>
    <w:multiLevelType w:val="multilevel"/>
    <w:tmpl w:val="019861E0"/>
    <w:lvl w:ilvl="0">
      <w:start w:val="1"/>
      <w:numFmt w:val="bullet"/>
      <w:lvlText w:val="-"/>
      <w:lvlJc w:val="left"/>
      <w:pPr>
        <w:tabs>
          <w:tab w:val="num" w:pos="0"/>
        </w:tabs>
        <w:ind w:left="1571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6F585ECC"/>
    <w:multiLevelType w:val="multilevel"/>
    <w:tmpl w:val="E49CC384"/>
    <w:lvl w:ilvl="0">
      <w:start w:val="1"/>
      <w:numFmt w:val="bullet"/>
      <w:lvlText w:val="-"/>
      <w:lvlJc w:val="left"/>
      <w:pPr>
        <w:tabs>
          <w:tab w:val="num" w:pos="0"/>
        </w:tabs>
        <w:ind w:left="1495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727259BA"/>
    <w:multiLevelType w:val="multilevel"/>
    <w:tmpl w:val="D8524B20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786E5F34"/>
    <w:multiLevelType w:val="multilevel"/>
    <w:tmpl w:val="403CAF76"/>
    <w:lvl w:ilvl="0">
      <w:start w:val="1"/>
      <w:numFmt w:val="bullet"/>
      <w:pStyle w:val="10"/>
      <w:lvlText w:val=""/>
      <w:lvlJc w:val="left"/>
      <w:pPr>
        <w:tabs>
          <w:tab w:val="num" w:pos="1571"/>
        </w:tabs>
        <w:ind w:left="1571" w:hanging="358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7A8476D1"/>
    <w:multiLevelType w:val="multilevel"/>
    <w:tmpl w:val="DF100A44"/>
    <w:lvl w:ilvl="0">
      <w:start w:val="1"/>
      <w:numFmt w:val="upperRoman"/>
      <w:lvlText w:val="%1."/>
      <w:lvlJc w:val="left"/>
      <w:pPr>
        <w:tabs>
          <w:tab w:val="num" w:pos="0"/>
        </w:tabs>
        <w:ind w:left="2171" w:hanging="132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1"/>
  </w:num>
  <w:num w:numId="5">
    <w:abstractNumId w:val="19"/>
  </w:num>
  <w:num w:numId="6">
    <w:abstractNumId w:val="2"/>
  </w:num>
  <w:num w:numId="7">
    <w:abstractNumId w:val="17"/>
  </w:num>
  <w:num w:numId="8">
    <w:abstractNumId w:val="8"/>
  </w:num>
  <w:num w:numId="9">
    <w:abstractNumId w:val="20"/>
  </w:num>
  <w:num w:numId="10">
    <w:abstractNumId w:val="6"/>
  </w:num>
  <w:num w:numId="11">
    <w:abstractNumId w:val="12"/>
  </w:num>
  <w:num w:numId="12">
    <w:abstractNumId w:val="9"/>
  </w:num>
  <w:num w:numId="13">
    <w:abstractNumId w:val="0"/>
  </w:num>
  <w:num w:numId="14">
    <w:abstractNumId w:val="22"/>
  </w:num>
  <w:num w:numId="15">
    <w:abstractNumId w:val="3"/>
  </w:num>
  <w:num w:numId="16">
    <w:abstractNumId w:val="15"/>
  </w:num>
  <w:num w:numId="17">
    <w:abstractNumId w:val="11"/>
  </w:num>
  <w:num w:numId="18">
    <w:abstractNumId w:val="16"/>
  </w:num>
  <w:num w:numId="19">
    <w:abstractNumId w:val="18"/>
  </w:num>
  <w:num w:numId="20">
    <w:abstractNumId w:val="5"/>
  </w:num>
  <w:num w:numId="21">
    <w:abstractNumId w:val="13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AD9"/>
    <w:rsid w:val="0059075E"/>
    <w:rsid w:val="00D2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0E87A"/>
  <w15:docId w15:val="{8866B884-849B-4A52-9758-9FCDB380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11"/>
    <w:next w:val="11"/>
    <w:uiPriority w:val="9"/>
    <w:qFormat/>
    <w:pPr>
      <w:keepNext/>
      <w:pageBreakBefore/>
      <w:numPr>
        <w:numId w:val="1"/>
      </w:numPr>
      <w:spacing w:line="276" w:lineRule="auto"/>
      <w:ind w:left="0"/>
      <w:jc w:val="center"/>
      <w:outlineLvl w:val="0"/>
    </w:pPr>
    <w:rPr>
      <w:b/>
      <w:bCs/>
      <w:caps/>
      <w:kern w:val="2"/>
      <w:sz w:val="28"/>
      <w:szCs w:val="28"/>
    </w:rPr>
  </w:style>
  <w:style w:type="paragraph" w:styleId="2">
    <w:name w:val="heading 2"/>
    <w:basedOn w:val="11"/>
    <w:next w:val="11"/>
    <w:uiPriority w:val="9"/>
    <w:unhideWhenUsed/>
    <w:qFormat/>
    <w:pPr>
      <w:keepNext/>
      <w:spacing w:line="276" w:lineRule="auto"/>
      <w:ind w:left="851" w:firstLine="0"/>
      <w:jc w:val="left"/>
      <w:outlineLvl w:val="1"/>
    </w:pPr>
    <w:rPr>
      <w:b/>
      <w:bCs/>
      <w:sz w:val="28"/>
      <w:szCs w:val="32"/>
    </w:rPr>
  </w:style>
  <w:style w:type="paragraph" w:styleId="3">
    <w:name w:val="heading 3"/>
    <w:basedOn w:val="11"/>
    <w:next w:val="11"/>
    <w:uiPriority w:val="9"/>
    <w:unhideWhenUsed/>
    <w:qFormat/>
    <w:pPr>
      <w:keepNext/>
      <w:numPr>
        <w:ilvl w:val="2"/>
        <w:numId w:val="1"/>
      </w:numPr>
      <w:spacing w:line="276" w:lineRule="auto"/>
      <w:outlineLvl w:val="2"/>
    </w:pPr>
    <w:rPr>
      <w:b/>
      <w:bCs/>
      <w:sz w:val="28"/>
      <w:szCs w:val="28"/>
    </w:rPr>
  </w:style>
  <w:style w:type="paragraph" w:styleId="4">
    <w:name w:val="heading 4"/>
    <w:basedOn w:val="11"/>
    <w:next w:val="11"/>
    <w:uiPriority w:val="9"/>
    <w:unhideWhenUsed/>
    <w:qFormat/>
    <w:pPr>
      <w:keepNext/>
      <w:numPr>
        <w:ilvl w:val="3"/>
        <w:numId w:val="1"/>
      </w:numPr>
      <w:spacing w:line="276" w:lineRule="auto"/>
      <w:ind w:left="0"/>
      <w:outlineLvl w:val="3"/>
    </w:pPr>
    <w:rPr>
      <w:b/>
      <w:bCs/>
      <w:sz w:val="28"/>
      <w:szCs w:val="28"/>
    </w:rPr>
  </w:style>
  <w:style w:type="paragraph" w:styleId="5">
    <w:name w:val="heading 5"/>
    <w:basedOn w:val="11"/>
    <w:next w:val="11"/>
    <w:uiPriority w:val="9"/>
    <w:semiHidden/>
    <w:unhideWhenUsed/>
    <w:qFormat/>
    <w:pPr>
      <w:numPr>
        <w:ilvl w:val="4"/>
        <w:numId w:val="1"/>
      </w:numPr>
      <w:spacing w:before="240" w:after="60"/>
      <w:ind w:left="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color w:val="000000"/>
    </w:rPr>
  </w:style>
  <w:style w:type="character" w:customStyle="1" w:styleId="WW8Num1z1">
    <w:name w:val="WW8Num1z1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6z0">
    <w:name w:val="WW8Num6z0"/>
    <w:qFormat/>
    <w:rPr>
      <w:color w:val="000000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Times New Roman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Times New Roman" w:hAnsi="Times New Roman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Cambria" w:hAnsi="Cambria" w:cs="Cambria"/>
    </w:rPr>
  </w:style>
  <w:style w:type="character" w:customStyle="1" w:styleId="WW8Num16z1">
    <w:name w:val="WW8Num16z1"/>
    <w:qFormat/>
    <w:rPr>
      <w:rFonts w:ascii="Tahoma" w:hAnsi="Tahoma" w:cs="Tahoma"/>
    </w:rPr>
  </w:style>
  <w:style w:type="character" w:customStyle="1" w:styleId="WW8Num16z2">
    <w:name w:val="WW8Num16z2"/>
    <w:qFormat/>
    <w:rPr>
      <w:rFonts w:ascii="Calibri" w:hAnsi="Calibri" w:cs="Calibri"/>
    </w:rPr>
  </w:style>
  <w:style w:type="character" w:customStyle="1" w:styleId="WW8Num16z3">
    <w:name w:val="WW8Num16z3"/>
    <w:qFormat/>
    <w:rPr>
      <w:rFonts w:ascii="Arial" w:hAnsi="Arial" w:cs="Arial"/>
    </w:rPr>
  </w:style>
  <w:style w:type="character" w:customStyle="1" w:styleId="WW8Num17z0">
    <w:name w:val="WW8Num17z0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Times New Roman" w:eastAsia="Calibri" w:hAnsi="Times New Roman" w:cs="Times New Roman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Times New Roman" w:hAnsi="Times New Roman"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rFonts w:ascii="Cambria" w:hAnsi="Cambria" w:cs="Cambria"/>
    </w:rPr>
  </w:style>
  <w:style w:type="character" w:customStyle="1" w:styleId="WW8Num23z1">
    <w:name w:val="WW8Num23z1"/>
    <w:qFormat/>
    <w:rPr>
      <w:rFonts w:ascii="Tahoma" w:hAnsi="Tahoma" w:cs="Tahoma"/>
    </w:rPr>
  </w:style>
  <w:style w:type="character" w:customStyle="1" w:styleId="WW8Num23z2">
    <w:name w:val="WW8Num23z2"/>
    <w:qFormat/>
    <w:rPr>
      <w:rFonts w:ascii="Calibri" w:hAnsi="Calibri" w:cs="Calibri"/>
    </w:rPr>
  </w:style>
  <w:style w:type="character" w:customStyle="1" w:styleId="WW8Num23z3">
    <w:name w:val="WW8Num23z3"/>
    <w:qFormat/>
    <w:rPr>
      <w:rFonts w:ascii="Arial" w:hAnsi="Arial" w:cs="Arial"/>
    </w:rPr>
  </w:style>
  <w:style w:type="character" w:customStyle="1" w:styleId="WW8Num24z0">
    <w:name w:val="WW8Num24z0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2">
    <w:name w:val="WW8Num29z2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515151"/>
      <w:spacing w:val="0"/>
      <w:w w:val="100"/>
      <w:position w:val="0"/>
      <w:sz w:val="16"/>
      <w:szCs w:val="16"/>
      <w:u w:val="none"/>
      <w:shd w:val="clear" w:color="auto" w:fill="auto"/>
      <w:vertAlign w:val="baseline"/>
      <w:lang w:val="ru-RU" w:bidi="ru-RU"/>
    </w:rPr>
  </w:style>
  <w:style w:type="character" w:customStyle="1" w:styleId="WW8Num30z0">
    <w:name w:val="WW8Num30z0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Times New Roman" w:hAnsi="Times New Roman" w:cs="Times New Roman"/>
    </w:rPr>
  </w:style>
  <w:style w:type="character" w:customStyle="1" w:styleId="WW8Num31z1">
    <w:name w:val="WW8Num31z1"/>
    <w:qFormat/>
    <w:rPr>
      <w:rFonts w:ascii="Times New Roman" w:eastAsia="Calibri" w:hAnsi="Times New Roman" w:cs="Times New Roman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1z4">
    <w:name w:val="WW8Num31z4"/>
    <w:qFormat/>
    <w:rPr>
      <w:rFonts w:ascii="Courier New" w:hAnsi="Courier New" w:cs="Courier New"/>
    </w:rPr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</w:style>
  <w:style w:type="character" w:customStyle="1" w:styleId="WW8Num37z0">
    <w:name w:val="WW8Num37z0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8z0">
    <w:name w:val="WW8Num38z0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Times New Roman" w:eastAsia="Calibri" w:hAnsi="Times New Roman" w:cs="Times New Roman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CharChar">
    <w:name w:val="Обычный Char Char"/>
    <w:qFormat/>
    <w:rPr>
      <w:sz w:val="24"/>
      <w:szCs w:val="24"/>
      <w:lang w:val="ru-RU" w:bidi="ar-SA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page number"/>
    <w:basedOn w:val="a1"/>
  </w:style>
  <w:style w:type="character" w:customStyle="1" w:styleId="CharChar0">
    <w:name w:val="Комментарии Char Char"/>
    <w:qFormat/>
    <w:rPr>
      <w:color w:val="FF9900"/>
      <w:sz w:val="24"/>
      <w:szCs w:val="24"/>
      <w:lang w:val="ru-RU" w:bidi="ar-SA"/>
    </w:rPr>
  </w:style>
  <w:style w:type="character" w:customStyle="1" w:styleId="CharChar1">
    <w:name w:val="Подзаголовок приложения Char Char"/>
    <w:qFormat/>
    <w:rPr>
      <w:b/>
      <w:sz w:val="28"/>
      <w:szCs w:val="28"/>
      <w:lang w:val="ru-RU" w:bidi="ar-SA"/>
    </w:rPr>
  </w:style>
  <w:style w:type="character" w:styleId="a6">
    <w:name w:val="annotation reference"/>
    <w:qFormat/>
    <w:rPr>
      <w:sz w:val="16"/>
      <w:szCs w:val="16"/>
    </w:rPr>
  </w:style>
  <w:style w:type="character" w:customStyle="1" w:styleId="a7">
    <w:name w:val="Без интервала Знак"/>
    <w:qFormat/>
    <w:rPr>
      <w:rFonts w:ascii="Arial" w:hAnsi="Arial" w:cs="Arial"/>
      <w:sz w:val="28"/>
      <w:szCs w:val="22"/>
      <w:lang w:val="en-US" w:bidi="en-US"/>
    </w:rPr>
  </w:style>
  <w:style w:type="character" w:customStyle="1" w:styleId="a8">
    <w:name w:val="Текст примечания Знак"/>
    <w:basedOn w:val="a1"/>
    <w:qFormat/>
  </w:style>
  <w:style w:type="character" w:customStyle="1" w:styleId="a9">
    <w:name w:val="Абзац списка Знак"/>
    <w:qFormat/>
    <w:rPr>
      <w:sz w:val="24"/>
      <w:szCs w:val="24"/>
    </w:rPr>
  </w:style>
  <w:style w:type="character" w:customStyle="1" w:styleId="aa">
    <w:name w:val="Текст_Сенсор Знак"/>
    <w:qFormat/>
    <w:rPr>
      <w:sz w:val="24"/>
      <w:szCs w:val="28"/>
    </w:rPr>
  </w:style>
  <w:style w:type="character" w:customStyle="1" w:styleId="ab">
    <w:name w:val="Текст список Знак"/>
    <w:qFormat/>
    <w:rPr>
      <w:sz w:val="24"/>
      <w:szCs w:val="28"/>
      <w:lang w:bidi="en-US"/>
    </w:rPr>
  </w:style>
  <w:style w:type="character" w:customStyle="1" w:styleId="ac">
    <w:name w:val="Основной текст_"/>
    <w:qFormat/>
    <w:rPr>
      <w:rFonts w:ascii="Arial" w:eastAsia="Arial" w:hAnsi="Arial" w:cs="Arial"/>
      <w:color w:val="515151"/>
      <w:sz w:val="16"/>
      <w:szCs w:val="16"/>
    </w:rPr>
  </w:style>
  <w:style w:type="character" w:customStyle="1" w:styleId="12">
    <w:name w:val="Заголовок 1 Знак"/>
    <w:qFormat/>
    <w:rPr>
      <w:b/>
      <w:bCs/>
      <w:caps/>
      <w:kern w:val="2"/>
      <w:sz w:val="28"/>
      <w:szCs w:val="28"/>
    </w:rPr>
  </w:style>
  <w:style w:type="character" w:customStyle="1" w:styleId="13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d">
    <w:name w:val="Ссылка указателя"/>
    <w:qFormat/>
  </w:style>
  <w:style w:type="paragraph" w:customStyle="1" w:styleId="14">
    <w:name w:val="Заголовок1"/>
    <w:basedOn w:val="a0"/>
    <w:next w:val="ae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e">
    <w:name w:val="Body Text"/>
    <w:basedOn w:val="a0"/>
    <w:pPr>
      <w:spacing w:after="140" w:line="276" w:lineRule="auto"/>
    </w:pPr>
  </w:style>
  <w:style w:type="paragraph" w:styleId="af">
    <w:name w:val="List"/>
    <w:basedOn w:val="ae"/>
    <w:rPr>
      <w:rFonts w:cs="FreeSans"/>
    </w:rPr>
  </w:style>
  <w:style w:type="paragraph" w:styleId="af0">
    <w:name w:val="caption"/>
    <w:basedOn w:val="a0"/>
    <w:next w:val="a0"/>
    <w:qFormat/>
    <w:rPr>
      <w:b/>
      <w:bCs/>
      <w:sz w:val="20"/>
      <w:szCs w:val="20"/>
    </w:rPr>
  </w:style>
  <w:style w:type="paragraph" w:customStyle="1" w:styleId="15">
    <w:name w:val="Указатель1"/>
    <w:basedOn w:val="a0"/>
    <w:qFormat/>
    <w:pPr>
      <w:suppressLineNumbers/>
    </w:pPr>
    <w:rPr>
      <w:rFonts w:cs="FreeSans"/>
    </w:rPr>
  </w:style>
  <w:style w:type="paragraph" w:customStyle="1" w:styleId="11">
    <w:name w:val="Обычный1"/>
    <w:basedOn w:val="a0"/>
    <w:qFormat/>
    <w:pPr>
      <w:spacing w:line="360" w:lineRule="auto"/>
      <w:ind w:firstLine="851"/>
      <w:jc w:val="both"/>
    </w:pPr>
  </w:style>
  <w:style w:type="paragraph" w:styleId="af1">
    <w:name w:val="Document Map"/>
    <w:basedOn w:val="a0"/>
    <w:qFormat/>
    <w:pPr>
      <w:shd w:val="clear" w:color="auto" w:fill="000080"/>
    </w:pPr>
    <w:rPr>
      <w:rFonts w:ascii="Tahoma" w:hAnsi="Tahoma" w:cs="Tahoma"/>
    </w:rPr>
  </w:style>
  <w:style w:type="paragraph" w:styleId="16">
    <w:name w:val="toc 1"/>
    <w:basedOn w:val="a0"/>
    <w:next w:val="a0"/>
    <w:uiPriority w:val="39"/>
  </w:style>
  <w:style w:type="paragraph" w:styleId="20">
    <w:name w:val="toc 2"/>
    <w:basedOn w:val="a0"/>
    <w:next w:val="a0"/>
    <w:uiPriority w:val="39"/>
  </w:style>
  <w:style w:type="paragraph" w:styleId="30">
    <w:name w:val="toc 3"/>
    <w:basedOn w:val="a0"/>
    <w:next w:val="a0"/>
    <w:uiPriority w:val="39"/>
    <w:pPr>
      <w:ind w:left="480"/>
    </w:pPr>
  </w:style>
  <w:style w:type="paragraph" w:customStyle="1" w:styleId="af2">
    <w:name w:val="ЗАГОЛОВОК (титульная)"/>
    <w:basedOn w:val="11"/>
    <w:next w:val="11"/>
    <w:qFormat/>
    <w:pPr>
      <w:ind w:firstLine="0"/>
      <w:jc w:val="center"/>
      <w:outlineLvl w:val="0"/>
    </w:pPr>
    <w:rPr>
      <w:b/>
      <w:bCs/>
      <w:caps/>
      <w:sz w:val="28"/>
      <w:szCs w:val="28"/>
    </w:rPr>
  </w:style>
  <w:style w:type="paragraph" w:customStyle="1" w:styleId="af3">
    <w:name w:val="Подзаголовок (титульная)"/>
    <w:basedOn w:val="11"/>
    <w:next w:val="11"/>
    <w:qFormat/>
    <w:pPr>
      <w:ind w:firstLine="0"/>
      <w:jc w:val="center"/>
    </w:pPr>
    <w:rPr>
      <w:bCs/>
      <w:sz w:val="28"/>
    </w:rPr>
  </w:style>
  <w:style w:type="paragraph" w:customStyle="1" w:styleId="af4">
    <w:name w:val="Комментарии"/>
    <w:basedOn w:val="11"/>
    <w:qFormat/>
    <w:rPr>
      <w:color w:val="FF9900"/>
    </w:rPr>
  </w:style>
  <w:style w:type="paragraph" w:customStyle="1" w:styleId="user">
    <w:name w:val="Рисунок (user)"/>
    <w:basedOn w:val="11"/>
    <w:next w:val="11"/>
    <w:qFormat/>
    <w:pPr>
      <w:keepNext/>
      <w:ind w:firstLine="0"/>
      <w:jc w:val="center"/>
    </w:pPr>
  </w:style>
  <w:style w:type="paragraph" w:customStyle="1" w:styleId="af5">
    <w:name w:val="Рисунок подпись"/>
    <w:basedOn w:val="11"/>
    <w:next w:val="11"/>
    <w:qFormat/>
    <w:pPr>
      <w:ind w:firstLine="0"/>
      <w:jc w:val="center"/>
    </w:pPr>
    <w:rPr>
      <w:b/>
      <w:lang w:val="en-US"/>
    </w:rPr>
  </w:style>
  <w:style w:type="paragraph" w:customStyle="1" w:styleId="af6">
    <w:name w:val="Таблица название таблицы"/>
    <w:basedOn w:val="11"/>
    <w:next w:val="11"/>
    <w:qFormat/>
    <w:pPr>
      <w:keepNext/>
      <w:ind w:firstLine="0"/>
    </w:pPr>
    <w:rPr>
      <w:b/>
    </w:rPr>
  </w:style>
  <w:style w:type="paragraph" w:customStyle="1" w:styleId="af7">
    <w:name w:val="Таблица название столбцов"/>
    <w:basedOn w:val="af6"/>
    <w:next w:val="11"/>
    <w:qFormat/>
    <w:pPr>
      <w:spacing w:before="120" w:after="120"/>
      <w:jc w:val="center"/>
    </w:pPr>
  </w:style>
  <w:style w:type="paragraph" w:customStyle="1" w:styleId="af8">
    <w:name w:val="Таблица текст"/>
    <w:basedOn w:val="11"/>
    <w:qFormat/>
    <w:pPr>
      <w:spacing w:line="240" w:lineRule="auto"/>
      <w:jc w:val="center"/>
    </w:pPr>
  </w:style>
  <w:style w:type="paragraph" w:customStyle="1" w:styleId="21">
    <w:name w:val="Список 21"/>
    <w:basedOn w:val="11"/>
    <w:qFormat/>
    <w:pPr>
      <w:numPr>
        <w:numId w:val="12"/>
      </w:numPr>
    </w:pPr>
    <w:rPr>
      <w:lang w:val="en-US"/>
    </w:rPr>
  </w:style>
  <w:style w:type="paragraph" w:customStyle="1" w:styleId="31">
    <w:name w:val="Список 31"/>
    <w:basedOn w:val="11"/>
    <w:qFormat/>
    <w:pPr>
      <w:numPr>
        <w:numId w:val="7"/>
      </w:numPr>
    </w:pPr>
  </w:style>
  <w:style w:type="paragraph" w:customStyle="1" w:styleId="af9">
    <w:name w:val="ЗАГОЛОВОК ПРИЛОЖЕНИЯ"/>
    <w:basedOn w:val="1"/>
    <w:next w:val="a0"/>
    <w:qFormat/>
    <w:pPr>
      <w:pageBreakBefore w:val="0"/>
      <w:numPr>
        <w:numId w:val="0"/>
      </w:numPr>
      <w:spacing w:line="240" w:lineRule="auto"/>
      <w:ind w:firstLine="851"/>
      <w:jc w:val="right"/>
      <w:outlineLvl w:val="9"/>
    </w:pPr>
  </w:style>
  <w:style w:type="paragraph" w:customStyle="1" w:styleId="afa">
    <w:name w:val="Подзаголовок приложения"/>
    <w:basedOn w:val="11"/>
    <w:next w:val="11"/>
    <w:qFormat/>
    <w:pPr>
      <w:ind w:firstLine="0"/>
      <w:jc w:val="center"/>
    </w:pPr>
    <w:rPr>
      <w:b/>
      <w:sz w:val="28"/>
      <w:szCs w:val="28"/>
    </w:rPr>
  </w:style>
  <w:style w:type="paragraph" w:customStyle="1" w:styleId="17">
    <w:name w:val="Дата1"/>
    <w:basedOn w:val="11"/>
    <w:next w:val="11"/>
    <w:qFormat/>
    <w:pPr>
      <w:ind w:firstLine="0"/>
      <w:jc w:val="center"/>
    </w:pPr>
  </w:style>
  <w:style w:type="paragraph" w:styleId="40">
    <w:name w:val="toc 4"/>
    <w:basedOn w:val="a0"/>
    <w:next w:val="a0"/>
    <w:pPr>
      <w:ind w:left="851"/>
    </w:pPr>
  </w:style>
  <w:style w:type="paragraph" w:customStyle="1" w:styleId="-">
    <w:name w:val="Комментарии - список"/>
    <w:basedOn w:val="21"/>
    <w:qFormat/>
    <w:rPr>
      <w:color w:val="FF9900"/>
    </w:rPr>
  </w:style>
  <w:style w:type="paragraph" w:customStyle="1" w:styleId="10">
    <w:name w:val="Список1"/>
    <w:basedOn w:val="11"/>
    <w:qFormat/>
    <w:pPr>
      <w:numPr>
        <w:numId w:val="4"/>
      </w:numPr>
    </w:pPr>
  </w:style>
  <w:style w:type="paragraph" w:customStyle="1" w:styleId="afb">
    <w:name w:val="Таблица текст в ячейках"/>
    <w:basedOn w:val="af8"/>
    <w:qFormat/>
    <w:pPr>
      <w:spacing w:before="120" w:after="120" w:line="360" w:lineRule="auto"/>
      <w:jc w:val="left"/>
    </w:pPr>
  </w:style>
  <w:style w:type="paragraph" w:styleId="afc">
    <w:name w:val="annotation text"/>
    <w:basedOn w:val="a0"/>
    <w:qFormat/>
    <w:rPr>
      <w:sz w:val="20"/>
      <w:szCs w:val="20"/>
    </w:rPr>
  </w:style>
  <w:style w:type="paragraph" w:styleId="afd">
    <w:name w:val="Balloon Text"/>
    <w:basedOn w:val="a0"/>
    <w:qFormat/>
    <w:rPr>
      <w:rFonts w:ascii="Tahoma" w:hAnsi="Tahoma" w:cs="Tahoma"/>
      <w:sz w:val="16"/>
      <w:szCs w:val="16"/>
    </w:rPr>
  </w:style>
  <w:style w:type="paragraph" w:styleId="afe">
    <w:name w:val="annotation subject"/>
    <w:basedOn w:val="afc"/>
    <w:next w:val="afc"/>
    <w:qFormat/>
    <w:rPr>
      <w:b/>
      <w:bCs/>
    </w:rPr>
  </w:style>
  <w:style w:type="paragraph" w:customStyle="1" w:styleId="TableParagraph">
    <w:name w:val="Table Paragraph"/>
    <w:basedOn w:val="a0"/>
    <w:qFormat/>
    <w:pPr>
      <w:widowControl w:val="0"/>
    </w:pPr>
    <w:rPr>
      <w:rFonts w:ascii="Arial Narrow" w:eastAsia="Arial Narrow" w:hAnsi="Arial Narrow" w:cs="Arial Narrow"/>
      <w:sz w:val="22"/>
      <w:szCs w:val="22"/>
      <w:lang w:bidi="ru-RU"/>
    </w:rPr>
  </w:style>
  <w:style w:type="paragraph" w:styleId="aff">
    <w:name w:val="No Spacing"/>
    <w:qFormat/>
    <w:rPr>
      <w:rFonts w:ascii="Arial" w:eastAsia="Times New Roman" w:hAnsi="Arial" w:cs="Arial"/>
      <w:sz w:val="28"/>
      <w:szCs w:val="22"/>
      <w:lang w:bidi="en-US"/>
    </w:rPr>
  </w:style>
  <w:style w:type="paragraph" w:styleId="aff0">
    <w:name w:val="index heading"/>
    <w:basedOn w:val="14"/>
  </w:style>
  <w:style w:type="paragraph" w:styleId="aff1">
    <w:name w:val="TOC Heading"/>
    <w:basedOn w:val="1"/>
    <w:next w:val="a0"/>
    <w:qFormat/>
    <w:pPr>
      <w:keepLines/>
      <w:pageBreakBefore w:val="0"/>
      <w:numPr>
        <w:numId w:val="0"/>
      </w:numPr>
      <w:spacing w:before="480" w:after="120"/>
      <w:ind w:firstLine="851"/>
      <w:jc w:val="left"/>
      <w:outlineLvl w:val="9"/>
    </w:pPr>
    <w:rPr>
      <w:rFonts w:ascii="Cambria" w:hAnsi="Cambria" w:cs="Cambria"/>
      <w:caps w:val="0"/>
      <w:color w:val="365F91"/>
      <w:kern w:val="0"/>
    </w:rPr>
  </w:style>
  <w:style w:type="paragraph" w:styleId="aff2">
    <w:name w:val="List Paragraph"/>
    <w:basedOn w:val="a0"/>
    <w:qFormat/>
    <w:pPr>
      <w:ind w:left="720"/>
      <w:contextualSpacing/>
    </w:pPr>
    <w:rPr>
      <w:lang w:val="en-US"/>
    </w:rPr>
  </w:style>
  <w:style w:type="paragraph" w:styleId="aff3">
    <w:name w:val="Revision"/>
    <w:qFormat/>
    <w:rPr>
      <w:rFonts w:ascii="Times New Roman" w:eastAsia="Times New Roman" w:hAnsi="Times New Roman" w:cs="Times New Roman"/>
      <w:lang w:val="ru-RU" w:bidi="ar-SA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lang w:val="ru-RU" w:bidi="ar-SA"/>
    </w:rPr>
  </w:style>
  <w:style w:type="paragraph" w:customStyle="1" w:styleId="18">
    <w:name w:val="Обычный (веб)1"/>
    <w:basedOn w:val="a0"/>
    <w:qFormat/>
    <w:pPr>
      <w:spacing w:before="280" w:after="280"/>
    </w:pPr>
  </w:style>
  <w:style w:type="paragraph" w:customStyle="1" w:styleId="aff4">
    <w:name w:val="Текст_Сенсор"/>
    <w:basedOn w:val="a0"/>
    <w:qFormat/>
    <w:pPr>
      <w:spacing w:line="276" w:lineRule="auto"/>
      <w:ind w:left="57" w:firstLine="709"/>
      <w:contextualSpacing/>
      <w:jc w:val="both"/>
    </w:pPr>
    <w:rPr>
      <w:szCs w:val="28"/>
    </w:rPr>
  </w:style>
  <w:style w:type="paragraph" w:customStyle="1" w:styleId="a">
    <w:name w:val="Текст список"/>
    <w:basedOn w:val="aff4"/>
    <w:qFormat/>
    <w:pPr>
      <w:numPr>
        <w:numId w:val="11"/>
      </w:numPr>
      <w:tabs>
        <w:tab w:val="left" w:pos="1134"/>
      </w:tabs>
      <w:ind w:left="57" w:right="15" w:firstLine="709"/>
    </w:pPr>
    <w:rPr>
      <w:lang w:bidi="en-US"/>
    </w:rPr>
  </w:style>
  <w:style w:type="paragraph" w:customStyle="1" w:styleId="19">
    <w:name w:val="Основной текст1"/>
    <w:basedOn w:val="a0"/>
    <w:qFormat/>
    <w:pPr>
      <w:widowControl w:val="0"/>
      <w:spacing w:line="264" w:lineRule="auto"/>
      <w:ind w:firstLine="400"/>
    </w:pPr>
    <w:rPr>
      <w:rFonts w:ascii="Arial" w:eastAsia="Arial" w:hAnsi="Arial" w:cs="Arial"/>
      <w:color w:val="515151"/>
      <w:sz w:val="16"/>
      <w:szCs w:val="16"/>
    </w:rPr>
  </w:style>
  <w:style w:type="paragraph" w:customStyle="1" w:styleId="aff5">
    <w:name w:val="Содержимое таблицы"/>
    <w:basedOn w:val="a0"/>
    <w:qFormat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paragraph" w:customStyle="1" w:styleId="aff7">
    <w:name w:val="Колонтитулы"/>
    <w:basedOn w:val="a0"/>
    <w:qFormat/>
    <w:pPr>
      <w:suppressLineNumbers/>
      <w:tabs>
        <w:tab w:val="center" w:pos="4819"/>
        <w:tab w:val="right" w:pos="9638"/>
      </w:tabs>
    </w:pPr>
  </w:style>
  <w:style w:type="paragraph" w:styleId="aff8">
    <w:name w:val="header"/>
    <w:basedOn w:val="aff7"/>
  </w:style>
  <w:style w:type="paragraph" w:styleId="aff9">
    <w:name w:val="footer"/>
    <w:basedOn w:val="aff7"/>
    <w:pPr>
      <w:tabs>
        <w:tab w:val="clear" w:pos="4819"/>
        <w:tab w:val="clear" w:pos="9638"/>
        <w:tab w:val="center" w:pos="4535"/>
        <w:tab w:val="right" w:pos="9071"/>
      </w:tabs>
    </w:pPr>
  </w:style>
  <w:style w:type="paragraph" w:customStyle="1" w:styleId="affa">
    <w:name w:val="Верхний колонтитул слева"/>
    <w:basedOn w:val="aff8"/>
    <w:qFormat/>
  </w:style>
  <w:style w:type="numbering" w:customStyle="1" w:styleId="affb">
    <w:name w:val="Без списка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table" w:styleId="affc">
    <w:name w:val="Table Grid"/>
    <w:basedOn w:val="a2"/>
    <w:rsid w:val="00586112"/>
    <w:rPr>
      <w:sz w:val="20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4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40</Pages>
  <Words>11324</Words>
  <Characters>64550</Characters>
  <Application>Microsoft Office Word</Application>
  <DocSecurity>0</DocSecurity>
  <Lines>537</Lines>
  <Paragraphs>151</Paragraphs>
  <ScaleCrop>false</ScaleCrop>
  <Company>vdi</Company>
  <LinksUpToDate>false</LinksUpToDate>
  <CharactersWithSpaces>75723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АС ГОСТ 34</dc:title>
  <dc:subject/>
  <dc:creator>RuGost</dc:creator>
  <dc:description/>
  <cp:lastModifiedBy>Ануфриева Елена Александровна</cp:lastModifiedBy>
  <cp:revision>8</cp:revision>
  <cp:lastPrinted>2004-12-03T14:11:00Z</cp:lastPrinted>
  <dcterms:created xsi:type="dcterms:W3CDTF">2026-09-23T09:27:00Z</dcterms:created>
  <dcterms:modified xsi:type="dcterms:W3CDTF">2026-10-28T15:01:00Z</dcterms:modified>
  <dc:language>en-US</dc:language>
</cp:coreProperties>
</file>