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5529" w:leader="none"/>
        </w:tabs>
        <w:jc w:val="right"/>
        <w:rPr>
          <w:sz w:val="24"/>
        </w:rPr>
      </w:pPr>
      <w:r>
        <w:rPr>
          <w:sz w:val="24"/>
        </w:rPr>
        <w:t>Утверждаю»</w:t>
      </w:r>
    </w:p>
    <w:p>
      <w:pPr>
        <w:pStyle w:val="Normal"/>
        <w:jc w:val="right"/>
        <w:rPr>
          <w:sz w:val="24"/>
        </w:rPr>
      </w:pPr>
      <w:r>
        <w:rPr>
          <w:sz w:val="24"/>
        </w:rPr>
        <w:t xml:space="preserve">Главный инженер </w:t>
      </w:r>
    </w:p>
    <w:p>
      <w:pPr>
        <w:pStyle w:val="Normal"/>
        <w:keepNext w:val="true"/>
        <w:keepLines/>
        <w:jc w:val="right"/>
        <w:rPr>
          <w:rFonts w:eastAsia="Calibri"/>
          <w:sz w:val="24"/>
          <w:szCs w:val="26"/>
        </w:rPr>
      </w:pPr>
      <w:r>
        <w:rPr>
          <w:rFonts w:eastAsia="Calibri"/>
          <w:sz w:val="24"/>
          <w:szCs w:val="26"/>
        </w:rPr>
        <w:t>Центральных электрических сетей</w:t>
      </w:r>
      <w:r>
        <w:rPr>
          <w:sz w:val="24"/>
        </w:rPr>
        <w:t xml:space="preserve"> </w:t>
      </w:r>
    </w:p>
    <w:p>
      <w:pPr>
        <w:pStyle w:val="Normal"/>
        <w:jc w:val="right"/>
        <w:rPr>
          <w:sz w:val="24"/>
        </w:rPr>
      </w:pPr>
      <w:r>
        <w:rPr>
          <w:sz w:val="24"/>
        </w:rPr>
        <w:t>ПАО «Якутскэнерго»</w:t>
      </w:r>
    </w:p>
    <w:p>
      <w:pPr>
        <w:pStyle w:val="Normal"/>
        <w:jc w:val="right"/>
        <w:rPr>
          <w:sz w:val="24"/>
        </w:rPr>
      </w:pPr>
      <w:r>
        <w:rPr>
          <w:sz w:val="24"/>
        </w:rPr>
        <w:t>_________________ М.В. Варейкис</w:t>
      </w:r>
    </w:p>
    <w:p>
      <w:pPr>
        <w:pStyle w:val="Normal"/>
        <w:jc w:val="right"/>
        <w:rPr>
          <w:sz w:val="24"/>
        </w:rPr>
      </w:pPr>
      <w:r>
        <w:rPr>
          <w:sz w:val="24"/>
        </w:rPr>
        <w:t>«_____» ______________ 2026г.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375545841"/>
      <w:bookmarkStart w:id="1" w:name="_Toc1398562871"/>
      <w:bookmarkStart w:id="2" w:name="_Toc1416967041"/>
      <w:bookmarkStart w:id="3" w:name="_Toc1375545841"/>
      <w:bookmarkStart w:id="4" w:name="_Toc1398562871"/>
      <w:bookmarkStart w:id="5" w:name="_Toc1416967041"/>
      <w:bookmarkEnd w:id="3"/>
      <w:bookmarkEnd w:id="4"/>
      <w:bookmarkEnd w:id="5"/>
    </w:p>
    <w:p>
      <w:pPr>
        <w:pStyle w:val="Normal"/>
        <w:keepNext w:val="true"/>
        <w:keepLines/>
        <w:spacing w:lineRule="auto" w:line="276"/>
        <w:jc w:val="center"/>
        <w:rPr>
          <w:sz w:val="28"/>
          <w:szCs w:val="28"/>
        </w:rPr>
      </w:pPr>
      <w:r>
        <w:rPr>
          <w:rFonts w:eastAsia="Calibri"/>
          <w:b/>
          <w:sz w:val="28"/>
          <w:szCs w:val="28"/>
          <w:shd w:fill="auto" w:val="clear"/>
        </w:rPr>
        <w:t>Технические требования на поставку МТР</w:t>
      </w:r>
    </w:p>
    <w:p>
      <w:pPr>
        <w:pStyle w:val="Normal"/>
        <w:widowControl w:val="false"/>
        <w:spacing w:lineRule="auto" w:line="276"/>
        <w:jc w:val="center"/>
        <w:rPr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 xml:space="preserve">ОКПД2 27.12.10.130 Поставка гирлянд изоляторов-разрядников мультикамерных в рамках энергоремонтного производство Центральных электрических сетей </w:t>
      </w:r>
    </w:p>
    <w:p>
      <w:pPr>
        <w:pStyle w:val="Normal"/>
        <w:widowControl w:val="false"/>
        <w:spacing w:lineRule="auto" w:line="276"/>
        <w:jc w:val="center"/>
        <w:rPr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по лоту №31601-РЕМ ПРОД-2027-ЯЭ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  <w:highlight w:val="yellow"/>
        </w:rPr>
      </w:pPr>
      <w:r>
        <w:rPr>
          <w:rFonts w:eastAsia="Calibri"/>
          <w:b/>
          <w:sz w:val="26"/>
          <w:szCs w:val="26"/>
          <w:highlight w:val="yellow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  <w:highlight w:val="yellow"/>
        </w:rPr>
      </w:pPr>
      <w:r>
        <w:rPr>
          <w:rFonts w:eastAsia="Calibri"/>
          <w:b/>
          <w:sz w:val="26"/>
          <w:szCs w:val="26"/>
          <w:highlight w:val="yellow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shd w:val="clear" w:color="auto" w:fill="FFFFFF"/>
        <w:jc w:val="center"/>
        <w:rPr/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7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209606637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_Toc209606637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09606638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_Toc209606638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09606639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_Toc209606639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09606640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_Toc209606640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7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09606641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_Toc209606641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09606642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объёмам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_Toc209606642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09606643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_Toc209606643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0960664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_Toc209606644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и объем закупаемой продукции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09606645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_Toc209606645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0960664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_Toc209606646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 Требования по срокам поставки продукции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09606647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_Toc209606647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0960664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_Toc209606648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3. Требования к продукции</w:t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09606649">
            <w:r>
              <w:rPr>
                <w:webHidden/>
                <w:rStyle w:val="Style14"/>
                <w:rFonts w:eastAsia="Calibri"/>
                <w:vanish w:val="false"/>
                <w:lang w:eastAsia="x-none"/>
              </w:rPr>
              <w:t>5. 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_Toc209606649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14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TOC1"/>
        <w:shd w:val="clear" w:color="auto" w:fill="FFFFFF"/>
        <w:tabs>
          <w:tab w:val="clear" w:pos="708"/>
          <w:tab w:val="right" w:pos="9911" w:leader="dot"/>
        </w:tabs>
        <w:rPr/>
      </w:pPr>
      <w:r>
        <w:rPr/>
      </w:r>
    </w:p>
    <w:p>
      <w:pPr>
        <w:pStyle w:val="TOC1"/>
        <w:shd w:val="clear" w:color="auto" w:fill="FFFFFF"/>
        <w:tabs>
          <w:tab w:val="clear" w:pos="708"/>
          <w:tab w:val="left" w:pos="560" w:leader="none"/>
          <w:tab w:val="right" w:pos="9911" w:leader="dot"/>
        </w:tabs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keepNext w:val="true"/>
        <w:keepLines/>
        <w:shd w:val="clear" w:color="auto" w:fill="FFFFFF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bookmarkStart w:id="6" w:name="_GoBack"/>
      <w:bookmarkStart w:id="7" w:name="_GoBack"/>
      <w:bookmarkEnd w:id="7"/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8" w:name="_Toc209606637"/>
      <w:bookmarkStart w:id="9" w:name="_Toc51339692"/>
      <w:r>
        <w:rPr>
          <w:lang w:val="ru-RU"/>
        </w:rPr>
        <w:t>Общие сведения</w:t>
      </w:r>
      <w:bookmarkEnd w:id="8"/>
      <w:bookmarkEnd w:id="9"/>
    </w:p>
    <w:p>
      <w:pPr>
        <w:pStyle w:val="Heading4"/>
        <w:numPr>
          <w:ilvl w:val="1"/>
          <w:numId w:val="3"/>
        </w:numPr>
        <w:rPr/>
      </w:pPr>
      <w:bookmarkStart w:id="10" w:name="_Toc209606638"/>
      <w:bookmarkStart w:id="11" w:name="_Toc46743505"/>
      <w:r>
        <w:rPr/>
        <w:t>Обозначения и сокращения</w:t>
      </w:r>
      <w:bookmarkEnd w:id="10"/>
      <w:bookmarkEnd w:id="11"/>
    </w:p>
    <w:p>
      <w:pPr>
        <w:pStyle w:val="Normal"/>
        <w:rPr>
          <w:rStyle w:val="Style8"/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FFFFFF" w:val="clear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shd w:fill="FFFFFF" w:val="clear"/>
              </w:rPr>
              <w:t>Государственный стандарт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bCs/>
                <w:sz w:val="24"/>
                <w:szCs w:val="24"/>
                <w:shd w:fill="FFFFFF" w:val="clear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shd w:fill="FFFFFF" w:val="clear"/>
              </w:rPr>
              <w:t>Технические условия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  <w:shd w:fill="FFFFFF" w:val="clear"/>
                <w:lang w:val="en-US"/>
              </w:rPr>
            </w:pPr>
            <w:r>
              <w:rPr>
                <w:bCs/>
                <w:sz w:val="24"/>
                <w:szCs w:val="24"/>
                <w:shd w:fill="FFFFFF" w:val="clear"/>
                <w:lang w:val="en-US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shd w:fill="FFFFFF" w:val="clear"/>
                <w:lang w:val="en-US"/>
              </w:rPr>
            </w:pPr>
            <w:r>
              <w:rPr>
                <w:bCs/>
                <w:iCs/>
                <w:sz w:val="24"/>
                <w:szCs w:val="24"/>
                <w:shd w:fill="FFFFFF" w:val="clear"/>
                <w:lang w:val="en-US"/>
              </w:rPr>
              <w:t>Настоящие Технические требования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spacing w:before="120" w:after="60"/>
        <w:contextualSpacing/>
        <w:rPr/>
      </w:pPr>
      <w:bookmarkStart w:id="12" w:name="_Toc209606639"/>
      <w:bookmarkStart w:id="13" w:name="_Toc46743506"/>
      <w:r>
        <w:rPr/>
        <w:t>Наименование закупаемой продукции</w:t>
      </w:r>
      <w:bookmarkEnd w:id="12"/>
      <w:bookmarkEnd w:id="1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0"/>
        <w:contextualSpacing/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«Ограничители перенапряжения»</w:t>
      </w:r>
      <w:r>
        <w:rPr>
          <w:rFonts w:eastAsia="Calibri"/>
          <w:i/>
          <w:lang w:eastAsia="x-none"/>
        </w:rPr>
        <w:br/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contextualSpacing/>
        <w:rPr/>
      </w:pPr>
      <w:bookmarkStart w:id="14" w:name="_Toc209606640"/>
      <w:bookmarkStart w:id="15" w:name="_Toc46743507"/>
      <w:r>
        <w:rPr/>
        <w:t xml:space="preserve">Цель </w:t>
      </w:r>
      <w:bookmarkEnd w:id="15"/>
      <w:r>
        <w:rPr>
          <w:lang w:val="ru-RU"/>
        </w:rPr>
        <w:t>использования закупаемой продукции</w:t>
      </w:r>
      <w:bookmarkEnd w:id="1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contextualSpacing/>
        <w:jc w:val="both"/>
        <w:rPr/>
      </w:pPr>
      <w:r>
        <w:rPr>
          <w:rStyle w:val="Style8"/>
          <w:b w:val="false"/>
          <w:i w:val="false"/>
          <w:sz w:val="24"/>
          <w:szCs w:val="24"/>
          <w:shd w:fill="FFFFFF" w:val="clear"/>
        </w:rPr>
        <w:t xml:space="preserve">Выполнение мероприятий по ремонтной программе на 2027 год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contextualSpacing/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eastAsia="x-none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120" w:after="60"/>
        <w:ind w:left="357" w:hanging="357"/>
        <w:contextualSpacing/>
        <w:jc w:val="center"/>
        <w:rPr>
          <w:iCs/>
          <w:caps/>
          <w:lang w:val="ru-RU"/>
        </w:rPr>
      </w:pPr>
      <w:bookmarkStart w:id="16" w:name="_Toc209606641"/>
      <w:bookmarkStart w:id="17" w:name="_Toc51339693"/>
      <w:bookmarkStart w:id="18" w:name="_Toc50125126"/>
      <w:bookmarkEnd w:id="18"/>
      <w:r>
        <w:rPr>
          <w:iCs/>
        </w:rPr>
        <w:t>Требования к продукции</w:t>
      </w:r>
      <w:bookmarkEnd w:id="16"/>
      <w:bookmarkEnd w:id="17"/>
    </w:p>
    <w:p>
      <w:pPr>
        <w:pStyle w:val="Heading4"/>
        <w:numPr>
          <w:ilvl w:val="1"/>
          <w:numId w:val="3"/>
        </w:numPr>
        <w:spacing w:before="120" w:after="60"/>
        <w:contextualSpacing/>
        <w:rPr/>
      </w:pPr>
      <w:bookmarkStart w:id="19" w:name="_Toc209606642"/>
      <w:r>
        <w:rPr/>
        <w:t xml:space="preserve">Требования к объёмам и срокам </w:t>
      </w:r>
      <w:r>
        <w:rPr>
          <w:lang w:val="ru-RU"/>
        </w:rPr>
        <w:t>поставки</w:t>
      </w:r>
      <w:bookmarkEnd w:id="19"/>
    </w:p>
    <w:p>
      <w:pPr>
        <w:pStyle w:val="Heading3"/>
        <w:numPr>
          <w:ilvl w:val="2"/>
          <w:numId w:val="3"/>
        </w:numPr>
        <w:spacing w:before="120" w:after="60"/>
        <w:contextualSpacing/>
        <w:rPr/>
      </w:pPr>
      <w:bookmarkStart w:id="20" w:name="_Toc75446575"/>
      <w:bookmarkStart w:id="21" w:name="_Toc209606643"/>
      <w:r>
        <w:rPr>
          <w:lang w:val="ru-RU"/>
        </w:rPr>
        <w:t>Перечень и объем закупаемой продукции</w:t>
      </w:r>
      <w:bookmarkEnd w:id="20"/>
      <w:bookmarkEnd w:id="21"/>
    </w:p>
    <w:p>
      <w:pPr>
        <w:pStyle w:val="Heading1"/>
        <w:keepLines/>
        <w:spacing w:before="240" w:after="60"/>
        <w:ind w:left="0" w:hanging="0"/>
        <w:rPr>
          <w:sz w:val="24"/>
          <w:szCs w:val="24"/>
        </w:rPr>
      </w:pPr>
      <w:bookmarkStart w:id="22" w:name="_Toc209606644"/>
      <w:bookmarkStart w:id="23" w:name="_Toc754465761"/>
      <w:bookmarkStart w:id="24" w:name="_Toc513396951"/>
      <w:r>
        <w:rPr>
          <w:sz w:val="24"/>
          <w:szCs w:val="24"/>
          <w:lang w:val="ru-RU"/>
        </w:rPr>
        <w:t xml:space="preserve">Таблица 1. Перечень </w:t>
      </w:r>
      <w:bookmarkEnd w:id="24"/>
      <w:r>
        <w:rPr>
          <w:sz w:val="24"/>
          <w:szCs w:val="24"/>
          <w:lang w:val="ru-RU"/>
        </w:rPr>
        <w:t>и объем закупаемой продукции</w:t>
      </w:r>
      <w:bookmarkStart w:id="25" w:name="_Toc51339695"/>
      <w:bookmarkEnd w:id="22"/>
      <w:bookmarkEnd w:id="23"/>
      <w:bookmarkEnd w:id="25"/>
    </w:p>
    <w:tbl>
      <w:tblPr>
        <w:tblW w:w="10507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442"/>
        <w:gridCol w:w="2961"/>
        <w:gridCol w:w="850"/>
        <w:gridCol w:w="2423"/>
        <w:gridCol w:w="1687"/>
        <w:gridCol w:w="2143"/>
      </w:tblGrid>
      <w:tr>
        <w:trPr>
          <w:trHeight w:val="1111" w:hRule="atLeast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Ед.измер.</w:t>
            </w:r>
          </w:p>
        </w:tc>
        <w:tc>
          <w:tcPr>
            <w:tcW w:w="2423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  <w:p>
            <w:pPr>
              <w:pStyle w:val="Normal"/>
              <w:keepNext w:val="true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№1 Якутск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ОКПД2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Применение законодательства о национальном режиме</w:t>
            </w:r>
          </w:p>
        </w:tc>
      </w:tr>
      <w:tr>
        <w:trPr>
          <w:trHeight w:val="269" w:hRule="atLeast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>
        <w:trPr>
          <w:trHeight w:val="269" w:hRule="atLeast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Гирлянда изоляторов-разрядников мультикамерных для защиты ВЛ ГИРМК-110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27.12.10.130</w:t>
            </w:r>
          </w:p>
        </w:tc>
        <w:tc>
          <w:tcPr>
            <w:tcW w:w="21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>
        <w:trPr>
          <w:trHeight w:val="269" w:hRule="atLeast"/>
        </w:trPr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60"/>
        <w:jc w:val="both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**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настоящих ТТ требований.</w:t>
      </w:r>
    </w:p>
    <w:p>
      <w:pPr>
        <w:pStyle w:val="Normal"/>
        <w:spacing w:before="0" w:after="60"/>
        <w:jc w:val="both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  <w:vertAlign w:val="superscript"/>
        </w:rPr>
        <w:t>1</w:t>
      </w:r>
      <w:r>
        <w:rPr>
          <w:i/>
          <w:iCs/>
          <w:sz w:val="24"/>
          <w:szCs w:val="24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contextualSpacing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spacing w:before="120" w:after="60"/>
        <w:contextualSpacing/>
        <w:rPr>
          <w:lang w:val="ru-RU"/>
        </w:rPr>
      </w:pPr>
      <w:bookmarkStart w:id="26" w:name="_Toc75446578"/>
      <w:bookmarkStart w:id="27" w:name="_Toc209606645"/>
      <w:bookmarkStart w:id="28" w:name="_Toc51339696"/>
      <w:r>
        <w:rPr>
          <w:lang w:val="ru-RU"/>
        </w:rPr>
        <w:t xml:space="preserve">Требования </w:t>
      </w:r>
      <w:bookmarkEnd w:id="28"/>
      <w:r>
        <w:rPr>
          <w:lang w:val="ru-RU"/>
        </w:rPr>
        <w:t>к срокам поставки продукции</w:t>
      </w:r>
      <w:bookmarkEnd w:id="27"/>
      <w:r>
        <w:rPr>
          <w:lang w:val="ru-RU"/>
        </w:rPr>
        <w:t xml:space="preserve"> </w:t>
      </w:r>
      <w:bookmarkEnd w:id="26"/>
    </w:p>
    <w:p>
      <w:pPr>
        <w:pStyle w:val="Heading1"/>
        <w:keepLines/>
        <w:spacing w:before="240" w:after="60"/>
        <w:ind w:left="0" w:hanging="0"/>
        <w:rPr>
          <w:sz w:val="24"/>
          <w:szCs w:val="24"/>
        </w:rPr>
      </w:pPr>
      <w:bookmarkStart w:id="29" w:name="_Toc209606646"/>
      <w:bookmarkStart w:id="30" w:name="_Toc754465791"/>
      <w:bookmarkStart w:id="31" w:name="_Toc501251271"/>
      <w:bookmarkStart w:id="32" w:name="_Toc513396971"/>
      <w:r>
        <w:rPr>
          <w:sz w:val="24"/>
          <w:szCs w:val="24"/>
          <w:lang w:val="ru-RU"/>
        </w:rPr>
        <w:t xml:space="preserve">Таблица 2. </w:t>
      </w:r>
      <w:bookmarkStart w:id="33" w:name="_Hlk50465284"/>
      <w:r>
        <w:rPr>
          <w:sz w:val="24"/>
          <w:szCs w:val="24"/>
          <w:lang w:val="ru-RU"/>
        </w:rPr>
        <w:t xml:space="preserve">Требования по срокам </w:t>
      </w:r>
      <w:bookmarkEnd w:id="31"/>
      <w:bookmarkEnd w:id="32"/>
      <w:bookmarkEnd w:id="33"/>
      <w:r>
        <w:rPr>
          <w:sz w:val="24"/>
          <w:szCs w:val="24"/>
          <w:lang w:val="ru-RU"/>
        </w:rPr>
        <w:t>поставки продукции</w:t>
      </w:r>
      <w:bookmarkEnd w:id="29"/>
      <w:bookmarkEnd w:id="30"/>
      <w:r>
        <w:rPr>
          <w:sz w:val="24"/>
          <w:szCs w:val="24"/>
          <w:lang w:val="ru-RU"/>
        </w:rPr>
        <w:t xml:space="preserve"> 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contextualSpacing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bookmarkStart w:id="34" w:name="_Toc50125127"/>
      <w:bookmarkStart w:id="35" w:name="_Toc51339697"/>
      <w:bookmarkStart w:id="36" w:name="_Toc50125126_Копия_1"/>
      <w:bookmarkStart w:id="37" w:name="_Toc50125127"/>
      <w:bookmarkStart w:id="38" w:name="_Toc51339697"/>
      <w:bookmarkStart w:id="39" w:name="_Toc50125126_Копия_1"/>
      <w:bookmarkEnd w:id="37"/>
      <w:bookmarkEnd w:id="38"/>
      <w:bookmarkEnd w:id="39"/>
    </w:p>
    <w:tbl>
      <w:tblPr>
        <w:tblW w:w="9975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63"/>
        <w:gridCol w:w="3118"/>
        <w:gridCol w:w="2982"/>
        <w:gridCol w:w="3111"/>
      </w:tblGrid>
      <w:tr>
        <w:trPr/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40" w:after="4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40" w:after="4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rPr/>
            </w:pPr>
            <w:r>
              <w:rPr>
                <w:sz w:val="24"/>
                <w:szCs w:val="24"/>
              </w:rPr>
              <w:t xml:space="preserve">Ограничители перенапряжения </w:t>
            </w:r>
            <w:r>
              <w:rPr>
                <w:bCs/>
                <w:iCs/>
                <w:sz w:val="24"/>
                <w:szCs w:val="24"/>
              </w:rPr>
              <w:t xml:space="preserve">позиция №1 </w:t>
            </w:r>
            <w:r>
              <w:rPr>
                <w:bCs/>
                <w:sz w:val="24"/>
                <w:szCs w:val="24"/>
              </w:rPr>
              <w:t>Таблицы 1 «Перечень и объем закупаемой продукции»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rPr/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sz w:val="24"/>
                <w:szCs w:val="24"/>
              </w:rPr>
              <w:t>Не позднее 60 календарных дней с даты подписания договора</w:t>
            </w:r>
          </w:p>
        </w:tc>
      </w:tr>
    </w:tbl>
    <w:p>
      <w:pPr>
        <w:sectPr>
          <w:headerReference w:type="default" r:id="rId2"/>
          <w:footerReference w:type="default" r:id="rId3"/>
          <w:type w:val="nextPage"/>
          <w:pgSz w:w="11906" w:h="16838"/>
          <w:pgMar w:left="1134" w:right="851" w:gutter="0" w:header="680" w:top="737" w:footer="0" w:bottom="992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spacing w:before="120" w:after="60"/>
        <w:contextualSpacing/>
        <w:rPr/>
      </w:pPr>
      <w:bookmarkStart w:id="40" w:name="_Toc209606647"/>
      <w:bookmarkStart w:id="41" w:name="_Toc46743511"/>
      <w:r>
        <w:rPr/>
        <w:t xml:space="preserve">Требования к </w:t>
      </w:r>
      <w:bookmarkEnd w:id="41"/>
      <w:r>
        <w:rPr>
          <w:lang w:val="ru-RU"/>
        </w:rPr>
        <w:t>качеству продукции</w:t>
      </w:r>
      <w:bookmarkEnd w:id="40"/>
    </w:p>
    <w:p>
      <w:pPr>
        <w:pStyle w:val="Heading1"/>
        <w:keepLines/>
        <w:spacing w:before="240" w:after="60"/>
        <w:ind w:left="0" w:hanging="0"/>
        <w:rPr>
          <w:color w:val="000000"/>
          <w:shd w:fill="FFFF00" w:val="clear"/>
        </w:rPr>
      </w:pPr>
      <w:bookmarkStart w:id="42" w:name="_Toc209606648"/>
      <w:bookmarkStart w:id="43" w:name="_Toc754465821"/>
      <w:r>
        <w:rPr>
          <w:sz w:val="24"/>
          <w:szCs w:val="24"/>
          <w:lang w:val="ru-RU"/>
        </w:rPr>
        <w:t>Таблица 3. Требования к продукции</w:t>
      </w:r>
      <w:bookmarkEnd w:id="42"/>
      <w:bookmarkEnd w:id="43"/>
      <w:r>
        <w:rPr>
          <w:sz w:val="24"/>
          <w:szCs w:val="24"/>
          <w:lang w:val="ru-RU"/>
        </w:rPr>
        <w:t xml:space="preserve"> </w:t>
      </w:r>
      <w:bookmarkStart w:id="44" w:name="_Toc75446582"/>
      <w:bookmarkEnd w:id="44"/>
    </w:p>
    <w:tbl>
      <w:tblPr>
        <w:tblStyle w:val="affffa"/>
        <w:tblpPr w:bottomFromText="0" w:horzAnchor="text" w:leftFromText="180" w:rightFromText="180" w:tblpX="108" w:tblpY="1" w:topFromText="0" w:vertAnchor="text"/>
        <w:tblW w:w="1502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54"/>
        <w:gridCol w:w="2684"/>
        <w:gridCol w:w="4397"/>
        <w:gridCol w:w="6"/>
        <w:gridCol w:w="2259"/>
        <w:gridCol w:w="8"/>
        <w:gridCol w:w="2544"/>
        <w:gridCol w:w="8"/>
        <w:gridCol w:w="2260"/>
      </w:tblGrid>
      <w:tr>
        <w:trPr/>
        <w:tc>
          <w:tcPr>
            <w:tcW w:w="85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68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39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заказчика**</w:t>
            </w:r>
          </w:p>
        </w:tc>
        <w:tc>
          <w:tcPr>
            <w:tcW w:w="4817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268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8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39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5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68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6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3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2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5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2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>
          <w:trHeight w:val="718" w:hRule="atLeast"/>
        </w:trPr>
        <w:tc>
          <w:tcPr>
            <w:tcW w:w="15020" w:type="dxa"/>
            <w:gridSpan w:val="9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Наименование продукции (</w:t>
            </w:r>
            <w:r>
              <w:rPr>
                <w:rFonts w:eastAsia="Times New Roman" w:cs="Times New Roman"/>
                <w:b/>
                <w:bCs/>
                <w:i/>
                <w:i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 xml:space="preserve">позиция № 1 Таблицы 1 «Перечень и объем закупаемой продукции»):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/>
                <w:i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Гирлянда изоляторов-разрядников мультикамерных для защиты ВЛ ГИРМК-110</w:t>
            </w:r>
          </w:p>
        </w:tc>
      </w:tr>
      <w:tr>
        <w:trPr>
          <w:trHeight w:val="700" w:hRule="atLeast"/>
        </w:trPr>
        <w:tc>
          <w:tcPr>
            <w:tcW w:w="854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1.1</w:t>
            </w:r>
          </w:p>
        </w:tc>
        <w:tc>
          <w:tcPr>
            <w:tcW w:w="7087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характеристикам** (включая гарантируемые показатели)</w:t>
            </w:r>
          </w:p>
        </w:tc>
        <w:tc>
          <w:tcPr>
            <w:tcW w:w="2267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 w:cs="Arial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52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1119" w:hRule="atLeast"/>
        </w:trPr>
        <w:tc>
          <w:tcPr>
            <w:tcW w:w="854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68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Основные параметры</w:t>
            </w:r>
          </w:p>
        </w:tc>
        <w:tc>
          <w:tcPr>
            <w:tcW w:w="43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"ГИРМК-110 (гирлянда мультикамерных изоляторов-разрядников) предназначена для молниезащиты воздушных линий электропередачи (ВЛ) трехфазного переменного тока 110 кВ. Применение ГИРМК на ВЛ позволяет отказаться от грозозащитного троса. При этом снижается высота, масса и стоимость опор, а также стоимость всей ВЛ в целом, но обеспечивается ее надежная молниезащита.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напряжения — 110 кВ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разрядных элементов (ИРМК) не менее — 7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длительно допустимое фазное напряжение промышленной частоты — 73 кВ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Минимальная разрушающая механическая нагрузка — 120 кН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Уровень радиопомех 1,1 наиб. рабочего фазного напряжения — не более 55 Дб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к.з. сети, при котором гарантируется не менее 10 срабатываний — 3 кА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Длина пути утечки для одного изолятора-разрядника в гирлянде — 365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Время гашения сопровождающего тока промышленной частоты — не более 10 мс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Максимальное значение выдерживаемого импульса тока 8/50 мкс — 30 кА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50% разрядное напряжение пром. частоты в сухом состоянии, под дождем, а также загрязненном и увлаженное состоянии (не менее 10 мкс) — не ниже 110 кВ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Масса одного изолятора-разрядника в гирлянде — 6,7 кг"</w:t>
            </w:r>
          </w:p>
        </w:tc>
        <w:tc>
          <w:tcPr>
            <w:tcW w:w="2265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/>
            </w:pPr>
            <w:r>
              <w:rPr>
                <w:rFonts w:eastAsia="Calibri" w:cs="Arial"/>
                <w:kern w:val="0"/>
                <w:sz w:val="24"/>
                <w:szCs w:val="24"/>
                <w:lang w:val="ru-RU" w:eastAsia="en-US" w:bidi="ar-SA"/>
              </w:rPr>
              <w:t xml:space="preserve">Указание </w:t>
            </w:r>
            <w:bookmarkStart w:id="45" w:name="_GoBack_Копия_1_Копия_1_Копия_1"/>
            <w:bookmarkEnd w:id="45"/>
            <w:r>
              <w:rPr>
                <w:rFonts w:eastAsia="Calibri" w:cs="Arial"/>
                <w:kern w:val="0"/>
                <w:sz w:val="24"/>
                <w:szCs w:val="24"/>
                <w:lang w:val="ru-RU" w:eastAsia="en-US" w:bidi="ar-SA"/>
              </w:rPr>
              <w:t>характеристик</w:t>
            </w:r>
          </w:p>
        </w:tc>
        <w:tc>
          <w:tcPr>
            <w:tcW w:w="2552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highlight w:val="none"/>
                <w:shd w:fill="FFFF00" w:val="clear"/>
              </w:rPr>
            </w:pPr>
            <w:r>
              <w:rPr>
                <w:sz w:val="24"/>
                <w:szCs w:val="24"/>
                <w:shd w:fill="FFFF00" w:val="clear"/>
              </w:rPr>
              <w:t>Тех. предложение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highlight w:val="none"/>
                <w:shd w:fill="FFFF00" w:val="clear"/>
              </w:rPr>
            </w:pPr>
            <w:r>
              <w:rPr>
                <w:sz w:val="24"/>
                <w:szCs w:val="24"/>
                <w:shd w:fill="FFFF00" w:val="clear"/>
              </w:rPr>
              <w:t>Чертеж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highlight w:val="none"/>
                <w:shd w:fill="FFFF00" w:val="clear"/>
              </w:rPr>
            </w:pPr>
            <w:r>
              <w:rPr>
                <w:sz w:val="24"/>
                <w:szCs w:val="24"/>
                <w:shd w:fill="FFFF00" w:val="clear"/>
              </w:rPr>
              <w:t>Тех. Условия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highlight w:val="none"/>
                <w:shd w:fill="FFFF00" w:val="clear"/>
              </w:rPr>
            </w:pPr>
            <w:r>
              <w:rPr>
                <w:sz w:val="24"/>
                <w:szCs w:val="24"/>
                <w:shd w:fill="FFFF00" w:val="clear"/>
              </w:rPr>
              <w:t>Руководство по эксплуатации</w:t>
            </w:r>
          </w:p>
        </w:tc>
        <w:tc>
          <w:tcPr>
            <w:tcW w:w="2268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8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center"/>
              <w:rPr>
                <w:shd w:fill="FFFFFF" w:val="clear"/>
              </w:rPr>
            </w:pPr>
            <w:r>
              <w:rPr>
                <w:rFonts w:cs="Times New Roman"/>
                <w:kern w:val="0"/>
                <w:shd w:fill="FFFFFF" w:val="clear"/>
                <w:lang w:val="ru-RU" w:eastAsia="ru-RU" w:bidi="ar-SA"/>
              </w:rPr>
              <w:t>2</w:t>
            </w:r>
          </w:p>
        </w:tc>
        <w:tc>
          <w:tcPr>
            <w:tcW w:w="708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6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819" w:hRule="atLeast"/>
        </w:trPr>
        <w:tc>
          <w:tcPr>
            <w:tcW w:w="8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hd w:fill="FFFFFF" w:val="clear"/>
              </w:rPr>
            </w:pPr>
            <w:r>
              <w:rPr>
                <w:rFonts w:cs="Times New Roman"/>
                <w:kern w:val="0"/>
                <w:shd w:fill="FFFFFF" w:val="clear"/>
                <w:lang w:val="ru-RU" w:eastAsia="ru-RU" w:bidi="ar-SA"/>
              </w:rPr>
              <w:t>2.1</w:t>
            </w:r>
          </w:p>
        </w:tc>
        <w:tc>
          <w:tcPr>
            <w:tcW w:w="26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Гарантия</w:t>
            </w:r>
          </w:p>
        </w:tc>
        <w:tc>
          <w:tcPr>
            <w:tcW w:w="43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Не менее 60 месяцев с момента ввода в эксплуатацию, но не более 66 месяцев с момента поставки продукции</w:t>
            </w:r>
          </w:p>
        </w:tc>
        <w:tc>
          <w:tcPr>
            <w:tcW w:w="22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2268" w:type="dxa"/>
            <w:gridSpan w:val="2"/>
            <w:tcBorders/>
            <w:vAlign w:val="center"/>
          </w:tcPr>
          <w:p>
            <w:pPr>
              <w:pStyle w:val="Style30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>
          <w:trHeight w:val="709" w:hRule="atLeast"/>
        </w:trPr>
        <w:tc>
          <w:tcPr>
            <w:tcW w:w="8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hd w:fill="FFFFFF" w:val="clear"/>
              </w:rPr>
            </w:pPr>
            <w:r>
              <w:rPr>
                <w:rFonts w:cs="Times New Roman"/>
                <w:kern w:val="0"/>
                <w:shd w:fill="FFFFFF" w:val="clear"/>
                <w:lang w:val="ru-RU" w:eastAsia="ru-RU" w:bidi="ar-SA"/>
              </w:rPr>
              <w:t>2.2</w:t>
            </w:r>
          </w:p>
        </w:tc>
        <w:tc>
          <w:tcPr>
            <w:tcW w:w="26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Период изготовления</w:t>
            </w:r>
          </w:p>
        </w:tc>
        <w:tc>
          <w:tcPr>
            <w:tcW w:w="43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Продукция должна быть новой, изготовленной не ранее 3 квартала 2026 года, ранее не использованной</w:t>
            </w:r>
            <w:bookmarkStart w:id="46" w:name="_GoBack29"/>
            <w:bookmarkEnd w:id="46"/>
          </w:p>
        </w:tc>
        <w:tc>
          <w:tcPr>
            <w:tcW w:w="22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2268" w:type="dxa"/>
            <w:gridSpan w:val="2"/>
            <w:tcBorders/>
            <w:vAlign w:val="center"/>
          </w:tcPr>
          <w:p>
            <w:pPr>
              <w:pStyle w:val="Style30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>
          <w:trHeight w:val="787" w:hRule="atLeast"/>
        </w:trPr>
        <w:tc>
          <w:tcPr>
            <w:tcW w:w="8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>3</w:t>
            </w:r>
          </w:p>
        </w:tc>
        <w:tc>
          <w:tcPr>
            <w:tcW w:w="708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226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1777" w:hRule="atLeast"/>
        </w:trPr>
        <w:tc>
          <w:tcPr>
            <w:tcW w:w="8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3.1</w:t>
            </w:r>
          </w:p>
        </w:tc>
        <w:tc>
          <w:tcPr>
            <w:tcW w:w="26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Место поставки </w:t>
            </w:r>
            <w:r>
              <w:rPr>
                <w:rFonts w:eastAsia="Calibri" w:cs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 xml:space="preserve">позиции №1 </w:t>
            </w: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en-US" w:bidi="ar-SA"/>
              </w:rPr>
              <w:t>Таблицы 1 «Перечень и объем закупаемой продукции»</w:t>
            </w:r>
          </w:p>
        </w:tc>
        <w:tc>
          <w:tcPr>
            <w:tcW w:w="43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en-US" w:bidi="ar-SA"/>
              </w:rPr>
              <w:t>Направление №1: филиал Центральные электрические сети (ЦЭС) ПАО «Якутскэнерго», Республика Саха (Якутия), 677021, г. Якутск, проспект Михаила Николаева, 26.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2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 w:cs="Arial"/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iCs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22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777" w:hRule="atLeast"/>
        </w:trPr>
        <w:tc>
          <w:tcPr>
            <w:tcW w:w="8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3.2</w:t>
            </w:r>
          </w:p>
        </w:tc>
        <w:tc>
          <w:tcPr>
            <w:tcW w:w="26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Требования к отгрузке и упаковке товара</w:t>
            </w:r>
          </w:p>
        </w:tc>
        <w:tc>
          <w:tcPr>
            <w:tcW w:w="43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Поставщик обеспечивает упаковку Товара, способную предотвратить повреждение Товара или его порчу во время перевозки к конечному пункту назначения. Упаковка должна выдерживать, без каких-либо ограничений, интенсивную подъемно-транспортную обработку и воздействие осадков во время перевозки, а также открытое хранение (с соблюдением требований ГОСТ 23216-78, а также ГОСТ 15846-2002).</w:t>
            </w:r>
          </w:p>
        </w:tc>
        <w:tc>
          <w:tcPr>
            <w:tcW w:w="2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iCs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  <w:lang w:eastAsia="en-US"/>
              </w:rPr>
            </w:r>
          </w:p>
        </w:tc>
        <w:tc>
          <w:tcPr>
            <w:tcW w:w="22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777" w:hRule="atLeast"/>
        </w:trPr>
        <w:tc>
          <w:tcPr>
            <w:tcW w:w="8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3.3</w:t>
            </w:r>
          </w:p>
        </w:tc>
        <w:tc>
          <w:tcPr>
            <w:tcW w:w="26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Требования к маркировке товара</w:t>
            </w:r>
          </w:p>
        </w:tc>
        <w:tc>
          <w:tcPr>
            <w:tcW w:w="43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Маркировка – по ГОСТ Р 52565-2006. Транспортная маркировка грузовых мест проводится по ГОСТ 14192-96 и содержит основные, дополнительные и информационные надписи и манипуляционные знаки.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Отправленное оборудование должно иметь следующие сопроводительные документы: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false"/>
              <w:spacing w:before="60" w:after="60"/>
              <w:ind w:left="313" w:hanging="284"/>
              <w:jc w:val="both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транспортная накладная или иной документ, ее заменяющий – 1 экз.;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false"/>
              <w:spacing w:before="60" w:after="60"/>
              <w:ind w:left="313" w:hanging="284"/>
              <w:jc w:val="both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декларация соответствия – 1 экз.;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false"/>
              <w:spacing w:before="60" w:after="60"/>
              <w:ind w:left="313" w:hanging="284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упаковочный лист – 1 экз.;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false"/>
              <w:spacing w:before="60" w:after="60"/>
              <w:ind w:left="313" w:hanging="284"/>
              <w:contextualSpacing/>
              <w:jc w:val="left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документ, подтверждающий происхождение товара – 1 экз.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В комплект должны входить паспорт, инструкции по монтажу и эксплуатации оборудования, свидетельство о поверке.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В документации, передаваемой вместе с Оборудованием, должна содержаться информация, в которой должно быть указано: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false"/>
              <w:spacing w:before="60" w:after="60"/>
              <w:ind w:left="313" w:hanging="284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наименование Поставщика;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false"/>
              <w:spacing w:before="60" w:after="60"/>
              <w:ind w:left="313" w:hanging="284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гарантийные обязательства Поставщика;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false"/>
              <w:spacing w:before="60" w:after="60"/>
              <w:ind w:left="313" w:hanging="284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наименование изготовителя (в случае, если поставщик и изготовитель не совпадают), в том числе составных частей товара;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false"/>
              <w:spacing w:before="60" w:after="60"/>
              <w:ind w:left="313" w:hanging="284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гарантийные обязательства изготовителей, если поставщик и изготовитель не совпадают (в том числе гарантийные обязательства изготовителей составных частей, если о них указано в документации изготовителя Оборудования);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false"/>
              <w:spacing w:before="60" w:after="60"/>
              <w:ind w:left="313" w:hanging="284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rFonts w:cs="Times New Roman"/>
                <w:iCs/>
                <w:kern w:val="0"/>
                <w:sz w:val="22"/>
                <w:szCs w:val="22"/>
                <w:lang w:val="ru-RU" w:eastAsia="ru-RU" w:bidi="ar-SA"/>
              </w:rPr>
              <w:t>номер и дата подписания договора, на основании которого осуществлена поставка Оборудования</w:t>
            </w:r>
          </w:p>
        </w:tc>
        <w:tc>
          <w:tcPr>
            <w:tcW w:w="2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iCs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  <w:lang w:eastAsia="en-US"/>
              </w:rPr>
            </w:r>
          </w:p>
        </w:tc>
        <w:tc>
          <w:tcPr>
            <w:tcW w:w="22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704" w:hRule="atLeast"/>
        </w:trPr>
        <w:tc>
          <w:tcPr>
            <w:tcW w:w="8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708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6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1263" w:hRule="atLeast"/>
        </w:trPr>
        <w:tc>
          <w:tcPr>
            <w:tcW w:w="8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4.1.</w:t>
            </w:r>
          </w:p>
        </w:tc>
        <w:tc>
          <w:tcPr>
            <w:tcW w:w="26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Документы, передаваемые вместе с оборудованием</w:t>
            </w:r>
          </w:p>
        </w:tc>
        <w:tc>
          <w:tcPr>
            <w:tcW w:w="43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К комплекту поставленного оборудования прилагается следующая эксплуатационная документация: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false"/>
              <w:spacing w:before="60" w:after="60"/>
              <w:ind w:left="313" w:hanging="284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паспорт на каждую единицу оборудования;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false"/>
              <w:spacing w:before="60" w:after="60"/>
              <w:ind w:left="313" w:hanging="284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протокол заводских испытаний;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false"/>
              <w:spacing w:before="60" w:after="60"/>
              <w:ind w:left="313" w:hanging="284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руководство по эксплуатации, содержащее раздел по ремонту;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false"/>
              <w:spacing w:before="60" w:after="60"/>
              <w:ind w:left="313" w:hanging="284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инструкция по сборке;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false"/>
              <w:spacing w:before="60" w:after="60"/>
              <w:ind w:left="313" w:hanging="284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инструкция по транспортированию, хранению, монтажу и вводу в эксплуатацию;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false"/>
              <w:spacing w:before="60" w:after="60"/>
              <w:ind w:left="313" w:hanging="284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ведомость эксплуатационных документов;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false"/>
              <w:spacing w:before="60" w:after="60"/>
              <w:ind w:left="313" w:hanging="284"/>
              <w:contextualSpacing/>
              <w:jc w:val="both"/>
              <w:rPr>
                <w:b/>
                <w:iCs/>
                <w:sz w:val="22"/>
                <w:szCs w:val="22"/>
              </w:rPr>
            </w:pPr>
            <w:r>
              <w:rPr>
                <w:rFonts w:cs="Times New Roman"/>
                <w:iCs/>
                <w:kern w:val="0"/>
                <w:sz w:val="22"/>
                <w:szCs w:val="22"/>
                <w:lang w:val="ru-RU" w:eastAsia="ru-RU" w:bidi="ar-SA"/>
              </w:rPr>
              <w:t>габаритный или монтажный чертеж.</w:t>
            </w:r>
          </w:p>
        </w:tc>
        <w:tc>
          <w:tcPr>
            <w:tcW w:w="22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 w:cs="Arial"/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22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Normal"/>
        <w:spacing w:before="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60"/>
        <w:jc w:val="both"/>
        <w:rPr>
          <w:sz w:val="24"/>
          <w:szCs w:val="24"/>
        </w:rPr>
      </w:pPr>
      <w:r>
        <w:rPr>
          <w:sz w:val="24"/>
          <w:szCs w:val="24"/>
        </w:rPr>
        <w:t>** В случае, если какой-либо из указанных в настоящих ТТ ГОСТ или нормативный документ в процессе проведения закупки был отменен в связи с выпуском новой редакции стандарта, то Участнику необходимо применять ГОСТ или нормативный документ, принятый в его развитие</w:t>
      </w:r>
    </w:p>
    <w:p>
      <w:pPr>
        <w:pStyle w:val="ListParagraph"/>
        <w:ind w:left="0" w:hanging="0"/>
        <w:jc w:val="both"/>
        <w:rPr>
          <w:b/>
        </w:rPr>
      </w:pPr>
      <w:r>
        <w:rPr>
          <w:b/>
        </w:rPr>
      </w:r>
    </w:p>
    <w:p>
      <w:pPr>
        <w:pStyle w:val="ListParagraph"/>
        <w:ind w:left="0" w:hanging="0"/>
        <w:jc w:val="both"/>
        <w:rPr>
          <w:b/>
        </w:rPr>
      </w:pPr>
      <w:r>
        <w:rPr>
          <w:b/>
        </w:rPr>
        <w:t>3. В составе заявки необходимо предоставить:</w:t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sz w:val="24"/>
          <w:szCs w:val="24"/>
        </w:rPr>
        <w:t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</w:t>
      </w:r>
      <w:r>
        <w:rPr>
          <w:i/>
          <w:sz w:val="24"/>
          <w:szCs w:val="24"/>
        </w:rPr>
        <w:t>,</w:t>
      </w:r>
      <w:r>
        <w:rPr>
          <w:sz w:val="24"/>
          <w:szCs w:val="24"/>
        </w:rPr>
        <w:t xml:space="preserve"> требованиям настоящих технических требований, предоставляет следующие документы: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3.1 Техническое предложение, подготовленное в соответствии с настоящими техническими требованиями по форме, представленной в документации о закупке. При описании продукции Участник обязан подтвердить соответствие поставляемой продукции требованиям в отношении всех показателей, которые установлены в настоящих технических требованиях. При этом должны указываться точные и не допускающие двусмысленного толкования показатели;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 В соответствии с Постановлением Правительства РФ от 23.12.2021 г. № 2425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соответствия») в составе заявки предоставить: 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а) Копию Д</w:t>
      </w:r>
      <w:r>
        <w:rPr>
          <w:bCs/>
          <w:iCs/>
          <w:sz w:val="24"/>
          <w:szCs w:val="24"/>
        </w:rPr>
        <w:t xml:space="preserve">екларации о соответствии на </w:t>
      </w:r>
      <w:r>
        <w:rPr>
          <w:sz w:val="24"/>
          <w:szCs w:val="24"/>
        </w:rPr>
        <w:t xml:space="preserve">ограничители перенапряжения </w:t>
      </w:r>
      <w:r>
        <w:rPr>
          <w:bCs/>
          <w:iCs/>
          <w:sz w:val="24"/>
          <w:szCs w:val="24"/>
        </w:rPr>
        <w:t xml:space="preserve">(с приложением протоколов исследований (испытаний), </w:t>
      </w:r>
      <w:r>
        <w:rPr>
          <w:sz w:val="24"/>
          <w:szCs w:val="24"/>
        </w:rPr>
        <w:t>с положительным результатом, проведенных в аккредитованной в установленном порядке испытательной лаборатории (центре) или сертификаты системы качества изготовителя, выданные органом по сертификации, аккредитованным в установленном порядке, на основании которых эта декларация принята). Декларации о соответствии, должны иметь статус действующего документа.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3.3 Отсканированную копию (полный текст) ТУ (технических условий), в соответствии с которыми выпускаются ограничители перенапряжения.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3.4. Руководство по эксплуатации;</w:t>
      </w:r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sz w:val="24"/>
          <w:szCs w:val="24"/>
        </w:rPr>
        <w:t>3.5 В соответствие с Постановлением Правительства РФ от 23.12.2024г №1875 Участник должен предоставить документ, подтверждающий страну происхождения товара и указать в коммерческом предложении (структура НМЦ) наименование реестра и номер реестровой записи.</w:t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 Требования к документации по ценообразованию на этапе закупки</w:t>
      </w:r>
    </w:p>
    <w:p>
      <w:pPr>
        <w:pStyle w:val="Normal"/>
        <w:jc w:val="both"/>
        <w:rPr>
          <w:bCs/>
          <w:sz w:val="24"/>
          <w:szCs w:val="24"/>
          <w:lang w:val="x-none"/>
        </w:rPr>
      </w:pPr>
      <w:bookmarkStart w:id="47" w:name="_Toc206577097"/>
      <w:r>
        <w:rPr>
          <w:bCs/>
          <w:sz w:val="24"/>
          <w:szCs w:val="24"/>
          <w:lang w:val="x-none"/>
        </w:rPr>
        <w:t>4.1.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  <w:bookmarkEnd w:id="47"/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  <w:lang w:val="x-none"/>
        </w:rPr>
        <w:t>4.2. Дополнительные документы по ценообразованию в состав заявки не включаются</w:t>
      </w:r>
      <w:r>
        <w:rPr>
          <w:sz w:val="24"/>
          <w:szCs w:val="24"/>
        </w:rPr>
        <w:t>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suppressAutoHyphens w:val="true"/>
        <w:spacing w:before="0" w:after="0"/>
        <w:ind w:firstLine="357"/>
        <w:jc w:val="both"/>
        <w:rPr>
          <w:b/>
          <w:i/>
          <w:i/>
          <w:iCs/>
          <w:sz w:val="24"/>
          <w:szCs w:val="24"/>
          <w:lang w:eastAsia="x-none"/>
        </w:rPr>
      </w:pPr>
      <w:r>
        <w:rPr>
          <w:rFonts w:eastAsia="Times New Roman" w:cs="Times New Roman"/>
          <w:b/>
          <w:i/>
          <w:iCs/>
          <w:kern w:val="0"/>
          <w:sz w:val="24"/>
          <w:szCs w:val="24"/>
          <w:lang w:val="ru-RU" w:eastAsia="x-none" w:bidi="ar-SA"/>
        </w:rPr>
        <w:t>Составил:</w:t>
      </w:r>
    </w:p>
    <w:p>
      <w:pPr>
        <w:pStyle w:val="Normal"/>
        <w:widowControl w:val="false"/>
        <w:suppressAutoHyphens w:val="true"/>
        <w:spacing w:before="0" w:after="0"/>
        <w:ind w:firstLine="357"/>
        <w:jc w:val="both"/>
        <w:rPr>
          <w:i/>
          <w:i/>
          <w:iCs/>
          <w:sz w:val="24"/>
          <w:szCs w:val="24"/>
          <w:lang w:eastAsia="x-none"/>
        </w:rPr>
      </w:pPr>
      <w:r>
        <w:rPr>
          <w:rFonts w:eastAsia="Times New Roman" w:cs="Times New Roman"/>
          <w:i/>
          <w:iCs/>
          <w:kern w:val="0"/>
          <w:sz w:val="24"/>
          <w:szCs w:val="24"/>
          <w:lang w:val="ru-RU" w:eastAsia="x-none" w:bidi="ar-SA"/>
        </w:rPr>
        <w:t>Инженер СТОиР</w:t>
      </w:r>
    </w:p>
    <w:p>
      <w:pPr>
        <w:pStyle w:val="Normal"/>
        <w:widowControl w:val="false"/>
        <w:suppressAutoHyphens w:val="true"/>
        <w:spacing w:before="0" w:after="0"/>
        <w:ind w:firstLine="357"/>
        <w:jc w:val="both"/>
        <w:rPr>
          <w:i/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</w:r>
    </w:p>
    <w:p>
      <w:pPr>
        <w:pStyle w:val="Normal"/>
        <w:widowControl w:val="false"/>
        <w:suppressAutoHyphens w:val="true"/>
        <w:spacing w:before="0" w:after="0"/>
        <w:ind w:firstLine="357"/>
        <w:jc w:val="both"/>
        <w:rPr>
          <w:i/>
          <w:i/>
          <w:iCs/>
          <w:sz w:val="24"/>
          <w:szCs w:val="24"/>
          <w:lang w:eastAsia="x-none"/>
        </w:rPr>
      </w:pPr>
      <w:r>
        <w:rPr>
          <w:rFonts w:eastAsia="Times New Roman" w:cs="Times New Roman"/>
          <w:i/>
          <w:iCs/>
          <w:kern w:val="0"/>
          <w:sz w:val="24"/>
          <w:szCs w:val="24"/>
          <w:lang w:val="ru-RU" w:eastAsia="x-none" w:bidi="ar-SA"/>
        </w:rPr>
        <w:t>__________________/Аммосов Д.И./</w:t>
      </w:r>
    </w:p>
    <w:p>
      <w:pPr>
        <w:pStyle w:val="Normal"/>
        <w:widowControl w:val="false"/>
        <w:suppressAutoHyphens w:val="true"/>
        <w:spacing w:before="0" w:after="0"/>
        <w:ind w:firstLine="357"/>
        <w:jc w:val="both"/>
        <w:rPr>
          <w:i/>
          <w:i/>
          <w:iCs/>
          <w:sz w:val="24"/>
          <w:szCs w:val="24"/>
          <w:lang w:eastAsia="x-none"/>
        </w:rPr>
      </w:pPr>
      <w:r>
        <w:rPr>
          <w:rFonts w:eastAsia="Times New Roman" w:cs="Times New Roman"/>
          <w:i/>
          <w:iCs/>
          <w:kern w:val="0"/>
          <w:sz w:val="24"/>
          <w:szCs w:val="24"/>
          <w:lang w:val="ru-RU" w:eastAsia="x-none" w:bidi="ar-SA"/>
        </w:rPr>
        <w:t xml:space="preserve">       </w:t>
      </w:r>
      <w:r>
        <w:rPr>
          <w:rFonts w:eastAsia="Times New Roman" w:cs="Times New Roman"/>
          <w:i/>
          <w:iCs/>
          <w:kern w:val="0"/>
          <w:sz w:val="24"/>
          <w:szCs w:val="24"/>
          <w:lang w:val="ru-RU" w:eastAsia="x-none" w:bidi="ar-SA"/>
        </w:rPr>
        <w:t>(подпись)</w:t>
      </w:r>
    </w:p>
    <w:p>
      <w:pPr>
        <w:pStyle w:val="Normal"/>
        <w:widowControl w:val="false"/>
        <w:suppressAutoHyphens w:val="true"/>
        <w:spacing w:before="0" w:after="0"/>
        <w:ind w:firstLine="357"/>
        <w:jc w:val="both"/>
        <w:rPr>
          <w:rFonts w:eastAsia="Calibri"/>
          <w:sz w:val="24"/>
          <w:szCs w:val="24"/>
        </w:rPr>
      </w:pPr>
      <w:r>
        <w:rPr>
          <w:rFonts w:eastAsia="Times New Roman" w:cs="Times New Roman"/>
          <w:i/>
          <w:iCs/>
          <w:kern w:val="0"/>
          <w:sz w:val="24"/>
          <w:szCs w:val="24"/>
          <w:lang w:val="ru-RU" w:eastAsia="x-none" w:bidi="ar-SA"/>
        </w:rPr>
        <w:t>«____»____________2026г.</w:t>
      </w:r>
    </w:p>
    <w:p>
      <w:pPr>
        <w:pStyle w:val="Normal"/>
        <w:rPr>
          <w:rFonts w:eastAsia="Calibri"/>
          <w:lang w:eastAsia="x-none"/>
        </w:rPr>
      </w:pPr>
      <w:r>
        <w:rPr>
          <w:rFonts w:eastAsia="Calibri"/>
          <w:lang w:eastAsia="x-none"/>
        </w:rPr>
      </w:r>
      <w:bookmarkStart w:id="48" w:name="_Toc46743519"/>
      <w:bookmarkStart w:id="49" w:name="_Toc51339699"/>
      <w:bookmarkStart w:id="50" w:name="_Toc46743519"/>
      <w:bookmarkStart w:id="51" w:name="_Toc51339699"/>
      <w:bookmarkEnd w:id="50"/>
      <w:bookmarkEnd w:id="51"/>
    </w:p>
    <w:p>
      <w:pPr>
        <w:pStyle w:val="Normal"/>
        <w:rPr>
          <w:rFonts w:eastAsia="Calibri"/>
          <w:lang w:eastAsia="x-none"/>
        </w:rPr>
      </w:pPr>
      <w:r>
        <w:rPr>
          <w:rFonts w:eastAsia="Calibri"/>
          <w:lang w:eastAsia="x-none"/>
        </w:rPr>
      </w:r>
    </w:p>
    <w:p>
      <w:pPr>
        <w:pStyle w:val="Normal"/>
        <w:rPr>
          <w:rFonts w:eastAsia="Calibri"/>
          <w:lang w:eastAsia="x-none"/>
        </w:rPr>
      </w:pPr>
      <w:r>
        <w:rPr>
          <w:rFonts w:eastAsia="Calibri"/>
          <w:lang w:eastAsia="x-none"/>
        </w:rPr>
      </w:r>
    </w:p>
    <w:p>
      <w:pPr>
        <w:pStyle w:val="Normal"/>
        <w:rPr>
          <w:rFonts w:eastAsia="Calibri"/>
          <w:lang w:eastAsia="x-none"/>
        </w:rPr>
      </w:pPr>
      <w:r>
        <w:rPr/>
      </w:r>
    </w:p>
    <w:sectPr>
      <w:headerReference w:type="default" r:id="rId4"/>
      <w:headerReference w:type="first" r:id="rId5"/>
      <w:footerReference w:type="default" r:id="rId6"/>
      <w:footerReference w:type="first" r:id="rId7"/>
      <w:type w:val="nextPage"/>
      <w:pgSz w:orient="landscape" w:w="16838" w:h="11906"/>
      <w:pgMar w:left="992" w:right="567" w:gutter="0" w:header="680" w:top="737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8">
    <w:lvl w:ilvl="0">
      <w:start w:val="1"/>
      <w:numFmt w:val="bullet"/>
      <w:lvlText w:val=""/>
      <w:lvlJc w:val="left"/>
      <w:pPr>
        <w:tabs>
          <w:tab w:val="num" w:pos="0"/>
        </w:tabs>
        <w:ind w:left="86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22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"/>
      <w:lvlJc w:val="left"/>
      <w:pPr>
        <w:tabs>
          <w:tab w:val="num" w:pos="0"/>
        </w:tabs>
        <w:ind w:left="86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22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24bd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b462e2"/>
    <w:rPr>
      <w:color w:val="0563C1" w:themeColor="hyperlink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4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2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 нумерации"/>
    <w:qFormat/>
    <w:rPr/>
  </w:style>
  <w:style w:type="character" w:styleId="Style16" w:customStyle="1">
    <w:name w:val="Маркеры"/>
    <w:qFormat/>
    <w:rPr>
      <w:rFonts w:ascii="OpenSymbol" w:hAnsi="OpenSymbol" w:eastAsia="OpenSymbol" w:cs="OpenSymbol"/>
    </w:rPr>
  </w:style>
  <w:style w:type="character" w:styleId="Style17" w:customStyle="1">
    <w:name w:val="Нижний колонтитул Знак"/>
    <w:basedOn w:val="DefaultParagraphFont"/>
    <w:uiPriority w:val="99"/>
    <w:qFormat/>
    <w:rsid w:val="007527c7"/>
    <w:rPr>
      <w:sz w:val="28"/>
      <w:szCs w:val="28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paragraph" w:styleId="Style2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1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17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4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shd w:val="clear" w:color="auto" w:fill="FFFFFF"/>
      <w:tabs>
        <w:tab w:val="clear" w:pos="708"/>
        <w:tab w:val="left" w:pos="1120" w:leader="none"/>
        <w:tab w:val="right" w:pos="9911" w:leader="dot"/>
      </w:tabs>
      <w:ind w:left="567" w:hanging="0"/>
    </w:pPr>
    <w:rPr>
      <w:rFonts w:cs="Calibri" w:cstheme="minorHAnsi"/>
      <w:sz w:val="20"/>
      <w:szCs w:val="20"/>
    </w:rPr>
  </w:style>
  <w:style w:type="paragraph" w:styleId="Style25" w:customStyle="1">
    <w:name w:val="Раздел регламента"/>
    <w:basedOn w:val="Normal"/>
    <w:qFormat/>
    <w:rsid w:val="00e228fa"/>
    <w:pPr/>
    <w:rPr/>
  </w:style>
  <w:style w:type="paragraph" w:styleId="Style2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9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1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2" w:customStyle="1">
    <w:name w:val="Подподпункт"/>
    <w:basedOn w:val="Style24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4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5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6" w:customStyle="1">
    <w:name w:val="Содержимое врезки"/>
    <w:basedOn w:val="Normal"/>
    <w:qFormat/>
    <w:pPr/>
    <w:rPr/>
  </w:style>
  <w:style w:type="paragraph" w:styleId="Style3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8" w:customStyle="1">
    <w:name w:val="Заголовок таблицы"/>
    <w:basedOn w:val="Style37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ACCA7-D67A-4D79-8CF0-6874EA9A5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Application>AlterOffice/3.4.0.9$Linux_X86_64 LibreOffice_project/b8daf9e823b1a5463a2f48435ddc2e8696e7d4fc</Application>
  <AppVersion>15.0000</AppVersion>
  <Pages>10</Pages>
  <Words>1295</Words>
  <Characters>8878</Characters>
  <CharactersWithSpaces>9993</CharactersWithSpaces>
  <Paragraphs>195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2025-09-14T00:10:00Z</dcterms:created>
  <dc:creator>Быстров Олег Геннадьевич</dc:creator>
  <dc:description/>
  <dc:language>ru-RU</dc:language>
  <cp:lastModifiedBy>dogoyusovazk</cp:lastModifiedBy>
  <cp:lastPrinted>2025-09-15T16:33:00Z</cp:lastPrinted>
  <dcterms:modified xsi:type="dcterms:W3CDTF">2026-10-27T15:14:19Z</dcterms:modified>
  <cp:revision>50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