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_rels/document.xml.rels" ContentType="application/vnd.openxmlformats-package.relationships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bookmarkStart w:id="0" w:name="_Toc137554584"/>
      <w:bookmarkStart w:id="1" w:name="_Toc141696704"/>
      <w:bookmarkStart w:id="2" w:name="_Toc139856287"/>
      <w:r>
        <w:rPr>
          <w:rFonts w:eastAsia="Calibri"/>
          <w:b/>
          <w:color w:val="000000"/>
          <w:szCs w:val="24"/>
        </w:rPr>
        <w:t>Технические требования</w:t>
      </w:r>
      <w:bookmarkEnd w:id="0"/>
      <w:bookmarkEnd w:id="1"/>
      <w:bookmarkEnd w:id="2"/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color w:val="000000"/>
        </w:rPr>
      </w:pPr>
      <w:r>
        <w:rPr>
          <w:b/>
        </w:rPr>
        <w:t xml:space="preserve">ОКПД2 </w:t>
      </w:r>
      <w:r>
        <w:rPr>
          <w:b/>
        </w:rPr>
        <w:t xml:space="preserve">13.96.14.195 Приобретение </w:t>
      </w:r>
      <w:r>
        <w:rPr>
          <w:b/>
          <w:color w:val="000000"/>
        </w:rPr>
        <w:t>полотен противопожарных для нужд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hanging="0" w:left="284"/>
        <w:jc w:val="center"/>
        <w:rPr/>
      </w:pPr>
      <w:r>
        <w:rPr>
          <w:rFonts w:eastAsia="Calibri"/>
          <w:b/>
          <w:bCs/>
          <w:i w:val="false"/>
          <w:iCs w:val="false"/>
          <w:caps w:val="false"/>
          <w:smallCaps w:val="false"/>
          <w:color w:val="000000"/>
          <w:spacing w:val="0"/>
          <w:sz w:val="26"/>
          <w:szCs w:val="26"/>
          <w:shd w:fill="FFFFFF" w:val="clear"/>
        </w:rPr>
        <w:t>Филиала ПАО «РусГидро» - «Бурейская ГЭС</w:t>
      </w:r>
      <w:r>
        <w:rPr>
          <w:rStyle w:val="Style11"/>
          <w:rFonts w:eastAsia="Calibri"/>
          <w:b/>
          <w:bCs/>
          <w:i w:val="false"/>
          <w:iCs w:val="false"/>
          <w:color w:val="000000"/>
          <w:sz w:val="26"/>
          <w:szCs w:val="26"/>
          <w:shd w:fill="FFFFFF" w:val="clear"/>
        </w:rPr>
        <w:t>»</w:t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br w:type="page"/>
      </w:r>
    </w:p>
    <w:p>
      <w:pPr>
        <w:pStyle w:val="Normal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Normal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СОДЕРЖАНИЕ</w:t>
      </w:r>
    </w:p>
    <w:p>
      <w:pPr>
        <w:pStyle w:val="Normal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Normal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Содержание</w:t>
      </w:r>
      <w:r>
        <w:rPr>
          <w:color w:val="000000"/>
          <w:sz w:val="24"/>
          <w:szCs w:val="24"/>
          <w:u w:val="dotted"/>
        </w:rPr>
        <w:tab/>
        <w:tab/>
        <w:tab/>
        <w:tab/>
        <w:tab/>
        <w:tab/>
        <w:tab/>
        <w:tab/>
        <w:tab/>
        <w:tab/>
        <w:tab/>
      </w:r>
      <w:r>
        <w:rPr>
          <w:color w:val="000000"/>
          <w:sz w:val="24"/>
          <w:szCs w:val="24"/>
        </w:rPr>
        <w:t>2</w:t>
      </w:r>
    </w:p>
    <w:p>
      <w:pPr>
        <w:pStyle w:val="Normal"/>
        <w:rPr>
          <w:color w:val="000000"/>
          <w:sz w:val="24"/>
          <w:szCs w:val="24"/>
          <w:u w:val="dotted"/>
        </w:rPr>
      </w:pPr>
      <w:r>
        <w:rPr>
          <w:color w:val="000000"/>
          <w:sz w:val="24"/>
          <w:szCs w:val="24"/>
        </w:rPr>
        <w:t>1. Наименование закупаемой продукции (товаров, работ, услуг)</w:t>
      </w:r>
      <w:r>
        <w:rPr>
          <w:color w:val="000000"/>
          <w:sz w:val="24"/>
          <w:szCs w:val="24"/>
          <w:u w:val="dotted"/>
        </w:rPr>
        <w:t xml:space="preserve"> </w:t>
        <w:tab/>
        <w:tab/>
        <w:tab/>
        <w:t>3</w:t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Заказчик (подразделение Заказчика)</w:t>
      </w:r>
      <w:r>
        <w:rPr>
          <w:color w:val="000000"/>
          <w:sz w:val="24"/>
          <w:szCs w:val="24"/>
          <w:u w:val="dotted"/>
        </w:rPr>
        <w:t xml:space="preserve"> </w:t>
        <w:tab/>
        <w:tab/>
        <w:tab/>
        <w:tab/>
        <w:tab/>
        <w:tab/>
        <w:tab/>
        <w:t>3</w:t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 Цели и задачи. Существующее положение</w:t>
      </w:r>
      <w:r>
        <w:rPr>
          <w:color w:val="000000"/>
          <w:sz w:val="24"/>
          <w:szCs w:val="24"/>
          <w:u w:val="dotted"/>
        </w:rPr>
        <w:tab/>
        <w:tab/>
        <w:tab/>
        <w:tab/>
        <w:tab/>
        <w:tab/>
        <w:t>3</w:t>
      </w:r>
    </w:p>
    <w:p>
      <w:pPr>
        <w:pStyle w:val="Normal"/>
        <w:ind w:hanging="238" w:left="238" w:right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4. Требования к закупаемой продукции </w:t>
        <w:br/>
        <w:t>(технические и иные характеристики)</w:t>
      </w:r>
      <w:r>
        <w:rPr>
          <w:color w:val="000000"/>
          <w:sz w:val="24"/>
          <w:szCs w:val="24"/>
          <w:u w:val="dotted"/>
        </w:rPr>
        <w:t xml:space="preserve"> </w:t>
        <w:tab/>
        <w:tab/>
        <w:tab/>
        <w:tab/>
        <w:tab/>
        <w:tab/>
        <w:tab/>
        <w:t>3</w:t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 Приложение 1</w:t>
        <w:tab/>
        <w:tab/>
      </w:r>
      <w:r>
        <w:rPr>
          <w:color w:val="000000"/>
          <w:sz w:val="24"/>
          <w:szCs w:val="24"/>
          <w:u w:val="dotted"/>
        </w:rPr>
        <w:tab/>
        <w:tab/>
        <w:tab/>
        <w:tab/>
        <w:tab/>
        <w:tab/>
        <w:tab/>
        <w:tab/>
        <w:t>4</w:t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  <w:r>
        <w:br w:type="page"/>
      </w:r>
    </w:p>
    <w:p>
      <w:pPr>
        <w:pStyle w:val="Normal"/>
        <w:numPr>
          <w:ilvl w:val="0"/>
          <w:numId w:val="2"/>
        </w:numPr>
        <w:ind w:hanging="0" w:left="284" w:right="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Наименование закупаемой продукции (товаров, работ, услуг).</w:t>
      </w:r>
    </w:p>
    <w:p>
      <w:pPr>
        <w:pStyle w:val="Normal"/>
        <w:ind w:hanging="0" w:left="284" w:right="0"/>
        <w:jc w:val="both"/>
        <w:rPr>
          <w:b/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      </w:t>
      </w:r>
      <w:r>
        <w:rPr>
          <w:b w:val="false"/>
          <w:bCs w:val="false"/>
          <w:sz w:val="24"/>
          <w:szCs w:val="24"/>
        </w:rPr>
        <w:t xml:space="preserve"> </w:t>
      </w:r>
      <w:r>
        <w:rPr>
          <w:b w:val="false"/>
          <w:bCs w:val="false"/>
          <w:sz w:val="24"/>
          <w:szCs w:val="24"/>
        </w:rPr>
        <w:t>Приобретение полотен противопожарных для нужд Бурейской ГЭС.</w:t>
      </w:r>
    </w:p>
    <w:p>
      <w:pPr>
        <w:pStyle w:val="Normal"/>
        <w:numPr>
          <w:ilvl w:val="0"/>
          <w:numId w:val="2"/>
        </w:numPr>
        <w:ind w:hanging="0" w:left="284" w:right="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Заказчик (подразделение Заказчика). </w:t>
      </w:r>
    </w:p>
    <w:p>
      <w:pPr>
        <w:pStyle w:val="ListParagraph"/>
        <w:tabs>
          <w:tab w:val="clear" w:pos="708"/>
          <w:tab w:val="left" w:pos="1047" w:leader="none"/>
        </w:tabs>
        <w:spacing w:before="120" w:after="120"/>
        <w:ind w:firstLine="436" w:left="284" w:right="-2"/>
        <w:contextualSpacing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Филиал ПАО «РусГидро» - «Бурейская ГЭС» Амурская область, Бурейский район, п. Талакан, 676730.</w:t>
      </w:r>
    </w:p>
    <w:p>
      <w:pPr>
        <w:pStyle w:val="Normal"/>
        <w:numPr>
          <w:ilvl w:val="0"/>
          <w:numId w:val="2"/>
        </w:numPr>
        <w:ind w:hanging="0" w:left="284" w:right="0"/>
        <w:jc w:val="both"/>
        <w:rPr>
          <w:rFonts w:eastAsia="Calibri"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Цели и задачи. Существующее положение</w:t>
      </w:r>
    </w:p>
    <w:p>
      <w:pPr>
        <w:pStyle w:val="Normal"/>
        <w:ind w:firstLine="424" w:left="284" w:right="-2"/>
        <w:jc w:val="both"/>
        <w:rPr>
          <w:bCs/>
          <w:color w:val="000000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</w:rPr>
        <w:t>Приобретение полотен противопожарных</w:t>
      </w:r>
      <w:r>
        <w:rPr>
          <w:bCs/>
          <w:color w:val="000000"/>
          <w:sz w:val="24"/>
          <w:szCs w:val="24"/>
        </w:rPr>
        <w:t>.</w:t>
      </w:r>
    </w:p>
    <w:p>
      <w:pPr>
        <w:pStyle w:val="Normal"/>
        <w:ind w:hanging="0" w:left="284" w:right="-2"/>
        <w:jc w:val="both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</w:r>
    </w:p>
    <w:p>
      <w:pPr>
        <w:pStyle w:val="Normal"/>
        <w:ind w:hanging="0" w:left="720" w:right="0"/>
        <w:jc w:val="righ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Таблица 1</w:t>
      </w:r>
    </w:p>
    <w:tbl>
      <w:tblPr>
        <w:tblW w:w="986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2083"/>
        <w:gridCol w:w="6958"/>
      </w:tblGrid>
      <w:tr>
        <w:trPr>
          <w:trHeight w:val="20" w:hRule="atLeast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Наименование параметра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Требование заказчика</w:t>
            </w:r>
          </w:p>
        </w:tc>
      </w:tr>
      <w:tr>
        <w:trPr>
          <w:trHeight w:val="20" w:hRule="atLeast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</w:tr>
      <w:tr>
        <w:trPr>
          <w:trHeight w:val="827" w:hRule="atLeast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20"/>
              <w:ind w:hanging="0" w:left="166" w:right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Объём изготовления и поставки продукции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Изготовление и поставка должна быть выполнена в соответствии с Приложением №1 к настоящим Техническим требованиям. </w:t>
            </w:r>
          </w:p>
        </w:tc>
      </w:tr>
      <w:tr>
        <w:trPr>
          <w:trHeight w:val="827" w:hRule="atLeast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20"/>
              <w:ind w:hanging="0" w:left="166" w:right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Требования к изготовлению продукции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Все оборудование и материалы должны быть новыми и не использованными ранее;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Изменения в номенклатуре, марках, поставляемых материалов и допускается при условии письменного согласования с Заказчиком;</w:t>
            </w:r>
          </w:p>
          <w:p>
            <w:pPr>
              <w:pStyle w:val="ListParagraph"/>
              <w:widowControl w:val="false"/>
              <w:ind w:hanging="0" w:left="0"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- На все поставляемое оборудование и материалы должны быть предоставлены заводские паспорта, сертификаты качества, техническая документация в полном объеме на бумажном носителе (2 экземпляра).</w:t>
            </w:r>
          </w:p>
        </w:tc>
      </w:tr>
      <w:tr>
        <w:trPr>
          <w:trHeight w:val="1821" w:hRule="atLeast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20"/>
              <w:ind w:hanging="0" w:left="166" w:right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Требования к поставке продукции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Продукция должна  быть новой, ранее не использованной, не бывшей в употреблении, не восстановленной после ремонта, не выставочным экземпляром, технически исправной.</w:t>
            </w:r>
          </w:p>
          <w:p>
            <w:pPr>
              <w:pStyle w:val="ListParagraph"/>
              <w:widowControl w:val="false"/>
              <w:ind w:hanging="0" w:left="0"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По качеству и комплектности должна соответствовать действующим на момент поставки ТУ или ГОСТ, указанным в соответствующих сертификатах.</w:t>
            </w:r>
          </w:p>
        </w:tc>
      </w:tr>
      <w:tr>
        <w:trPr>
          <w:trHeight w:val="752" w:hRule="atLeast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20"/>
              <w:ind w:hanging="0" w:left="166" w:right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numPr>
                <w:ilvl w:val="0"/>
              </w:numPr>
              <w:spacing w:before="0" w:after="0"/>
              <w:ind w:hanging="0" w:left="0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false"/>
                <w:color w:val="000000"/>
                <w:sz w:val="24"/>
                <w:szCs w:val="24"/>
                <w:lang w:eastAsia="ru-RU"/>
              </w:rPr>
              <w:t xml:space="preserve">Место поставки продукции 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 w:righ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676730, Амурская область, Бурейский район, п. Талакан, склад ТМЦ</w:t>
            </w:r>
          </w:p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1257" w:hRule="atLeast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166" w:right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1"/>
              <w:widowControl w:val="false"/>
              <w:numPr>
                <w:ilvl w:val="0"/>
              </w:numPr>
              <w:spacing w:lineRule="auto" w:line="240" w:before="480" w:after="0"/>
              <w:ind w:hanging="0" w:left="0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false"/>
                <w:color w:val="000000"/>
                <w:sz w:val="24"/>
                <w:szCs w:val="24"/>
                <w:lang w:eastAsia="ru-RU"/>
              </w:rPr>
              <w:t>Условия поставки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 w:righ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Доставка продукции производится Поставщиком (транспортом поставщика, за его счет) на склад Заказчика.</w:t>
            </w:r>
          </w:p>
          <w:p>
            <w:pPr>
              <w:pStyle w:val="ListParagraph"/>
              <w:widowControl w:val="false"/>
              <w:ind w:hanging="0" w:left="0" w:righ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</w:tbl>
    <w:p>
      <w:pPr>
        <w:sectPr>
          <w:footerReference w:type="default" r:id="rId2"/>
          <w:type w:val="nextPage"/>
          <w:pgSz w:w="11906" w:h="16838"/>
          <w:pgMar w:left="1304" w:right="924" w:gutter="0" w:header="0" w:top="709" w:footer="709" w:bottom="766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Default"/>
        <w:jc w:val="right"/>
        <w:rPr>
          <w:bCs/>
          <w:color w:val="000000"/>
        </w:rPr>
      </w:pPr>
      <w:bookmarkStart w:id="3" w:name="RANGE!A1%25252525252525253AJ66_Копия_1_К"/>
      <w:bookmarkStart w:id="4" w:name="RANGE!A1%25252525252525253AJ66_Копия_1_К"/>
      <w:bookmarkStart w:id="5" w:name="RANGE!A1%25252525252525253AJ66_Копия_1"/>
      <w:bookmarkStart w:id="6" w:name="RANGE!A1%25252525252525253AJ66_Копия_1_К"/>
      <w:bookmarkEnd w:id="3"/>
      <w:bookmarkEnd w:id="4"/>
      <w:bookmarkEnd w:id="5"/>
      <w:bookmarkEnd w:id="6"/>
      <w:r>
        <w:rPr>
          <w:bCs/>
          <w:color w:val="000000"/>
        </w:rPr>
        <w:t>Приложение №1 к Техническим требованиям</w:t>
      </w:r>
    </w:p>
    <w:p>
      <w:pPr>
        <w:pStyle w:val="Default"/>
        <w:jc w:val="right"/>
        <w:rPr>
          <w:bCs/>
          <w:color w:val="000000"/>
          <w:sz w:val="22"/>
        </w:rPr>
      </w:pPr>
      <w:r>
        <w:rPr>
          <w:bCs/>
          <w:color w:val="000000"/>
          <w:sz w:val="22"/>
        </w:rPr>
      </w:r>
    </w:p>
    <w:p>
      <w:pPr>
        <w:pStyle w:val="Normal"/>
        <w:jc w:val="center"/>
        <w:rPr>
          <w:rFonts w:eastAsia="Calibri"/>
          <w:b/>
          <w:bCs/>
          <w:color w:val="000000"/>
          <w:sz w:val="23"/>
          <w:szCs w:val="23"/>
        </w:rPr>
      </w:pPr>
      <w:r>
        <w:rPr>
          <w:rFonts w:eastAsia="Calibri"/>
          <w:b/>
          <w:bCs/>
          <w:color w:val="000000"/>
          <w:sz w:val="23"/>
          <w:szCs w:val="23"/>
        </w:rPr>
        <w:t xml:space="preserve">Перечень закупаемой продукции </w:t>
      </w:r>
    </w:p>
    <w:p>
      <w:pPr>
        <w:pStyle w:val="ListParagraph"/>
        <w:ind w:hanging="0" w:left="0" w:right="0"/>
        <w:rPr>
          <w:bCs/>
          <w:color w:val="000000"/>
        </w:rPr>
      </w:pPr>
      <w:r>
        <w:rPr>
          <w:bCs/>
          <w:color w:val="000000"/>
        </w:rPr>
      </w:r>
    </w:p>
    <w:tbl>
      <w:tblPr>
        <w:tblW w:w="14771" w:type="dxa"/>
        <w:jc w:val="left"/>
        <w:tblInd w:w="3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5275"/>
        <w:gridCol w:w="991"/>
        <w:gridCol w:w="994"/>
        <w:gridCol w:w="6804"/>
      </w:tblGrid>
      <w:tr>
        <w:trPr>
          <w:tblHeader w:val="true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center"/>
              <w:rPr>
                <w:b/>
                <w:bCs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lang w:val="ru-RU" w:bidi="ar-SA"/>
              </w:rPr>
              <w:t xml:space="preserve">№ </w:t>
            </w:r>
            <w:r>
              <w:rPr>
                <w:rFonts w:cs="Times New Roman"/>
                <w:b/>
                <w:bCs/>
                <w:color w:val="000000"/>
                <w:kern w:val="0"/>
                <w:lang w:val="ru-RU" w:bidi="ar-SA"/>
              </w:rPr>
              <w:t>п/п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center"/>
              <w:rPr>
                <w:b/>
                <w:bCs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lang w:val="ru-RU" w:bidi="ar-SA"/>
              </w:rPr>
              <w:t>Наименование параметра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center"/>
              <w:rPr>
                <w:b/>
                <w:bCs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lang w:val="ru-RU" w:bidi="ar-SA"/>
              </w:rPr>
              <w:t>Ед. изм.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center"/>
              <w:rPr>
                <w:b/>
                <w:bCs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lang w:val="ru-RU" w:bidi="ar-SA"/>
              </w:rPr>
              <w:t>Кол-во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center"/>
              <w:rPr>
                <w:b/>
                <w:bCs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lang w:val="ru-RU" w:bidi="ar-SA"/>
              </w:rPr>
              <w:t>Технические характеристики</w:t>
            </w:r>
          </w:p>
        </w:tc>
      </w:tr>
      <w:tr>
        <w:trPr>
          <w:trHeight w:val="644" w:hRule="atLeast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true"/>
              <w:spacing w:before="0" w:after="0"/>
              <w:ind w:hanging="425" w:left="459" w:right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bidi="ar-SA"/>
              </w:rPr>
              <w:t>ПП-300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bidi="ar-SA"/>
              </w:rPr>
              <w:t>шт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center"/>
              <w:rPr>
                <w:bCs/>
                <w:color w:val="000000"/>
              </w:rPr>
            </w:pPr>
            <w:r>
              <w:rPr>
                <w:rFonts w:cs="Times New Roman"/>
                <w:bCs/>
                <w:color w:val="000000"/>
                <w:kern w:val="0"/>
                <w:lang w:val="ru-RU" w:bidi="ar-SA"/>
              </w:rPr>
              <w:t>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Тип:противопожарное полотно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Maксимальная температура:300 °С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Размер полотна:1500х2000 мм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644" w:hRule="atLeast"/>
        </w:trPr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true"/>
              <w:spacing w:before="0" w:after="0"/>
              <w:ind w:hanging="425" w:left="459" w:right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5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ПП-600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6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left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Тип:противопожарное полотно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left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Maксимальная температура:600 °С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left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Размер полотна:1500х2000 мм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left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644" w:hRule="atLeast"/>
        </w:trPr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true"/>
              <w:spacing w:before="0" w:after="0"/>
              <w:ind w:hanging="425" w:left="459" w:right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5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ПП-1000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6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left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Тип:противопожарное полотно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left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Max температура:1000 °С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left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Размер полотна:1500х2000 мм</w:t>
            </w:r>
          </w:p>
        </w:tc>
      </w:tr>
    </w:tbl>
    <w:p>
      <w:pPr>
        <w:pStyle w:val="Normal"/>
        <w:jc w:val="right"/>
        <w:rPr>
          <w:color w:val="000000"/>
        </w:rPr>
      </w:pPr>
      <w:r>
        <w:rPr>
          <w:color w:val="000000"/>
        </w:rPr>
        <w:tab/>
      </w:r>
    </w:p>
    <w:p>
      <w:pPr>
        <w:pStyle w:val="Normal"/>
        <w:rPr/>
      </w:pPr>
      <w:r>
        <w:rPr/>
      </w:r>
    </w:p>
    <w:sectPr>
      <w:footerReference w:type="default" r:id="rId3"/>
      <w:footerReference w:type="first" r:id="rId4"/>
      <w:type w:val="nextPage"/>
      <w:pgSz w:orient="landscape" w:w="16838" w:h="11906"/>
      <w:pgMar w:left="851" w:right="851" w:gutter="0" w:header="0" w:top="568" w:footer="709" w:bottom="766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Segoe UI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numPr>
        <w:ilvl w:val="0"/>
        <w:numId w:val="0"/>
      </w:numPr>
      <w:spacing w:lineRule="auto" w:line="276" w:before="480" w:after="0"/>
      <w:outlineLvl w:val="0"/>
    </w:pPr>
    <w:rPr>
      <w:rFonts w:ascii="Cambria" w:hAnsi="Cambria"/>
      <w:b/>
      <w:bCs/>
      <w:color w:val="365F91"/>
      <w:lang w:eastAsia="en-US"/>
    </w:rPr>
  </w:style>
  <w:style w:type="paragraph" w:styleId="Heading2">
    <w:name w:val="Heading 2"/>
    <w:basedOn w:val="Normal"/>
    <w:next w:val="Normal"/>
    <w:link w:val="2"/>
    <w:qFormat/>
    <w:pPr>
      <w:keepNext w:val="true"/>
      <w:keepLines/>
      <w:numPr>
        <w:ilvl w:val="0"/>
        <w:numId w:val="0"/>
      </w:numPr>
      <w:spacing w:lineRule="auto" w:line="276" w:before="200" w:after="0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Heading3">
    <w:name w:val="Heading 3"/>
    <w:basedOn w:val="Normal"/>
    <w:next w:val="Normal"/>
    <w:link w:val="31"/>
    <w:qFormat/>
    <w:pPr>
      <w:keepNext w:val="true"/>
      <w:keepLines/>
      <w:numPr>
        <w:ilvl w:val="0"/>
        <w:numId w:val="0"/>
      </w:numPr>
      <w:spacing w:before="40" w:after="0"/>
      <w:outlineLvl w:val="2"/>
    </w:pPr>
    <w:rPr>
      <w:rFonts w:ascii="Cambria" w:hAnsi="Cambria" w:eastAsia="Calibri" w:cs="Times New Roman"/>
      <w:color w:val="243F60"/>
      <w:sz w:val="24"/>
      <w:szCs w:val="24"/>
    </w:rPr>
  </w:style>
  <w:style w:type="character" w:styleId="DefaultParagraphFont">
    <w:name w:val="Default Paragraph Font"/>
    <w:qFormat/>
    <w:rPr/>
  </w:style>
  <w:style w:type="character" w:styleId="1">
    <w:name w:val="Заголовок 1 Знак"/>
    <w:basedOn w:val="DefaultParagraphFont"/>
    <w:qFormat/>
    <w:rPr>
      <w:rFonts w:ascii="Cambria" w:hAnsi="Cambria" w:eastAsia="Times New Roman"/>
      <w:b/>
      <w:bCs/>
      <w:color w:val="365F91"/>
      <w:sz w:val="28"/>
      <w:szCs w:val="28"/>
    </w:rPr>
  </w:style>
  <w:style w:type="character" w:styleId="2">
    <w:name w:val="Заголовок 2 Знак"/>
    <w:basedOn w:val="DefaultParagraphFont"/>
    <w:qFormat/>
    <w:rPr>
      <w:rFonts w:ascii="Cambria" w:hAnsi="Cambria" w:eastAsia="Times New Roman"/>
      <w:b/>
      <w:bCs/>
      <w:color w:val="4F81BD"/>
      <w:sz w:val="26"/>
      <w:szCs w:val="26"/>
    </w:rPr>
  </w:style>
  <w:style w:type="character" w:styleId="Style6">
    <w:name w:val="Нижний колонтитул Знак"/>
    <w:basedOn w:val="DefaultParagraphFont"/>
    <w:qFormat/>
    <w:rPr>
      <w:rFonts w:ascii="Times New Roman" w:hAnsi="Times New Roman" w:eastAsia="Times New Roman"/>
      <w:sz w:val="28"/>
      <w:szCs w:val="28"/>
      <w:lang w:eastAsia="ru-RU"/>
    </w:rPr>
  </w:style>
  <w:style w:type="character" w:styleId="Style7">
    <w:name w:val="Основной текст Знак"/>
    <w:basedOn w:val="DefaultParagraphFont"/>
    <w:qFormat/>
    <w:rPr>
      <w:rFonts w:ascii="Times New Roman" w:hAnsi="Times New Roman" w:eastAsia="Times New Roman"/>
      <w:sz w:val="28"/>
      <w:szCs w:val="28"/>
      <w:lang w:eastAsia="ru-RU"/>
    </w:rPr>
  </w:style>
  <w:style w:type="character" w:styleId="3">
    <w:name w:val="Основной текст с отступом 3 Знак"/>
    <w:basedOn w:val="DefaultParagraphFont"/>
    <w:link w:val="BodyTextIndent3"/>
    <w:qFormat/>
    <w:rPr>
      <w:rFonts w:ascii="Times New Roman" w:hAnsi="Times New Roman" w:eastAsia="Times New Roman"/>
      <w:sz w:val="16"/>
      <w:szCs w:val="16"/>
      <w:lang w:eastAsia="ru-RU"/>
    </w:rPr>
  </w:style>
  <w:style w:type="character" w:styleId="Style8">
    <w:name w:val="Текст примечания Знак"/>
    <w:basedOn w:val="DefaultParagraphFont"/>
    <w:link w:val="Annotationtext"/>
    <w:qFormat/>
    <w:rPr>
      <w:rFonts w:ascii="Times New Roman" w:hAnsi="Times New Roman" w:eastAsia="Times New Roman"/>
      <w:lang w:eastAsia="ru-RU"/>
    </w:rPr>
  </w:style>
  <w:style w:type="character" w:styleId="Style9">
    <w:name w:val="Текст выноски Знак"/>
    <w:basedOn w:val="DefaultParagraphFont"/>
    <w:link w:val="BalloonText"/>
    <w:qFormat/>
    <w:rPr>
      <w:rFonts w:ascii="Segoe UI" w:hAnsi="Segoe UI" w:eastAsia="Times New Roman" w:cs="Segoe UI"/>
      <w:sz w:val="18"/>
      <w:szCs w:val="18"/>
      <w:lang w:eastAsia="ru-RU"/>
    </w:rPr>
  </w:style>
  <w:style w:type="character" w:styleId="31">
    <w:name w:val="Заголовок 3 Знак"/>
    <w:basedOn w:val="DefaultParagraphFont"/>
    <w:qFormat/>
    <w:rPr>
      <w:rFonts w:ascii="Cambria" w:hAnsi="Cambria" w:eastAsia="Calibri" w:cs="Times New Roman"/>
      <w:color w:val="243F60"/>
      <w:sz w:val="24"/>
      <w:szCs w:val="24"/>
      <w:lang w:eastAsia="ru-RU"/>
    </w:rPr>
  </w:style>
  <w:style w:type="character" w:styleId="Style10">
    <w:name w:val="Символ сноски"/>
    <w:qFormat/>
    <w:rPr/>
  </w:style>
  <w:style w:type="character" w:styleId="LineNumber">
    <w:name w:val="Line Number"/>
    <w:rPr/>
  </w:style>
  <w:style w:type="character" w:styleId="Style11">
    <w:name w:val="комментарий"/>
    <w:qFormat/>
    <w:rPr>
      <w:b/>
      <w:i/>
      <w:shd w:fill="FFFF99" w:val="clear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7"/>
    <w:pPr>
      <w:spacing w:before="0" w:after="12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qFormat/>
    <w:pPr>
      <w:spacing w:before="0" w:after="0"/>
      <w:ind w:hanging="0" w:left="720" w:right="0"/>
      <w:contextualSpacing/>
    </w:pPr>
    <w:rPr/>
  </w:style>
  <w:style w:type="paragraph" w:styleId="Style14">
    <w:name w:val="Колонтитул"/>
    <w:basedOn w:val="Normal"/>
    <w:qFormat/>
    <w:pPr/>
    <w:rPr/>
  </w:style>
  <w:style w:type="paragraph" w:styleId="Footer">
    <w:name w:val="Footer"/>
    <w:basedOn w:val="Normal"/>
    <w:link w:val="Style6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3">
    <w:name w:val="Body Text Indent 3"/>
    <w:basedOn w:val="Normal"/>
    <w:link w:val="3"/>
    <w:qFormat/>
    <w:pPr>
      <w:spacing w:before="0" w:after="120"/>
      <w:ind w:hanging="0" w:left="283" w:right="0"/>
    </w:pPr>
    <w:rPr>
      <w:sz w:val="16"/>
      <w:szCs w:val="16"/>
    </w:rPr>
  </w:style>
  <w:style w:type="paragraph" w:styleId="Annotationtext">
    <w:name w:val="annotation text"/>
    <w:basedOn w:val="Normal"/>
    <w:link w:val="Style8"/>
    <w:qFormat/>
    <w:pPr/>
    <w:rPr>
      <w:sz w:val="20"/>
      <w:szCs w:val="20"/>
    </w:rPr>
  </w:style>
  <w:style w:type="paragraph" w:styleId="Default">
    <w:name w:val="Default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ru-RU" w:bidi="ar-SA"/>
    </w:rPr>
  </w:style>
  <w:style w:type="paragraph" w:styleId="BalloonText">
    <w:name w:val="Balloon Text"/>
    <w:basedOn w:val="Normal"/>
    <w:link w:val="Style9"/>
    <w:qFormat/>
    <w:pPr/>
    <w:rPr>
      <w:rFonts w:ascii="Segoe UI" w:hAnsi="Segoe UI" w:cs="Segoe UI"/>
      <w:sz w:val="18"/>
      <w:szCs w:val="18"/>
    </w:rPr>
  </w:style>
  <w:style w:type="paragraph" w:styleId="NoSpacing">
    <w:name w:val="No Spacing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Style15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Application>AlterOffice/2026.2.1.1$Linux_X86_64 LibreOffice_project/6d96de8aff889cb0e33766577a7a2a9f4fe0f9d5</Application>
  <AppVersion>15.0000</AppVersion>
  <Pages>4</Pages>
  <Words>307</Words>
  <Characters>2078</Characters>
  <CharactersWithSpaces>2365</CharactersWithSpaces>
  <Paragraphs>73</Paragraphs>
  <Company>RusHydro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2022-06-16T02:12:00Z</dcterms:created>
  <dc:creator>Степанова Юлия Владимировна</dc:creator>
  <dc:description/>
  <dc:language>ru-RU</dc:language>
  <cp:lastModifiedBy>lysenkoea@corp.gidroogk.com</cp:lastModifiedBy>
  <cp:lastPrinted>2022-08-19T01:41:00Z</cp:lastPrinted>
  <dcterms:modified xsi:type="dcterms:W3CDTF">2026-10-29T11:34:22Z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